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0" w:lineRule="exact"/>
        <w:rPr>
          <w:sz w:val="24"/>
          <w:szCs w:val="24"/>
          <w:color w:val="auto"/>
        </w:rPr>
      </w:pPr>
    </w:p>
    <w:p>
      <w:pPr>
        <w:spacing w:after="0" w:line="200" w:lineRule="exact"/>
        <w:rPr>
          <w:sz w:val="24"/>
          <w:szCs w:val="24"/>
          <w:color w:val="auto"/>
        </w:rPr>
      </w:pPr>
    </w:p>
    <w:p>
      <w:pPr>
        <w:spacing w:after="0" w:line="22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5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10-K</w:t>
      </w:r>
    </w:p>
    <w:p>
      <w:pPr>
        <w:spacing w:after="0" w:line="6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66" w:lineRule="exact"/>
        <w:rPr>
          <w:sz w:val="24"/>
          <w:szCs w:val="24"/>
          <w:color w:val="auto"/>
        </w:rPr>
      </w:pPr>
    </w:p>
    <w:p>
      <w:pPr>
        <w:ind w:left="4080" w:right="2560" w:hanging="4045"/>
        <w:spacing w:after="0" w:line="333" w:lineRule="auto"/>
        <w:tabs>
          <w:tab w:leader="none" w:pos="517" w:val="left"/>
        </w:tabs>
        <w:numPr>
          <w:ilvl w:val="0"/>
          <w:numId w:val="1"/>
        </w:numPr>
        <w:rPr>
          <w:rFonts w:ascii="MS PGothic" w:cs="MS PGothic" w:eastAsia="MS PGothic" w:hAnsi="MS PGothic"/>
          <w:sz w:val="18"/>
          <w:szCs w:val="18"/>
          <w:color w:val="auto"/>
        </w:rPr>
      </w:pPr>
      <w:r>
        <w:rPr>
          <w:rFonts w:ascii="Arial" w:cs="Arial" w:eastAsia="Arial" w:hAnsi="Arial"/>
          <w:sz w:val="17"/>
          <w:szCs w:val="17"/>
          <w:b w:val="1"/>
          <w:bCs w:val="1"/>
          <w:color w:val="auto"/>
        </w:rPr>
        <w:t xml:space="preserve">ANNUAL REPORT PURSUANT TO SECTION 13 OR 15(d) OF THE SECURITIES EXCHANGE ACT OF 1934 </w:t>
      </w:r>
      <w:r>
        <w:rPr>
          <w:rFonts w:ascii="Arial" w:cs="Arial" w:eastAsia="Arial" w:hAnsi="Arial"/>
          <w:sz w:val="18"/>
          <w:szCs w:val="18"/>
          <w:b w:val="1"/>
          <w:bCs w:val="1"/>
          <w:color w:val="auto"/>
        </w:rPr>
        <w:t>For the fiscal year ended January 28, 2017</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20" w:lineRule="exact"/>
        <w:rPr>
          <w:sz w:val="24"/>
          <w:szCs w:val="24"/>
          <w:color w:val="auto"/>
        </w:rPr>
      </w:pPr>
    </w:p>
    <w:p>
      <w:pPr>
        <w:ind w:left="3440" w:right="2200" w:hanging="3405"/>
        <w:spacing w:after="0" w:line="333" w:lineRule="auto"/>
        <w:tabs>
          <w:tab w:leader="none" w:pos="520" w:val="left"/>
        </w:tabs>
        <w:numPr>
          <w:ilvl w:val="0"/>
          <w:numId w:val="2"/>
        </w:numPr>
        <w:rPr>
          <w:rFonts w:ascii="MS PGothic" w:cs="MS PGothic" w:eastAsia="MS PGothic" w:hAnsi="MS PGothic"/>
          <w:sz w:val="18"/>
          <w:szCs w:val="18"/>
          <w:color w:val="auto"/>
        </w:rPr>
      </w:pPr>
      <w:r>
        <w:rPr>
          <w:rFonts w:ascii="Arial" w:cs="Arial" w:eastAsia="Arial" w:hAnsi="Arial"/>
          <w:sz w:val="17"/>
          <w:szCs w:val="17"/>
          <w:b w:val="1"/>
          <w:bCs w:val="1"/>
          <w:color w:val="auto"/>
        </w:rPr>
        <w:t xml:space="preserve">TRANSITION REPORT PURSUANT TO SECTION 13 OR 15(d) OF THE SECURITIES EXCHANGE ACT OF 1934 </w:t>
      </w:r>
      <w:r>
        <w:rPr>
          <w:rFonts w:ascii="Arial" w:cs="Arial" w:eastAsia="Arial" w:hAnsi="Arial"/>
          <w:sz w:val="18"/>
          <w:szCs w:val="18"/>
          <w:b w:val="1"/>
          <w:bCs w:val="1"/>
          <w:color w:val="auto"/>
        </w:rPr>
        <w:t>For the transition period from ___________ to___________</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001-15059</w:t>
      </w:r>
    </w:p>
    <w:p>
      <w:pPr>
        <w:spacing w:after="0" w:line="106"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NORDSTROM,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151" w:lineRule="exact"/>
        <w:rPr>
          <w:sz w:val="24"/>
          <w:szCs w:val="24"/>
          <w:color w:val="auto"/>
        </w:rPr>
      </w:pPr>
    </w:p>
    <w:tbl>
      <w:tblPr>
        <w:tblLayout w:type="fixed"/>
        <w:tblInd w:w="1240" w:type="dxa"/>
        <w:tblCellMar>
          <w:top w:w="0" w:type="dxa"/>
          <w:left w:w="0" w:type="dxa"/>
          <w:bottom w:w="0" w:type="dxa"/>
          <w:right w:w="0" w:type="dxa"/>
        </w:tblCellMar>
      </w:tblPr>
      <w:tr>
        <w:trPr>
          <w:trHeight w:val="234"/>
        </w:trPr>
        <w:tc>
          <w:tcPr>
            <w:tcW w:w="4900" w:type="dxa"/>
            <w:vAlign w:val="bottom"/>
          </w:tcPr>
          <w:p>
            <w:pPr>
              <w:jc w:val="center"/>
              <w:ind w:right="1810"/>
              <w:spacing w:after="0"/>
              <w:rPr>
                <w:sz w:val="20"/>
                <w:szCs w:val="20"/>
                <w:color w:val="auto"/>
              </w:rPr>
            </w:pPr>
            <w:r>
              <w:rPr>
                <w:rFonts w:ascii="Arial" w:cs="Arial" w:eastAsia="Arial" w:hAnsi="Arial"/>
                <w:sz w:val="18"/>
                <w:szCs w:val="18"/>
                <w:b w:val="1"/>
                <w:bCs w:val="1"/>
                <w:color w:val="auto"/>
                <w:w w:val="89"/>
              </w:rPr>
              <w:t>Washington</w:t>
            </w:r>
          </w:p>
        </w:tc>
        <w:tc>
          <w:tcPr>
            <w:tcW w:w="3220" w:type="dxa"/>
            <w:vAlign w:val="bottom"/>
          </w:tcPr>
          <w:p>
            <w:pPr>
              <w:jc w:val="right"/>
              <w:ind w:right="150"/>
              <w:spacing w:after="0"/>
              <w:rPr>
                <w:sz w:val="20"/>
                <w:szCs w:val="20"/>
                <w:color w:val="auto"/>
              </w:rPr>
            </w:pPr>
            <w:r>
              <w:rPr>
                <w:rFonts w:ascii="Arial" w:cs="Arial" w:eastAsia="Arial" w:hAnsi="Arial"/>
                <w:sz w:val="18"/>
                <w:szCs w:val="18"/>
                <w:b w:val="1"/>
                <w:bCs w:val="1"/>
                <w:color w:val="auto"/>
              </w:rPr>
              <w:t>91-0515058</w:t>
            </w:r>
          </w:p>
        </w:tc>
      </w:tr>
      <w:tr>
        <w:trPr>
          <w:trHeight w:val="256"/>
        </w:trPr>
        <w:tc>
          <w:tcPr>
            <w:tcW w:w="4900" w:type="dxa"/>
            <w:vAlign w:val="bottom"/>
          </w:tcPr>
          <w:p>
            <w:pPr>
              <w:jc w:val="center"/>
              <w:ind w:right="1790"/>
              <w:spacing w:after="0"/>
              <w:rPr>
                <w:sz w:val="20"/>
                <w:szCs w:val="20"/>
                <w:color w:val="auto"/>
              </w:rPr>
            </w:pPr>
            <w:r>
              <w:rPr>
                <w:rFonts w:ascii="Arial" w:cs="Arial" w:eastAsia="Arial" w:hAnsi="Arial"/>
                <w:sz w:val="18"/>
                <w:szCs w:val="18"/>
                <w:color w:val="auto"/>
                <w:w w:val="93"/>
              </w:rPr>
              <w:t>(State or other jurisdiction of</w:t>
            </w:r>
          </w:p>
        </w:tc>
        <w:tc>
          <w:tcPr>
            <w:tcW w:w="3220" w:type="dxa"/>
            <w:vAlign w:val="bottom"/>
          </w:tcPr>
          <w:p>
            <w:pPr>
              <w:jc w:val="center"/>
              <w:ind w:left="1790"/>
              <w:spacing w:after="0"/>
              <w:rPr>
                <w:sz w:val="20"/>
                <w:szCs w:val="20"/>
                <w:color w:val="auto"/>
              </w:rPr>
            </w:pPr>
            <w:r>
              <w:rPr>
                <w:rFonts w:ascii="Arial" w:cs="Arial" w:eastAsia="Arial" w:hAnsi="Arial"/>
                <w:sz w:val="18"/>
                <w:szCs w:val="18"/>
                <w:color w:val="auto"/>
                <w:w w:val="92"/>
              </w:rPr>
              <w:t>(I.R.S. Employer</w:t>
            </w:r>
          </w:p>
        </w:tc>
      </w:tr>
      <w:tr>
        <w:trPr>
          <w:trHeight w:val="230"/>
        </w:trPr>
        <w:tc>
          <w:tcPr>
            <w:tcW w:w="4900" w:type="dxa"/>
            <w:vAlign w:val="bottom"/>
          </w:tcPr>
          <w:p>
            <w:pPr>
              <w:jc w:val="center"/>
              <w:ind w:right="1790"/>
              <w:spacing w:after="0"/>
              <w:rPr>
                <w:sz w:val="20"/>
                <w:szCs w:val="20"/>
                <w:color w:val="auto"/>
              </w:rPr>
            </w:pPr>
            <w:r>
              <w:rPr>
                <w:rFonts w:ascii="Arial" w:cs="Arial" w:eastAsia="Arial" w:hAnsi="Arial"/>
                <w:sz w:val="18"/>
                <w:szCs w:val="18"/>
                <w:color w:val="auto"/>
                <w:w w:val="93"/>
              </w:rPr>
              <w:t>incorporation or organization)</w:t>
            </w:r>
          </w:p>
        </w:tc>
        <w:tc>
          <w:tcPr>
            <w:tcW w:w="3220" w:type="dxa"/>
            <w:vAlign w:val="bottom"/>
          </w:tcPr>
          <w:p>
            <w:pPr>
              <w:jc w:val="center"/>
              <w:ind w:left="1790"/>
              <w:spacing w:after="0"/>
              <w:rPr>
                <w:sz w:val="20"/>
                <w:szCs w:val="20"/>
                <w:color w:val="auto"/>
              </w:rPr>
            </w:pPr>
            <w:r>
              <w:rPr>
                <w:rFonts w:ascii="Arial" w:cs="Arial" w:eastAsia="Arial" w:hAnsi="Arial"/>
                <w:sz w:val="18"/>
                <w:szCs w:val="18"/>
                <w:color w:val="auto"/>
                <w:w w:val="95"/>
              </w:rPr>
              <w:t>Identification No.)</w:t>
            </w:r>
          </w:p>
        </w:tc>
      </w:tr>
      <w:tr>
        <w:trPr>
          <w:trHeight w:val="392"/>
        </w:trPr>
        <w:tc>
          <w:tcPr>
            <w:tcW w:w="4900" w:type="dxa"/>
            <w:vAlign w:val="bottom"/>
          </w:tcPr>
          <w:p>
            <w:pPr>
              <w:jc w:val="center"/>
              <w:ind w:right="1790"/>
              <w:spacing w:after="0"/>
              <w:rPr>
                <w:sz w:val="20"/>
                <w:szCs w:val="20"/>
                <w:color w:val="auto"/>
              </w:rPr>
            </w:pPr>
            <w:r>
              <w:rPr>
                <w:rFonts w:ascii="Arial" w:cs="Arial" w:eastAsia="Arial" w:hAnsi="Arial"/>
                <w:sz w:val="18"/>
                <w:szCs w:val="18"/>
                <w:b w:val="1"/>
                <w:bCs w:val="1"/>
                <w:color w:val="auto"/>
                <w:w w:val="88"/>
              </w:rPr>
              <w:t>1617 Sixth Avenue, Seattle, Washington</w:t>
            </w:r>
          </w:p>
        </w:tc>
        <w:tc>
          <w:tcPr>
            <w:tcW w:w="3220" w:type="dxa"/>
            <w:vAlign w:val="bottom"/>
          </w:tcPr>
          <w:p>
            <w:pPr>
              <w:jc w:val="right"/>
              <w:ind w:right="350"/>
              <w:spacing w:after="0"/>
              <w:rPr>
                <w:sz w:val="20"/>
                <w:szCs w:val="20"/>
                <w:color w:val="auto"/>
              </w:rPr>
            </w:pPr>
            <w:r>
              <w:rPr>
                <w:rFonts w:ascii="Arial" w:cs="Arial" w:eastAsia="Arial" w:hAnsi="Arial"/>
                <w:sz w:val="18"/>
                <w:szCs w:val="18"/>
                <w:b w:val="1"/>
                <w:bCs w:val="1"/>
                <w:color w:val="auto"/>
              </w:rPr>
              <w:t>98101</w:t>
            </w:r>
          </w:p>
        </w:tc>
      </w:tr>
      <w:tr>
        <w:trPr>
          <w:trHeight w:val="270"/>
        </w:trPr>
        <w:tc>
          <w:tcPr>
            <w:tcW w:w="4900" w:type="dxa"/>
            <w:vAlign w:val="bottom"/>
          </w:tcPr>
          <w:p>
            <w:pPr>
              <w:jc w:val="center"/>
              <w:ind w:right="1790"/>
              <w:spacing w:after="0"/>
              <w:rPr>
                <w:sz w:val="20"/>
                <w:szCs w:val="20"/>
                <w:color w:val="auto"/>
              </w:rPr>
            </w:pPr>
            <w:r>
              <w:rPr>
                <w:rFonts w:ascii="Arial" w:cs="Arial" w:eastAsia="Arial" w:hAnsi="Arial"/>
                <w:sz w:val="18"/>
                <w:szCs w:val="18"/>
                <w:color w:val="auto"/>
                <w:w w:val="92"/>
              </w:rPr>
              <w:t>(Address of principal executive offices)</w:t>
            </w:r>
          </w:p>
        </w:tc>
        <w:tc>
          <w:tcPr>
            <w:tcW w:w="3220" w:type="dxa"/>
            <w:vAlign w:val="bottom"/>
          </w:tcPr>
          <w:p>
            <w:pPr>
              <w:jc w:val="center"/>
              <w:ind w:left="1770"/>
              <w:spacing w:after="0"/>
              <w:rPr>
                <w:sz w:val="20"/>
                <w:szCs w:val="20"/>
                <w:color w:val="auto"/>
              </w:rPr>
            </w:pPr>
            <w:r>
              <w:rPr>
                <w:rFonts w:ascii="Arial" w:cs="Arial" w:eastAsia="Arial" w:hAnsi="Arial"/>
                <w:sz w:val="18"/>
                <w:szCs w:val="18"/>
                <w:color w:val="auto"/>
                <w:w w:val="94"/>
              </w:rPr>
              <w:t>(Zip Code)</w:t>
            </w:r>
          </w:p>
        </w:tc>
      </w:tr>
    </w:tbl>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 (</w:t>
      </w:r>
      <w:r>
        <w:rPr>
          <w:rFonts w:ascii="Arial" w:cs="Arial" w:eastAsia="Arial" w:hAnsi="Arial"/>
          <w:sz w:val="18"/>
          <w:szCs w:val="18"/>
          <w:b w:val="1"/>
          <w:bCs w:val="1"/>
          <w:color w:val="auto"/>
        </w:rPr>
        <w:t>206) 628-2111</w:t>
      </w:r>
    </w:p>
    <w:p>
      <w:pPr>
        <w:spacing w:after="0" w:line="6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54" w:lineRule="exact"/>
        <w:rPr>
          <w:sz w:val="24"/>
          <w:szCs w:val="24"/>
          <w:color w:val="auto"/>
        </w:rPr>
      </w:pPr>
    </w:p>
    <w:tbl>
      <w:tblPr>
        <w:tblLayout w:type="fixed"/>
        <w:tblInd w:w="1440" w:type="dxa"/>
        <w:tblCellMar>
          <w:top w:w="0" w:type="dxa"/>
          <w:left w:w="0" w:type="dxa"/>
          <w:bottom w:w="0" w:type="dxa"/>
          <w:right w:w="0" w:type="dxa"/>
        </w:tblCellMar>
      </w:tblPr>
      <w:tr>
        <w:trPr>
          <w:trHeight w:val="207"/>
        </w:trPr>
        <w:tc>
          <w:tcPr>
            <w:tcW w:w="66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Title of each class</w:t>
            </w:r>
          </w:p>
        </w:tc>
        <w:tc>
          <w:tcPr>
            <w:tcW w:w="2180" w:type="dxa"/>
            <w:vAlign w:val="bottom"/>
          </w:tcPr>
          <w:p>
            <w:pPr>
              <w:spacing w:after="0"/>
              <w:rPr>
                <w:sz w:val="18"/>
                <w:szCs w:val="18"/>
                <w:color w:val="auto"/>
              </w:rPr>
            </w:pPr>
          </w:p>
        </w:tc>
        <w:tc>
          <w:tcPr>
            <w:tcW w:w="4700" w:type="dxa"/>
            <w:vAlign w:val="bottom"/>
            <w:gridSpan w:val="2"/>
          </w:tcPr>
          <w:p>
            <w:pPr>
              <w:jc w:val="center"/>
              <w:ind w:left="1430"/>
              <w:spacing w:after="0"/>
              <w:rPr>
                <w:sz w:val="20"/>
                <w:szCs w:val="20"/>
                <w:color w:val="auto"/>
              </w:rPr>
            </w:pPr>
            <w:r>
              <w:rPr>
                <w:rFonts w:ascii="Arial" w:cs="Arial" w:eastAsia="Arial" w:hAnsi="Arial"/>
                <w:sz w:val="18"/>
                <w:szCs w:val="18"/>
                <w:color w:val="auto"/>
                <w:w w:val="89"/>
              </w:rPr>
              <w:t>Name of each exchange on which registered</w:t>
            </w:r>
          </w:p>
        </w:tc>
      </w:tr>
      <w:tr>
        <w:trPr>
          <w:trHeight w:val="20"/>
        </w:trPr>
        <w:tc>
          <w:tcPr>
            <w:tcW w:w="66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r>
      <w:tr>
        <w:trPr>
          <w:trHeight w:val="291"/>
        </w:trPr>
        <w:tc>
          <w:tcPr>
            <w:tcW w:w="4140" w:type="dxa"/>
            <w:vAlign w:val="bottom"/>
            <w:gridSpan w:val="3"/>
          </w:tcPr>
          <w:p>
            <w:pPr>
              <w:jc w:val="center"/>
              <w:ind w:right="1520"/>
              <w:spacing w:after="0"/>
              <w:rPr>
                <w:sz w:val="20"/>
                <w:szCs w:val="20"/>
                <w:color w:val="auto"/>
              </w:rPr>
            </w:pPr>
            <w:r>
              <w:rPr>
                <w:rFonts w:ascii="Arial" w:cs="Arial" w:eastAsia="Arial" w:hAnsi="Arial"/>
                <w:sz w:val="18"/>
                <w:szCs w:val="18"/>
                <w:b w:val="1"/>
                <w:bCs w:val="1"/>
                <w:color w:val="auto"/>
                <w:w w:val="90"/>
              </w:rPr>
              <w:t>Common stock, without par value</w:t>
            </w:r>
          </w:p>
        </w:tc>
        <w:tc>
          <w:tcPr>
            <w:tcW w:w="1520" w:type="dxa"/>
            <w:vAlign w:val="bottom"/>
          </w:tcPr>
          <w:p>
            <w:pPr>
              <w:spacing w:after="0"/>
              <w:rPr>
                <w:sz w:val="24"/>
                <w:szCs w:val="24"/>
                <w:color w:val="auto"/>
              </w:rPr>
            </w:pPr>
          </w:p>
        </w:tc>
        <w:tc>
          <w:tcPr>
            <w:tcW w:w="3180" w:type="dxa"/>
            <w:vAlign w:val="bottom"/>
          </w:tcPr>
          <w:p>
            <w:pPr>
              <w:jc w:val="center"/>
              <w:spacing w:after="0"/>
              <w:rPr>
                <w:sz w:val="20"/>
                <w:szCs w:val="20"/>
                <w:color w:val="auto"/>
              </w:rPr>
            </w:pPr>
            <w:r>
              <w:rPr>
                <w:rFonts w:ascii="Arial" w:cs="Arial" w:eastAsia="Arial" w:hAnsi="Arial"/>
                <w:sz w:val="18"/>
                <w:szCs w:val="18"/>
                <w:b w:val="1"/>
                <w:bCs w:val="1"/>
                <w:color w:val="auto"/>
                <w:w w:val="90"/>
              </w:rPr>
              <w:t>New York Stock Exchange</w:t>
            </w:r>
          </w:p>
        </w:tc>
      </w:tr>
    </w:tbl>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Securities registered pursuant to Section 12(g) of the Act: </w:t>
      </w:r>
      <w:r>
        <w:rPr>
          <w:rFonts w:ascii="Arial" w:cs="Arial" w:eastAsia="Arial" w:hAnsi="Arial"/>
          <w:sz w:val="18"/>
          <w:szCs w:val="18"/>
          <w:b w:val="1"/>
          <w:bCs w:val="1"/>
          <w:color w:val="auto"/>
        </w:rPr>
        <w:t>None</w:t>
      </w:r>
    </w:p>
    <w:p>
      <w:pPr>
        <w:spacing w:after="0" w:line="34" w:lineRule="exact"/>
        <w:rPr>
          <w:sz w:val="24"/>
          <w:szCs w:val="24"/>
          <w:color w:val="auto"/>
        </w:rPr>
      </w:pPr>
    </w:p>
    <w:p>
      <w:pPr>
        <w:ind w:right="1700"/>
        <w:spacing w:after="0" w:line="276"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Indicate by check mark if the registrant is not required to file reports pursuant to Section 13 or Section 15(d) of the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1" w:lineRule="exact"/>
        <w:rPr>
          <w:sz w:val="24"/>
          <w:szCs w:val="24"/>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2" w:lineRule="exact"/>
        <w:rPr>
          <w:sz w:val="24"/>
          <w:szCs w:val="24"/>
          <w:color w:val="auto"/>
        </w:rPr>
      </w:pPr>
    </w:p>
    <w:p>
      <w:pPr>
        <w:jc w:val="both"/>
        <w:ind w:right="4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2" w:lineRule="exact"/>
        <w:rPr>
          <w:sz w:val="24"/>
          <w:szCs w:val="24"/>
          <w:color w:val="auto"/>
        </w:rPr>
      </w:pPr>
    </w:p>
    <w:p>
      <w:pPr>
        <w:ind w:right="60"/>
        <w:spacing w:after="0" w:line="227"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22" w:lineRule="exact"/>
        <w:rPr>
          <w:sz w:val="24"/>
          <w:szCs w:val="24"/>
          <w:color w:val="auto"/>
        </w:rPr>
      </w:pPr>
    </w:p>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60" w:lineRule="exact"/>
        <w:rPr>
          <w:sz w:val="24"/>
          <w:szCs w:val="24"/>
          <w:color w:val="auto"/>
        </w:rPr>
      </w:pPr>
    </w:p>
    <w:p>
      <w:pPr>
        <w:ind w:left="40"/>
        <w:spacing w:after="0" w:line="207" w:lineRule="exact"/>
        <w:tabs>
          <w:tab w:leader="none" w:pos="744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76" w:lineRule="exact"/>
        <w:rPr>
          <w:sz w:val="24"/>
          <w:szCs w:val="24"/>
          <w:color w:val="auto"/>
        </w:rPr>
      </w:pPr>
    </w:p>
    <w:p>
      <w:pPr>
        <w:ind w:left="40"/>
        <w:spacing w:after="0" w:line="207" w:lineRule="exact"/>
        <w:tabs>
          <w:tab w:leader="none" w:pos="7440" w:val="left"/>
        </w:tabs>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r>
        <w:rPr>
          <w:sz w:val="20"/>
          <w:szCs w:val="20"/>
          <w:color w:val="auto"/>
        </w:rPr>
        <w:tab/>
      </w: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6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56" w:lineRule="exact"/>
        <w:rPr>
          <w:sz w:val="24"/>
          <w:szCs w:val="24"/>
          <w:color w:val="auto"/>
        </w:rPr>
      </w:pPr>
    </w:p>
    <w:p>
      <w:pPr>
        <w:ind w:right="340"/>
        <w:spacing w:after="0" w:line="314" w:lineRule="auto"/>
        <w:rPr>
          <w:sz w:val="20"/>
          <w:szCs w:val="20"/>
          <w:color w:val="auto"/>
        </w:rPr>
      </w:pPr>
      <w:r>
        <w:rPr>
          <w:rFonts w:ascii="Arial" w:cs="Arial" w:eastAsia="Arial" w:hAnsi="Arial"/>
          <w:sz w:val="16"/>
          <w:szCs w:val="16"/>
          <w:color w:val="auto"/>
        </w:rPr>
        <w:t>As of July 29, 2016 the aggregate market value of the Registrant’s voting and non-voting stock held by non-affiliates of the Registrant was approximately $6.1 billion using the closing sales price on that day of $44.23. On March 7, 2017, 166,851,252 shares of common stock were outstanding.</w:t>
      </w:r>
    </w:p>
    <w:p>
      <w:pPr>
        <w:spacing w:after="0" w:line="1" w:lineRule="exact"/>
        <w:rPr>
          <w:sz w:val="24"/>
          <w:szCs w:val="24"/>
          <w:color w:val="auto"/>
        </w:rPr>
      </w:pPr>
    </w:p>
    <w:p>
      <w:pPr>
        <w:ind w:left="3640"/>
        <w:spacing w:after="0"/>
        <w:rPr>
          <w:sz w:val="20"/>
          <w:szCs w:val="20"/>
          <w:color w:val="auto"/>
        </w:rPr>
      </w:pPr>
      <w:r>
        <w:rPr>
          <w:rFonts w:ascii="Arial" w:cs="Arial" w:eastAsia="Arial" w:hAnsi="Arial"/>
          <w:sz w:val="18"/>
          <w:szCs w:val="18"/>
          <w:b w:val="1"/>
          <w:bCs w:val="1"/>
          <w:color w:val="auto"/>
        </w:rPr>
        <w:t>DOCUMENTS INCORPORATED BY REFERENCE</w:t>
      </w:r>
    </w:p>
    <w:p>
      <w:pPr>
        <w:spacing w:after="0" w:line="27" w:lineRule="exact"/>
        <w:rPr>
          <w:sz w:val="24"/>
          <w:szCs w:val="24"/>
          <w:color w:val="auto"/>
        </w:rPr>
      </w:pPr>
    </w:p>
    <w:p>
      <w:pPr>
        <w:spacing w:after="0"/>
        <w:rPr>
          <w:sz w:val="20"/>
          <w:szCs w:val="20"/>
          <w:color w:val="auto"/>
        </w:rPr>
      </w:pPr>
      <w:r>
        <w:rPr>
          <w:rFonts w:ascii="Arial" w:cs="Arial" w:eastAsia="Arial" w:hAnsi="Arial"/>
          <w:sz w:val="17"/>
          <w:szCs w:val="17"/>
          <w:color w:val="auto"/>
        </w:rPr>
        <w:t>Portions of the Proxy Statement for the 2017 Annual Meeting of Shareholders scheduled to be held on May 16, 2017 are incorporated into Part III.</w:t>
      </w:r>
    </w:p>
    <w:p>
      <w:pPr>
        <w:sectPr>
          <w:pgSz w:w="11900" w:h="16838" w:orient="portrait"/>
          <w:cols w:equalWidth="0" w:num="1">
            <w:col w:w="11420"/>
          </w:cols>
          <w:pgMar w:left="240" w:top="234" w:right="239" w:bottom="1440" w:gutter="0" w:footer="0" w:header="0"/>
        </w:sectPr>
      </w:pPr>
    </w:p>
    <w:p>
      <w:pPr>
        <w:spacing w:after="0" w:line="200" w:lineRule="exact"/>
        <w:rPr>
          <w:sz w:val="24"/>
          <w:szCs w:val="24"/>
          <w:color w:val="auto"/>
        </w:rPr>
      </w:pPr>
    </w:p>
    <w:p>
      <w:pPr>
        <w:spacing w:after="0" w:line="216" w:lineRule="exact"/>
        <w:rPr>
          <w:sz w:val="24"/>
          <w:szCs w:val="24"/>
          <w:color w:val="auto"/>
        </w:rPr>
      </w:pPr>
    </w:p>
    <w:p>
      <w:pPr>
        <w:ind w:left="9660"/>
        <w:spacing w:after="0"/>
        <w:rPr>
          <w:sz w:val="20"/>
          <w:szCs w:val="20"/>
          <w:color w:val="auto"/>
        </w:rPr>
      </w:pPr>
      <w:r>
        <w:rPr>
          <w:rFonts w:ascii="Arial" w:cs="Arial" w:eastAsia="Arial" w:hAnsi="Arial"/>
          <w:sz w:val="11"/>
          <w:szCs w:val="11"/>
          <w:color w:val="auto"/>
        </w:rPr>
        <w:t xml:space="preserve">Nordstrom, Inc. and subsidiaries </w:t>
      </w:r>
      <w:r>
        <w:rPr>
          <w:rFonts w:ascii="Arial" w:cs="Arial" w:eastAsia="Arial" w:hAnsi="Arial"/>
          <w:sz w:val="14"/>
          <w:szCs w:val="14"/>
          <w:color w:val="auto"/>
        </w:rPr>
        <w:t>1</w:t>
      </w:r>
    </w:p>
    <w:p>
      <w:pPr>
        <w:sectPr>
          <w:pgSz w:w="11900" w:h="16838" w:orient="portrait"/>
          <w:cols w:equalWidth="0" w:num="1">
            <w:col w:w="11420"/>
          </w:cols>
          <w:pgMar w:left="240" w:top="234" w:right="239" w:bottom="1440" w:gutter="0" w:footer="0" w:header="0"/>
          <w:type w:val="continuous"/>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[This page intentionally left blank.]</w:t>
      </w:r>
    </w:p>
    <w:p>
      <w:pPr>
        <w:sectPr>
          <w:pgSz w:w="11900" w:h="16838" w:orient="portrait"/>
          <w:cols w:equalWidth="0" w:num="1">
            <w:col w:w="9019"/>
          </w:cols>
          <w:pgMar w:left="1440" w:top="1440" w:right="1440" w:bottom="1440" w:gutter="0" w:footer="0" w:header="0"/>
        </w:sectPr>
      </w:pPr>
    </w:p>
    <w:bookmarkStart w:id="2" w:name="page3"/>
    <w:bookmarkEnd w:id="2"/>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auto"/>
        </w:rPr>
        <w:t>TABLE OF CONTENTS</w:t>
      </w:r>
    </w:p>
    <w:p>
      <w:pPr>
        <w:spacing w:after="0" w:line="53"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30"/>
        </w:trPr>
        <w:tc>
          <w:tcPr>
            <w:tcW w:w="1020" w:type="dxa"/>
            <w:vAlign w:val="bottom"/>
            <w:gridSpan w:val="6"/>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w:t>
              </w:r>
            </w:hyperlink>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20" w:type="dxa"/>
            <w:vAlign w:val="bottom"/>
            <w:gridSpan w:val="6"/>
          </w:tcPr>
          <w:p>
            <w:pPr>
              <w:ind w:left="140"/>
              <w:spacing w:after="0"/>
              <w:rPr>
                <w:sz w:val="20"/>
                <w:szCs w:val="20"/>
                <w:color w:val="auto"/>
              </w:rPr>
            </w:pPr>
            <w:r>
              <w:rPr>
                <w:rFonts w:ascii="Arial" w:cs="Arial" w:eastAsia="Arial" w:hAnsi="Arial"/>
                <w:sz w:val="18"/>
                <w:szCs w:val="18"/>
                <w:color w:val="auto"/>
              </w:rPr>
              <w:t>Item 1.</w:t>
            </w:r>
          </w:p>
        </w:tc>
        <w:tc>
          <w:tcPr>
            <w:tcW w:w="8980" w:type="dxa"/>
            <w:vAlign w:val="bottom"/>
            <w:gridSpan w:val="19"/>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Business.</w:t>
              </w:r>
            </w:hyperlink>
          </w:p>
        </w:tc>
        <w:tc>
          <w:tcPr>
            <w:tcW w:w="1220" w:type="dxa"/>
            <w:vAlign w:val="bottom"/>
            <w:gridSpan w:val="3"/>
          </w:tcPr>
          <w:p>
            <w:pPr>
              <w:jc w:val="right"/>
              <w:spacing w:after="0"/>
              <w:rPr>
                <w:rFonts w:ascii="Arial" w:cs="Arial" w:eastAsia="Arial" w:hAnsi="Arial"/>
                <w:sz w:val="18"/>
                <w:szCs w:val="18"/>
                <w:color w:val="0000EE"/>
              </w:rPr>
            </w:pPr>
            <w:hyperlink w:anchor="page4">
              <w:r>
                <w:rPr>
                  <w:rFonts w:ascii="Arial" w:cs="Arial" w:eastAsia="Arial" w:hAnsi="Arial"/>
                  <w:sz w:val="18"/>
                  <w:szCs w:val="18"/>
                  <w:color w:val="0000EE"/>
                </w:rPr>
                <w:t>4</w:t>
              </w:r>
            </w:hyperlink>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20" w:type="dxa"/>
            <w:vAlign w:val="bottom"/>
            <w:gridSpan w:val="6"/>
          </w:tcPr>
          <w:p>
            <w:pPr>
              <w:ind w:left="140"/>
              <w:spacing w:after="0"/>
              <w:rPr>
                <w:sz w:val="20"/>
                <w:szCs w:val="20"/>
                <w:color w:val="auto"/>
              </w:rPr>
            </w:pPr>
            <w:r>
              <w:rPr>
                <w:rFonts w:ascii="Arial" w:cs="Arial" w:eastAsia="Arial" w:hAnsi="Arial"/>
                <w:sz w:val="18"/>
                <w:szCs w:val="18"/>
                <w:color w:val="auto"/>
              </w:rPr>
              <w:t>Item 1A.</w:t>
            </w:r>
          </w:p>
        </w:tc>
        <w:tc>
          <w:tcPr>
            <w:tcW w:w="960" w:type="dxa"/>
            <w:vAlign w:val="bottom"/>
            <w:tcBorders>
              <w:bottom w:val="single" w:sz="8" w:color="0000EE"/>
            </w:tcBorders>
            <w:gridSpan w:val="3"/>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Risk Factors.</w:t>
              </w:r>
            </w:hyperlink>
          </w:p>
        </w:tc>
        <w:tc>
          <w:tcPr>
            <w:tcW w:w="8020" w:type="dxa"/>
            <w:vAlign w:val="bottom"/>
            <w:gridSpan w:val="16"/>
          </w:tcPr>
          <w:p>
            <w:pPr>
              <w:spacing w:after="0"/>
              <w:rPr>
                <w:sz w:val="21"/>
                <w:szCs w:val="21"/>
                <w:color w:val="auto"/>
              </w:rPr>
            </w:pPr>
          </w:p>
        </w:tc>
        <w:tc>
          <w:tcPr>
            <w:tcW w:w="112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7">
              <w:r>
                <w:rPr>
                  <w:rFonts w:ascii="Arial" w:cs="Arial" w:eastAsia="Arial" w:hAnsi="Arial"/>
                  <w:sz w:val="18"/>
                  <w:szCs w:val="18"/>
                  <w:color w:val="0000EE"/>
                  <w:w w:val="79"/>
                </w:rPr>
                <w:t>7</w:t>
              </w:r>
            </w:hyperlink>
          </w:p>
        </w:tc>
        <w:tc>
          <w:tcPr>
            <w:tcW w:w="0" w:type="dxa"/>
            <w:vAlign w:val="bottom"/>
          </w:tcPr>
          <w:p>
            <w:pPr>
              <w:spacing w:after="0"/>
              <w:rPr>
                <w:sz w:val="1"/>
                <w:szCs w:val="1"/>
                <w:color w:val="auto"/>
              </w:rPr>
            </w:pPr>
          </w:p>
        </w:tc>
      </w:tr>
      <w:tr>
        <w:trPr>
          <w:trHeight w:val="250"/>
        </w:trPr>
        <w:tc>
          <w:tcPr>
            <w:tcW w:w="1020" w:type="dxa"/>
            <w:vAlign w:val="bottom"/>
            <w:gridSpan w:val="6"/>
          </w:tcPr>
          <w:p>
            <w:pPr>
              <w:ind w:left="140"/>
              <w:spacing w:after="0"/>
              <w:rPr>
                <w:sz w:val="20"/>
                <w:szCs w:val="20"/>
                <w:color w:val="auto"/>
              </w:rPr>
            </w:pPr>
            <w:r>
              <w:rPr>
                <w:rFonts w:ascii="Arial" w:cs="Arial" w:eastAsia="Arial" w:hAnsi="Arial"/>
                <w:sz w:val="18"/>
                <w:szCs w:val="18"/>
                <w:color w:val="auto"/>
              </w:rPr>
              <w:t>Item 1B.</w:t>
            </w:r>
          </w:p>
        </w:tc>
        <w:tc>
          <w:tcPr>
            <w:tcW w:w="2100" w:type="dxa"/>
            <w:vAlign w:val="bottom"/>
            <w:tcBorders>
              <w:bottom w:val="single" w:sz="8" w:color="0000EE"/>
            </w:tcBorders>
            <w:gridSpan w:val="8"/>
          </w:tcPr>
          <w:p>
            <w:pPr>
              <w:spacing w:after="0"/>
              <w:rPr>
                <w:rFonts w:ascii="Arial" w:cs="Arial" w:eastAsia="Arial" w:hAnsi="Arial"/>
                <w:sz w:val="18"/>
                <w:szCs w:val="18"/>
                <w:color w:val="0000EE"/>
                <w:w w:val="90"/>
              </w:rPr>
            </w:pPr>
            <w:hyperlink w:anchor="page11">
              <w:r>
                <w:rPr>
                  <w:rFonts w:ascii="Arial" w:cs="Arial" w:eastAsia="Arial" w:hAnsi="Arial"/>
                  <w:sz w:val="18"/>
                  <w:szCs w:val="18"/>
                  <w:color w:val="0000EE"/>
                  <w:w w:val="90"/>
                </w:rPr>
                <w:t>Unresolved Staff Comments.</w:t>
              </w:r>
            </w:hyperlink>
          </w:p>
        </w:tc>
        <w:tc>
          <w:tcPr>
            <w:tcW w:w="6880" w:type="dxa"/>
            <w:vAlign w:val="bottom"/>
            <w:gridSpan w:val="11"/>
          </w:tcPr>
          <w:p>
            <w:pPr>
              <w:spacing w:after="0"/>
              <w:rPr>
                <w:sz w:val="21"/>
                <w:szCs w:val="21"/>
                <w:color w:val="auto"/>
              </w:rPr>
            </w:pPr>
          </w:p>
        </w:tc>
        <w:tc>
          <w:tcPr>
            <w:tcW w:w="1040" w:type="dxa"/>
            <w:vAlign w:val="bottom"/>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11">
              <w:r>
                <w:rPr>
                  <w:rFonts w:ascii="Arial" w:cs="Arial" w:eastAsia="Arial" w:hAnsi="Arial"/>
                  <w:sz w:val="18"/>
                  <w:szCs w:val="18"/>
                  <w:color w:val="0000EE"/>
                  <w:w w:val="79"/>
                </w:rPr>
                <w:t>11</w:t>
              </w:r>
            </w:hyperlink>
          </w:p>
        </w:tc>
        <w:tc>
          <w:tcPr>
            <w:tcW w:w="0" w:type="dxa"/>
            <w:vAlign w:val="bottom"/>
          </w:tcPr>
          <w:p>
            <w:pPr>
              <w:spacing w:after="0"/>
              <w:rPr>
                <w:sz w:val="1"/>
                <w:szCs w:val="1"/>
                <w:color w:val="auto"/>
              </w:rPr>
            </w:pPr>
          </w:p>
        </w:tc>
      </w:tr>
      <w:tr>
        <w:trPr>
          <w:trHeight w:val="250"/>
        </w:trPr>
        <w:tc>
          <w:tcPr>
            <w:tcW w:w="1020" w:type="dxa"/>
            <w:vAlign w:val="bottom"/>
            <w:gridSpan w:val="6"/>
          </w:tcPr>
          <w:p>
            <w:pPr>
              <w:ind w:left="140"/>
              <w:spacing w:after="0"/>
              <w:rPr>
                <w:sz w:val="20"/>
                <w:szCs w:val="20"/>
                <w:color w:val="auto"/>
              </w:rPr>
            </w:pPr>
            <w:r>
              <w:rPr>
                <w:rFonts w:ascii="Arial" w:cs="Arial" w:eastAsia="Arial" w:hAnsi="Arial"/>
                <w:sz w:val="18"/>
                <w:szCs w:val="18"/>
                <w:color w:val="auto"/>
              </w:rPr>
              <w:t>Item 2.</w:t>
            </w:r>
          </w:p>
        </w:tc>
        <w:tc>
          <w:tcPr>
            <w:tcW w:w="780" w:type="dxa"/>
            <w:vAlign w:val="bottom"/>
            <w:tcBorders>
              <w:bottom w:val="single" w:sz="8" w:color="0000EE"/>
            </w:tcBorders>
            <w:gridSpan w:val="2"/>
          </w:tcPr>
          <w:p>
            <w:pPr>
              <w:spacing w:after="0"/>
              <w:rPr>
                <w:rFonts w:ascii="Arial" w:cs="Arial" w:eastAsia="Arial" w:hAnsi="Arial"/>
                <w:sz w:val="18"/>
                <w:szCs w:val="18"/>
                <w:color w:val="0000EE"/>
                <w:w w:val="87"/>
              </w:rPr>
            </w:pPr>
            <w:hyperlink w:anchor="page11">
              <w:r>
                <w:rPr>
                  <w:rFonts w:ascii="Arial" w:cs="Arial" w:eastAsia="Arial" w:hAnsi="Arial"/>
                  <w:sz w:val="18"/>
                  <w:szCs w:val="18"/>
                  <w:color w:val="0000EE"/>
                  <w:w w:val="87"/>
                </w:rPr>
                <w:t>Properties.</w:t>
              </w:r>
            </w:hyperlink>
          </w:p>
        </w:tc>
        <w:tc>
          <w:tcPr>
            <w:tcW w:w="8200" w:type="dxa"/>
            <w:vAlign w:val="bottom"/>
            <w:gridSpan w:val="17"/>
          </w:tcPr>
          <w:p>
            <w:pPr>
              <w:spacing w:after="0"/>
              <w:rPr>
                <w:sz w:val="21"/>
                <w:szCs w:val="21"/>
                <w:color w:val="auto"/>
              </w:rPr>
            </w:pPr>
          </w:p>
        </w:tc>
        <w:tc>
          <w:tcPr>
            <w:tcW w:w="1040" w:type="dxa"/>
            <w:vAlign w:val="bottom"/>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11">
              <w:r>
                <w:rPr>
                  <w:rFonts w:ascii="Arial" w:cs="Arial" w:eastAsia="Arial" w:hAnsi="Arial"/>
                  <w:sz w:val="18"/>
                  <w:szCs w:val="18"/>
                  <w:color w:val="0000EE"/>
                  <w:w w:val="79"/>
                </w:rPr>
                <w:t>11</w:t>
              </w:r>
            </w:hyperlink>
          </w:p>
        </w:tc>
        <w:tc>
          <w:tcPr>
            <w:tcW w:w="0" w:type="dxa"/>
            <w:vAlign w:val="bottom"/>
          </w:tcPr>
          <w:p>
            <w:pPr>
              <w:spacing w:after="0"/>
              <w:rPr>
                <w:sz w:val="1"/>
                <w:szCs w:val="1"/>
                <w:color w:val="auto"/>
              </w:rPr>
            </w:pPr>
          </w:p>
        </w:tc>
      </w:tr>
      <w:tr>
        <w:trPr>
          <w:trHeight w:val="250"/>
        </w:trPr>
        <w:tc>
          <w:tcPr>
            <w:tcW w:w="1020" w:type="dxa"/>
            <w:vAlign w:val="bottom"/>
            <w:gridSpan w:val="6"/>
          </w:tcPr>
          <w:p>
            <w:pPr>
              <w:ind w:left="140"/>
              <w:spacing w:after="0"/>
              <w:rPr>
                <w:sz w:val="20"/>
                <w:szCs w:val="20"/>
                <w:color w:val="auto"/>
              </w:rPr>
            </w:pPr>
            <w:r>
              <w:rPr>
                <w:rFonts w:ascii="Arial" w:cs="Arial" w:eastAsia="Arial" w:hAnsi="Arial"/>
                <w:sz w:val="18"/>
                <w:szCs w:val="18"/>
                <w:color w:val="auto"/>
              </w:rPr>
              <w:t>Item 3.</w:t>
            </w:r>
          </w:p>
        </w:tc>
        <w:tc>
          <w:tcPr>
            <w:tcW w:w="8980" w:type="dxa"/>
            <w:vAlign w:val="bottom"/>
            <w:gridSpan w:val="19"/>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Legal Proceedings.</w:t>
              </w:r>
            </w:hyperlink>
          </w:p>
        </w:tc>
        <w:tc>
          <w:tcPr>
            <w:tcW w:w="1220" w:type="dxa"/>
            <w:vAlign w:val="bottom"/>
            <w:gridSpan w:val="3"/>
          </w:tcPr>
          <w:p>
            <w:pPr>
              <w:jc w:val="right"/>
              <w:spacing w:after="0"/>
              <w:rPr>
                <w:rFonts w:ascii="Arial" w:cs="Arial" w:eastAsia="Arial" w:hAnsi="Arial"/>
                <w:sz w:val="18"/>
                <w:szCs w:val="18"/>
                <w:color w:val="0000EE"/>
              </w:rPr>
            </w:pPr>
            <w:hyperlink w:anchor="page14">
              <w:r>
                <w:rPr>
                  <w:rFonts w:ascii="Arial" w:cs="Arial" w:eastAsia="Arial" w:hAnsi="Arial"/>
                  <w:sz w:val="18"/>
                  <w:szCs w:val="18"/>
                  <w:color w:val="0000EE"/>
                </w:rPr>
                <w:t>14</w:t>
              </w:r>
            </w:hyperlink>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Borders>
              <w:right w:val="single" w:sz="8" w:color="0000EE"/>
            </w:tcBorders>
            <w:gridSpan w:val="4"/>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20" w:type="dxa"/>
            <w:vAlign w:val="bottom"/>
            <w:gridSpan w:val="6"/>
          </w:tcPr>
          <w:p>
            <w:pPr>
              <w:ind w:left="140"/>
              <w:spacing w:after="0"/>
              <w:rPr>
                <w:sz w:val="20"/>
                <w:szCs w:val="20"/>
                <w:color w:val="auto"/>
              </w:rPr>
            </w:pPr>
            <w:r>
              <w:rPr>
                <w:rFonts w:ascii="Arial" w:cs="Arial" w:eastAsia="Arial" w:hAnsi="Arial"/>
                <w:sz w:val="18"/>
                <w:szCs w:val="18"/>
                <w:color w:val="auto"/>
              </w:rPr>
              <w:t>Item 4.</w:t>
            </w:r>
          </w:p>
        </w:tc>
        <w:tc>
          <w:tcPr>
            <w:tcW w:w="8980" w:type="dxa"/>
            <w:vAlign w:val="bottom"/>
            <w:gridSpan w:val="19"/>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Mine Safety Disclosures.</w:t>
              </w:r>
            </w:hyperlink>
          </w:p>
        </w:tc>
        <w:tc>
          <w:tcPr>
            <w:tcW w:w="1220" w:type="dxa"/>
            <w:vAlign w:val="bottom"/>
            <w:gridSpan w:val="3"/>
          </w:tcPr>
          <w:p>
            <w:pPr>
              <w:jc w:val="right"/>
              <w:spacing w:after="0"/>
              <w:rPr>
                <w:rFonts w:ascii="Arial" w:cs="Arial" w:eastAsia="Arial" w:hAnsi="Arial"/>
                <w:sz w:val="18"/>
                <w:szCs w:val="18"/>
                <w:color w:val="0000EE"/>
              </w:rPr>
            </w:pPr>
            <w:hyperlink w:anchor="page14">
              <w:r>
                <w:rPr>
                  <w:rFonts w:ascii="Arial" w:cs="Arial" w:eastAsia="Arial" w:hAnsi="Arial"/>
                  <w:sz w:val="18"/>
                  <w:szCs w:val="18"/>
                  <w:color w:val="0000EE"/>
                </w:rPr>
                <w:t>14</w:t>
              </w:r>
            </w:hyperlink>
          </w:p>
        </w:tc>
        <w:tc>
          <w:tcPr>
            <w:tcW w:w="0" w:type="dxa"/>
            <w:vAlign w:val="bottom"/>
          </w:tcPr>
          <w:p>
            <w:pPr>
              <w:spacing w:after="0"/>
              <w:rPr>
                <w:sz w:val="1"/>
                <w:szCs w:val="1"/>
                <w:color w:val="auto"/>
              </w:rPr>
            </w:pPr>
          </w:p>
        </w:tc>
      </w:tr>
      <w:tr>
        <w:trPr>
          <w:trHeight w:val="547"/>
        </w:trPr>
        <w:tc>
          <w:tcPr>
            <w:tcW w:w="660" w:type="dxa"/>
            <w:vAlign w:val="bottom"/>
            <w:tcBorders>
              <w:bottom w:val="single" w:sz="8" w:color="0000EE"/>
            </w:tcBorders>
            <w:gridSpan w:val="2"/>
          </w:tcPr>
          <w:p>
            <w:pPr>
              <w:spacing w:after="0"/>
              <w:rPr>
                <w:rFonts w:ascii="Arial" w:cs="Arial" w:eastAsia="Arial" w:hAnsi="Arial"/>
                <w:sz w:val="18"/>
                <w:szCs w:val="18"/>
                <w:b w:val="1"/>
                <w:bCs w:val="1"/>
                <w:color w:val="0000EE"/>
                <w:w w:val="99"/>
              </w:rPr>
            </w:pPr>
            <w:hyperlink w:anchor="page15">
              <w:r>
                <w:rPr>
                  <w:rFonts w:ascii="Arial" w:cs="Arial" w:eastAsia="Arial" w:hAnsi="Arial"/>
                  <w:sz w:val="18"/>
                  <w:szCs w:val="18"/>
                  <w:b w:val="1"/>
                  <w:bCs w:val="1"/>
                  <w:color w:val="0000EE"/>
                  <w:w w:val="99"/>
                </w:rPr>
                <w:t>PART II</w:t>
              </w:r>
            </w:hyperlink>
          </w:p>
        </w:tc>
        <w:tc>
          <w:tcPr>
            <w:tcW w:w="360" w:type="dxa"/>
            <w:vAlign w:val="bottom"/>
            <w:gridSpan w:val="4"/>
          </w:tcPr>
          <w:p>
            <w:pPr>
              <w:spacing w:after="0"/>
              <w:rPr>
                <w:sz w:val="24"/>
                <w:szCs w:val="24"/>
                <w:color w:val="auto"/>
              </w:rPr>
            </w:pPr>
          </w:p>
        </w:tc>
        <w:tc>
          <w:tcPr>
            <w:tcW w:w="6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020" w:type="dxa"/>
            <w:vAlign w:val="bottom"/>
            <w:gridSpan w:val="6"/>
          </w:tcPr>
          <w:p>
            <w:pPr>
              <w:ind w:left="140"/>
              <w:spacing w:after="0"/>
              <w:rPr>
                <w:sz w:val="20"/>
                <w:szCs w:val="20"/>
                <w:color w:val="auto"/>
              </w:rPr>
            </w:pPr>
            <w:r>
              <w:rPr>
                <w:rFonts w:ascii="Arial" w:cs="Arial" w:eastAsia="Arial" w:hAnsi="Arial"/>
                <w:sz w:val="18"/>
                <w:szCs w:val="18"/>
                <w:color w:val="auto"/>
              </w:rPr>
              <w:t>Item 5.</w:t>
            </w:r>
          </w:p>
        </w:tc>
        <w:tc>
          <w:tcPr>
            <w:tcW w:w="8980" w:type="dxa"/>
            <w:vAlign w:val="bottom"/>
            <w:gridSpan w:val="19"/>
          </w:tcPr>
          <w:p>
            <w:pPr>
              <w:spacing w:after="0"/>
              <w:rPr>
                <w:rFonts w:ascii="Arial" w:cs="Arial" w:eastAsia="Arial" w:hAnsi="Arial"/>
                <w:sz w:val="18"/>
                <w:szCs w:val="18"/>
                <w:color w:val="0000EE"/>
                <w:w w:val="99"/>
              </w:rPr>
            </w:pPr>
            <w:hyperlink w:anchor="page15">
              <w:r>
                <w:rPr>
                  <w:rFonts w:ascii="Arial" w:cs="Arial" w:eastAsia="Arial" w:hAnsi="Arial"/>
                  <w:sz w:val="18"/>
                  <w:szCs w:val="18"/>
                  <w:color w:val="0000EE"/>
                  <w:w w:val="99"/>
                </w:rPr>
                <w:t>Market for Registrant’s Common Equity, Related Shareholder Matters and Issuer Purchases of Equity Securities.</w:t>
              </w:r>
            </w:hyperlink>
          </w:p>
        </w:tc>
        <w:tc>
          <w:tcPr>
            <w:tcW w:w="1220" w:type="dxa"/>
            <w:vAlign w:val="bottom"/>
            <w:gridSpan w:val="3"/>
          </w:tcPr>
          <w:p>
            <w:pPr>
              <w:jc w:val="right"/>
              <w:spacing w:after="0"/>
              <w:rPr>
                <w:rFonts w:ascii="Arial" w:cs="Arial" w:eastAsia="Arial" w:hAnsi="Arial"/>
                <w:sz w:val="18"/>
                <w:szCs w:val="18"/>
                <w:color w:val="0000EE"/>
              </w:rPr>
            </w:pPr>
            <w:hyperlink w:anchor="page15">
              <w:r>
                <w:rPr>
                  <w:rFonts w:ascii="Arial" w:cs="Arial" w:eastAsia="Arial" w:hAnsi="Arial"/>
                  <w:sz w:val="18"/>
                  <w:szCs w:val="18"/>
                  <w:color w:val="0000EE"/>
                </w:rPr>
                <w:t>15</w:t>
              </w:r>
            </w:hyperlink>
          </w:p>
        </w:tc>
        <w:tc>
          <w:tcPr>
            <w:tcW w:w="0" w:type="dxa"/>
            <w:vAlign w:val="bottom"/>
          </w:tcPr>
          <w:p>
            <w:pPr>
              <w:spacing w:after="0"/>
              <w:rPr>
                <w:sz w:val="1"/>
                <w:szCs w:val="1"/>
                <w:color w:val="auto"/>
              </w:rPr>
            </w:pPr>
          </w:p>
        </w:tc>
      </w:tr>
      <w:tr>
        <w:trPr>
          <w:trHeight w:val="20"/>
        </w:trPr>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Borders>
              <w:right w:val="single" w:sz="8" w:color="0000EE"/>
            </w:tcBorders>
            <w:gridSpan w:val="4"/>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20" w:type="dxa"/>
            <w:vAlign w:val="bottom"/>
            <w:gridSpan w:val="6"/>
          </w:tcPr>
          <w:p>
            <w:pPr>
              <w:ind w:left="140"/>
              <w:spacing w:after="0"/>
              <w:rPr>
                <w:sz w:val="20"/>
                <w:szCs w:val="20"/>
                <w:color w:val="auto"/>
              </w:rPr>
            </w:pPr>
            <w:r>
              <w:rPr>
                <w:rFonts w:ascii="Arial" w:cs="Arial" w:eastAsia="Arial" w:hAnsi="Arial"/>
                <w:sz w:val="18"/>
                <w:szCs w:val="18"/>
                <w:color w:val="auto"/>
              </w:rPr>
              <w:t>Item 6.</w:t>
            </w:r>
          </w:p>
        </w:tc>
        <w:tc>
          <w:tcPr>
            <w:tcW w:w="1760" w:type="dxa"/>
            <w:vAlign w:val="bottom"/>
            <w:gridSpan w:val="5"/>
          </w:tcPr>
          <w:p>
            <w:pPr>
              <w:spacing w:after="0"/>
              <w:rPr>
                <w:rFonts w:ascii="Arial" w:cs="Arial" w:eastAsia="Arial" w:hAnsi="Arial"/>
                <w:sz w:val="18"/>
                <w:szCs w:val="18"/>
                <w:color w:val="0000EE"/>
                <w:w w:val="89"/>
              </w:rPr>
            </w:pPr>
            <w:hyperlink w:anchor="page17">
              <w:r>
                <w:rPr>
                  <w:rFonts w:ascii="Arial" w:cs="Arial" w:eastAsia="Arial" w:hAnsi="Arial"/>
                  <w:sz w:val="18"/>
                  <w:szCs w:val="18"/>
                  <w:color w:val="0000EE"/>
                  <w:w w:val="89"/>
                </w:rPr>
                <w:t>Selected Financial Data.</w:t>
              </w:r>
            </w:hyperlink>
          </w:p>
        </w:tc>
        <w:tc>
          <w:tcPr>
            <w:tcW w:w="6360" w:type="dxa"/>
            <w:vAlign w:val="bottom"/>
            <w:gridSpan w:val="13"/>
          </w:tcPr>
          <w:p>
            <w:pPr>
              <w:spacing w:after="0"/>
              <w:rPr>
                <w:sz w:val="21"/>
                <w:szCs w:val="21"/>
                <w:color w:val="auto"/>
              </w:rPr>
            </w:pPr>
          </w:p>
        </w:tc>
        <w:tc>
          <w:tcPr>
            <w:tcW w:w="860" w:type="dxa"/>
            <w:vAlign w:val="bottom"/>
          </w:tcPr>
          <w:p>
            <w:pPr>
              <w:spacing w:after="0"/>
              <w:rPr>
                <w:sz w:val="21"/>
                <w:szCs w:val="21"/>
                <w:color w:val="auto"/>
              </w:rPr>
            </w:pPr>
          </w:p>
        </w:tc>
        <w:tc>
          <w:tcPr>
            <w:tcW w:w="1220" w:type="dxa"/>
            <w:vAlign w:val="bottom"/>
            <w:gridSpan w:val="3"/>
          </w:tcPr>
          <w:p>
            <w:pPr>
              <w:jc w:val="right"/>
              <w:spacing w:after="0"/>
              <w:rPr>
                <w:rFonts w:ascii="Arial" w:cs="Arial" w:eastAsia="Arial" w:hAnsi="Arial"/>
                <w:sz w:val="18"/>
                <w:szCs w:val="18"/>
                <w:color w:val="0000EE"/>
              </w:rPr>
            </w:pPr>
            <w:hyperlink w:anchor="page17">
              <w:r>
                <w:rPr>
                  <w:rFonts w:ascii="Arial" w:cs="Arial" w:eastAsia="Arial" w:hAnsi="Arial"/>
                  <w:sz w:val="18"/>
                  <w:szCs w:val="18"/>
                  <w:color w:val="0000EE"/>
                </w:rPr>
                <w:t>17</w:t>
              </w:r>
            </w:hyperlink>
          </w:p>
        </w:tc>
        <w:tc>
          <w:tcPr>
            <w:tcW w:w="0" w:type="dxa"/>
            <w:vAlign w:val="bottom"/>
          </w:tcPr>
          <w:p>
            <w:pPr>
              <w:spacing w:after="0"/>
              <w:rPr>
                <w:sz w:val="1"/>
                <w:szCs w:val="1"/>
                <w:color w:val="auto"/>
              </w:rPr>
            </w:pPr>
          </w:p>
        </w:tc>
      </w:tr>
      <w:tr>
        <w:trPr>
          <w:trHeight w:val="20"/>
        </w:trPr>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Borders>
              <w:right w:val="single" w:sz="8" w:color="0000EE"/>
            </w:tcBorders>
            <w:gridSpan w:val="4"/>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20" w:type="dxa"/>
            <w:vAlign w:val="bottom"/>
            <w:gridSpan w:val="6"/>
          </w:tcPr>
          <w:p>
            <w:pPr>
              <w:ind w:left="140"/>
              <w:spacing w:after="0"/>
              <w:rPr>
                <w:sz w:val="20"/>
                <w:szCs w:val="20"/>
                <w:color w:val="auto"/>
              </w:rPr>
            </w:pPr>
            <w:r>
              <w:rPr>
                <w:rFonts w:ascii="Arial" w:cs="Arial" w:eastAsia="Arial" w:hAnsi="Arial"/>
                <w:sz w:val="18"/>
                <w:szCs w:val="18"/>
                <w:color w:val="auto"/>
              </w:rPr>
              <w:t>Item 7.</w:t>
            </w:r>
          </w:p>
        </w:tc>
        <w:tc>
          <w:tcPr>
            <w:tcW w:w="8980" w:type="dxa"/>
            <w:vAlign w:val="bottom"/>
            <w:gridSpan w:val="19"/>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Management’s Discussion and Analysis of Financial Condition and Results of Operations.</w:t>
              </w:r>
            </w:hyperlink>
          </w:p>
        </w:tc>
        <w:tc>
          <w:tcPr>
            <w:tcW w:w="1220" w:type="dxa"/>
            <w:vAlign w:val="bottom"/>
            <w:gridSpan w:val="3"/>
          </w:tcPr>
          <w:p>
            <w:pPr>
              <w:jc w:val="right"/>
              <w:spacing w:after="0"/>
              <w:rPr>
                <w:rFonts w:ascii="Arial" w:cs="Arial" w:eastAsia="Arial" w:hAnsi="Arial"/>
                <w:sz w:val="18"/>
                <w:szCs w:val="18"/>
                <w:color w:val="0000EE"/>
              </w:rPr>
            </w:pPr>
            <w:hyperlink w:anchor="page18">
              <w:r>
                <w:rPr>
                  <w:rFonts w:ascii="Arial" w:cs="Arial" w:eastAsia="Arial" w:hAnsi="Arial"/>
                  <w:sz w:val="18"/>
                  <w:szCs w:val="18"/>
                  <w:color w:val="0000EE"/>
                </w:rPr>
                <w:t>18</w:t>
              </w:r>
            </w:hyperlink>
          </w:p>
        </w:tc>
        <w:tc>
          <w:tcPr>
            <w:tcW w:w="0" w:type="dxa"/>
            <w:vAlign w:val="bottom"/>
          </w:tcPr>
          <w:p>
            <w:pPr>
              <w:spacing w:after="0"/>
              <w:rPr>
                <w:sz w:val="1"/>
                <w:szCs w:val="1"/>
                <w:color w:val="auto"/>
              </w:rPr>
            </w:pPr>
          </w:p>
        </w:tc>
      </w:tr>
      <w:tr>
        <w:trPr>
          <w:trHeight w:val="20"/>
        </w:trPr>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Borders>
              <w:right w:val="single" w:sz="8" w:color="0000EE"/>
            </w:tcBorders>
            <w:gridSpan w:val="4"/>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20" w:type="dxa"/>
            <w:vAlign w:val="bottom"/>
            <w:gridSpan w:val="6"/>
          </w:tcPr>
          <w:p>
            <w:pPr>
              <w:ind w:left="140"/>
              <w:spacing w:after="0"/>
              <w:rPr>
                <w:sz w:val="20"/>
                <w:szCs w:val="20"/>
                <w:color w:val="auto"/>
              </w:rPr>
            </w:pPr>
            <w:r>
              <w:rPr>
                <w:rFonts w:ascii="Arial" w:cs="Arial" w:eastAsia="Arial" w:hAnsi="Arial"/>
                <w:sz w:val="18"/>
                <w:szCs w:val="18"/>
                <w:color w:val="auto"/>
              </w:rPr>
              <w:t>Item 7A.</w:t>
            </w:r>
          </w:p>
        </w:tc>
        <w:tc>
          <w:tcPr>
            <w:tcW w:w="6500" w:type="dxa"/>
            <w:vAlign w:val="bottom"/>
            <w:gridSpan w:val="15"/>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Quantitative and Qualitative Disclosures About Market Risk.</w:t>
              </w:r>
            </w:hyperlink>
          </w:p>
        </w:tc>
        <w:tc>
          <w:tcPr>
            <w:tcW w:w="2480" w:type="dxa"/>
            <w:vAlign w:val="bottom"/>
            <w:gridSpan w:val="4"/>
          </w:tcPr>
          <w:p>
            <w:pPr>
              <w:spacing w:after="0"/>
              <w:rPr>
                <w:sz w:val="21"/>
                <w:szCs w:val="21"/>
                <w:color w:val="auto"/>
              </w:rPr>
            </w:pPr>
          </w:p>
        </w:tc>
        <w:tc>
          <w:tcPr>
            <w:tcW w:w="1220" w:type="dxa"/>
            <w:vAlign w:val="bottom"/>
            <w:gridSpan w:val="3"/>
          </w:tcPr>
          <w:p>
            <w:pPr>
              <w:jc w:val="right"/>
              <w:spacing w:after="0"/>
              <w:rPr>
                <w:rFonts w:ascii="Arial" w:cs="Arial" w:eastAsia="Arial" w:hAnsi="Arial"/>
                <w:sz w:val="18"/>
                <w:szCs w:val="18"/>
                <w:color w:val="0000EE"/>
              </w:rPr>
            </w:pPr>
            <w:hyperlink w:anchor="page35">
              <w:r>
                <w:rPr>
                  <w:rFonts w:ascii="Arial" w:cs="Arial" w:eastAsia="Arial" w:hAnsi="Arial"/>
                  <w:sz w:val="18"/>
                  <w:szCs w:val="18"/>
                  <w:color w:val="0000EE"/>
                </w:rPr>
                <w:t>35</w:t>
              </w:r>
            </w:hyperlink>
          </w:p>
        </w:tc>
        <w:tc>
          <w:tcPr>
            <w:tcW w:w="0" w:type="dxa"/>
            <w:vAlign w:val="bottom"/>
          </w:tcPr>
          <w:p>
            <w:pPr>
              <w:spacing w:after="0"/>
              <w:rPr>
                <w:sz w:val="1"/>
                <w:szCs w:val="1"/>
                <w:color w:val="auto"/>
              </w:rPr>
            </w:pPr>
          </w:p>
        </w:tc>
      </w:tr>
      <w:tr>
        <w:trPr>
          <w:trHeight w:val="20"/>
        </w:trPr>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Borders>
              <w:right w:val="single" w:sz="8" w:color="0000EE"/>
            </w:tcBorders>
            <w:gridSpan w:val="4"/>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20" w:type="dxa"/>
            <w:vAlign w:val="bottom"/>
            <w:gridSpan w:val="6"/>
          </w:tcPr>
          <w:p>
            <w:pPr>
              <w:ind w:left="140"/>
              <w:spacing w:after="0"/>
              <w:rPr>
                <w:sz w:val="20"/>
                <w:szCs w:val="20"/>
                <w:color w:val="auto"/>
              </w:rPr>
            </w:pPr>
            <w:r>
              <w:rPr>
                <w:rFonts w:ascii="Arial" w:cs="Arial" w:eastAsia="Arial" w:hAnsi="Arial"/>
                <w:sz w:val="18"/>
                <w:szCs w:val="18"/>
                <w:color w:val="auto"/>
              </w:rPr>
              <w:t>Item 8.</w:t>
            </w:r>
          </w:p>
        </w:tc>
        <w:tc>
          <w:tcPr>
            <w:tcW w:w="3380" w:type="dxa"/>
            <w:vAlign w:val="bottom"/>
            <w:gridSpan w:val="11"/>
          </w:tcPr>
          <w:p>
            <w:pPr>
              <w:spacing w:after="0"/>
              <w:rPr>
                <w:rFonts w:ascii="Arial" w:cs="Arial" w:eastAsia="Arial" w:hAnsi="Arial"/>
                <w:sz w:val="18"/>
                <w:szCs w:val="18"/>
                <w:color w:val="0000EE"/>
                <w:w w:val="89"/>
              </w:rPr>
            </w:pPr>
            <w:hyperlink w:anchor="page36">
              <w:r>
                <w:rPr>
                  <w:rFonts w:ascii="Arial" w:cs="Arial" w:eastAsia="Arial" w:hAnsi="Arial"/>
                  <w:sz w:val="18"/>
                  <w:szCs w:val="18"/>
                  <w:color w:val="0000EE"/>
                  <w:w w:val="89"/>
                </w:rPr>
                <w:t>Financial Statements and Supplementary Data.</w:t>
              </w:r>
            </w:hyperlink>
          </w:p>
        </w:tc>
        <w:tc>
          <w:tcPr>
            <w:tcW w:w="1020" w:type="dxa"/>
            <w:vAlign w:val="bottom"/>
            <w:gridSpan w:val="2"/>
          </w:tcPr>
          <w:p>
            <w:pPr>
              <w:spacing w:after="0"/>
              <w:rPr>
                <w:sz w:val="21"/>
                <w:szCs w:val="21"/>
                <w:color w:val="auto"/>
              </w:rPr>
            </w:pPr>
          </w:p>
        </w:tc>
        <w:tc>
          <w:tcPr>
            <w:tcW w:w="4580" w:type="dxa"/>
            <w:vAlign w:val="bottom"/>
            <w:gridSpan w:val="6"/>
          </w:tcPr>
          <w:p>
            <w:pPr>
              <w:spacing w:after="0"/>
              <w:rPr>
                <w:sz w:val="21"/>
                <w:szCs w:val="21"/>
                <w:color w:val="auto"/>
              </w:rPr>
            </w:pPr>
          </w:p>
        </w:tc>
        <w:tc>
          <w:tcPr>
            <w:tcW w:w="1220" w:type="dxa"/>
            <w:vAlign w:val="bottom"/>
            <w:gridSpan w:val="3"/>
          </w:tcPr>
          <w:p>
            <w:pPr>
              <w:jc w:val="right"/>
              <w:spacing w:after="0"/>
              <w:rPr>
                <w:rFonts w:ascii="Arial" w:cs="Arial" w:eastAsia="Arial" w:hAnsi="Arial"/>
                <w:sz w:val="18"/>
                <w:szCs w:val="18"/>
                <w:color w:val="0000EE"/>
              </w:rPr>
            </w:pPr>
            <w:hyperlink w:anchor="page36">
              <w:r>
                <w:rPr>
                  <w:rFonts w:ascii="Arial" w:cs="Arial" w:eastAsia="Arial" w:hAnsi="Arial"/>
                  <w:sz w:val="18"/>
                  <w:szCs w:val="18"/>
                  <w:color w:val="0000EE"/>
                </w:rPr>
                <w:t>36</w:t>
              </w:r>
            </w:hyperlink>
          </w:p>
        </w:tc>
        <w:tc>
          <w:tcPr>
            <w:tcW w:w="0" w:type="dxa"/>
            <w:vAlign w:val="bottom"/>
          </w:tcPr>
          <w:p>
            <w:pPr>
              <w:spacing w:after="0"/>
              <w:rPr>
                <w:sz w:val="1"/>
                <w:szCs w:val="1"/>
                <w:color w:val="auto"/>
              </w:rPr>
            </w:pPr>
          </w:p>
        </w:tc>
      </w:tr>
      <w:tr>
        <w:trPr>
          <w:trHeight w:val="20"/>
        </w:trPr>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Borders>
              <w:right w:val="single" w:sz="8" w:color="0000EE"/>
            </w:tcBorders>
            <w:gridSpan w:val="4"/>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20" w:type="dxa"/>
            <w:vAlign w:val="bottom"/>
            <w:gridSpan w:val="6"/>
          </w:tcPr>
          <w:p>
            <w:pPr>
              <w:ind w:left="140"/>
              <w:spacing w:after="0"/>
              <w:rPr>
                <w:sz w:val="20"/>
                <w:szCs w:val="20"/>
                <w:color w:val="auto"/>
              </w:rPr>
            </w:pPr>
            <w:r>
              <w:rPr>
                <w:rFonts w:ascii="Arial" w:cs="Arial" w:eastAsia="Arial" w:hAnsi="Arial"/>
                <w:sz w:val="18"/>
                <w:szCs w:val="18"/>
                <w:color w:val="auto"/>
              </w:rPr>
              <w:t>Item 9.</w:t>
            </w:r>
          </w:p>
        </w:tc>
        <w:tc>
          <w:tcPr>
            <w:tcW w:w="6560" w:type="dxa"/>
            <w:vAlign w:val="bottom"/>
            <w:gridSpan w:val="16"/>
          </w:tcPr>
          <w:p>
            <w:pPr>
              <w:spacing w:after="0"/>
              <w:rPr>
                <w:rFonts w:ascii="Arial" w:cs="Arial" w:eastAsia="Arial" w:hAnsi="Arial"/>
                <w:sz w:val="18"/>
                <w:szCs w:val="18"/>
                <w:color w:val="0000EE"/>
                <w:w w:val="90"/>
              </w:rPr>
            </w:pPr>
            <w:hyperlink w:anchor="page65">
              <w:r>
                <w:rPr>
                  <w:rFonts w:ascii="Arial" w:cs="Arial" w:eastAsia="Arial" w:hAnsi="Arial"/>
                  <w:sz w:val="18"/>
                  <w:szCs w:val="18"/>
                  <w:color w:val="0000EE"/>
                  <w:w w:val="90"/>
                </w:rPr>
                <w:t>Changes in and Disagreements With Accountants on Accounting and Financial Disclosure.</w:t>
              </w:r>
            </w:hyperlink>
          </w:p>
        </w:tc>
        <w:tc>
          <w:tcPr>
            <w:tcW w:w="2420" w:type="dxa"/>
            <w:vAlign w:val="bottom"/>
            <w:gridSpan w:val="3"/>
          </w:tcPr>
          <w:p>
            <w:pPr>
              <w:spacing w:after="0"/>
              <w:rPr>
                <w:sz w:val="21"/>
                <w:szCs w:val="21"/>
                <w:color w:val="auto"/>
              </w:rPr>
            </w:pPr>
          </w:p>
        </w:tc>
        <w:tc>
          <w:tcPr>
            <w:tcW w:w="1220" w:type="dxa"/>
            <w:vAlign w:val="bottom"/>
            <w:gridSpan w:val="3"/>
          </w:tcPr>
          <w:p>
            <w:pPr>
              <w:jc w:val="right"/>
              <w:spacing w:after="0"/>
              <w:rPr>
                <w:rFonts w:ascii="Arial" w:cs="Arial" w:eastAsia="Arial" w:hAnsi="Arial"/>
                <w:sz w:val="18"/>
                <w:szCs w:val="18"/>
                <w:color w:val="0000EE"/>
              </w:rPr>
            </w:pPr>
            <w:hyperlink w:anchor="page65">
              <w:r>
                <w:rPr>
                  <w:rFonts w:ascii="Arial" w:cs="Arial" w:eastAsia="Arial" w:hAnsi="Arial"/>
                  <w:sz w:val="18"/>
                  <w:szCs w:val="18"/>
                  <w:color w:val="0000EE"/>
                </w:rPr>
                <w:t>64</w:t>
              </w:r>
            </w:hyperlink>
          </w:p>
        </w:tc>
        <w:tc>
          <w:tcPr>
            <w:tcW w:w="0" w:type="dxa"/>
            <w:vAlign w:val="bottom"/>
          </w:tcPr>
          <w:p>
            <w:pPr>
              <w:spacing w:after="0"/>
              <w:rPr>
                <w:sz w:val="1"/>
                <w:szCs w:val="1"/>
                <w:color w:val="auto"/>
              </w:rPr>
            </w:pPr>
          </w:p>
        </w:tc>
      </w:tr>
      <w:tr>
        <w:trPr>
          <w:trHeight w:val="20"/>
        </w:trPr>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Borders>
              <w:right w:val="single" w:sz="8" w:color="0000EE"/>
            </w:tcBorders>
            <w:gridSpan w:val="4"/>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20" w:type="dxa"/>
            <w:vAlign w:val="bottom"/>
            <w:gridSpan w:val="6"/>
          </w:tcPr>
          <w:p>
            <w:pPr>
              <w:ind w:left="140"/>
              <w:spacing w:after="0"/>
              <w:rPr>
                <w:sz w:val="20"/>
                <w:szCs w:val="20"/>
                <w:color w:val="auto"/>
              </w:rPr>
            </w:pPr>
            <w:r>
              <w:rPr>
                <w:rFonts w:ascii="Arial" w:cs="Arial" w:eastAsia="Arial" w:hAnsi="Arial"/>
                <w:sz w:val="18"/>
                <w:szCs w:val="18"/>
                <w:color w:val="auto"/>
              </w:rPr>
              <w:t>Item 9A.</w:t>
            </w:r>
          </w:p>
        </w:tc>
        <w:tc>
          <w:tcPr>
            <w:tcW w:w="1820" w:type="dxa"/>
            <w:vAlign w:val="bottom"/>
            <w:gridSpan w:val="6"/>
          </w:tcPr>
          <w:p>
            <w:pPr>
              <w:spacing w:after="0"/>
              <w:rPr>
                <w:rFonts w:ascii="Arial" w:cs="Arial" w:eastAsia="Arial" w:hAnsi="Arial"/>
                <w:sz w:val="18"/>
                <w:szCs w:val="18"/>
                <w:color w:val="0000EE"/>
                <w:w w:val="88"/>
              </w:rPr>
            </w:pPr>
            <w:hyperlink w:anchor="page65">
              <w:r>
                <w:rPr>
                  <w:rFonts w:ascii="Arial" w:cs="Arial" w:eastAsia="Arial" w:hAnsi="Arial"/>
                  <w:sz w:val="18"/>
                  <w:szCs w:val="18"/>
                  <w:color w:val="0000EE"/>
                  <w:w w:val="88"/>
                </w:rPr>
                <w:t>Controls and Procedures.</w:t>
              </w:r>
            </w:hyperlink>
          </w:p>
        </w:tc>
        <w:tc>
          <w:tcPr>
            <w:tcW w:w="4740" w:type="dxa"/>
            <w:vAlign w:val="bottom"/>
            <w:gridSpan w:val="10"/>
          </w:tcPr>
          <w:p>
            <w:pPr>
              <w:spacing w:after="0"/>
              <w:rPr>
                <w:sz w:val="21"/>
                <w:szCs w:val="21"/>
                <w:color w:val="auto"/>
              </w:rPr>
            </w:pPr>
          </w:p>
        </w:tc>
        <w:tc>
          <w:tcPr>
            <w:tcW w:w="2420" w:type="dxa"/>
            <w:vAlign w:val="bottom"/>
            <w:gridSpan w:val="3"/>
          </w:tcPr>
          <w:p>
            <w:pPr>
              <w:spacing w:after="0"/>
              <w:rPr>
                <w:sz w:val="21"/>
                <w:szCs w:val="21"/>
                <w:color w:val="auto"/>
              </w:rPr>
            </w:pPr>
          </w:p>
        </w:tc>
        <w:tc>
          <w:tcPr>
            <w:tcW w:w="1220" w:type="dxa"/>
            <w:vAlign w:val="bottom"/>
            <w:gridSpan w:val="3"/>
          </w:tcPr>
          <w:p>
            <w:pPr>
              <w:jc w:val="right"/>
              <w:spacing w:after="0"/>
              <w:rPr>
                <w:rFonts w:ascii="Arial" w:cs="Arial" w:eastAsia="Arial" w:hAnsi="Arial"/>
                <w:sz w:val="18"/>
                <w:szCs w:val="18"/>
                <w:color w:val="0000EE"/>
              </w:rPr>
            </w:pPr>
            <w:hyperlink w:anchor="page65">
              <w:r>
                <w:rPr>
                  <w:rFonts w:ascii="Arial" w:cs="Arial" w:eastAsia="Arial" w:hAnsi="Arial"/>
                  <w:sz w:val="18"/>
                  <w:szCs w:val="18"/>
                  <w:color w:val="0000EE"/>
                </w:rPr>
                <w:t>64</w:t>
              </w:r>
            </w:hyperlink>
          </w:p>
        </w:tc>
        <w:tc>
          <w:tcPr>
            <w:tcW w:w="0" w:type="dxa"/>
            <w:vAlign w:val="bottom"/>
          </w:tcPr>
          <w:p>
            <w:pPr>
              <w:spacing w:after="0"/>
              <w:rPr>
                <w:sz w:val="1"/>
                <w:szCs w:val="1"/>
                <w:color w:val="auto"/>
              </w:rPr>
            </w:pPr>
          </w:p>
        </w:tc>
      </w:tr>
      <w:tr>
        <w:trPr>
          <w:trHeight w:val="20"/>
        </w:trPr>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Borders>
              <w:right w:val="single" w:sz="8" w:color="0000EE"/>
            </w:tcBorders>
            <w:gridSpan w:val="4"/>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20" w:type="dxa"/>
            <w:vAlign w:val="bottom"/>
            <w:gridSpan w:val="6"/>
          </w:tcPr>
          <w:p>
            <w:pPr>
              <w:ind w:left="140"/>
              <w:spacing w:after="0"/>
              <w:rPr>
                <w:sz w:val="20"/>
                <w:szCs w:val="20"/>
                <w:color w:val="auto"/>
              </w:rPr>
            </w:pPr>
            <w:r>
              <w:rPr>
                <w:rFonts w:ascii="Arial" w:cs="Arial" w:eastAsia="Arial" w:hAnsi="Arial"/>
                <w:sz w:val="18"/>
                <w:szCs w:val="18"/>
                <w:color w:val="auto"/>
              </w:rPr>
              <w:t>Item 9B.</w:t>
            </w:r>
          </w:p>
        </w:tc>
        <w:tc>
          <w:tcPr>
            <w:tcW w:w="1820" w:type="dxa"/>
            <w:vAlign w:val="bottom"/>
            <w:gridSpan w:val="6"/>
          </w:tcPr>
          <w:p>
            <w:pPr>
              <w:spacing w:after="0"/>
              <w:rPr>
                <w:rFonts w:ascii="Arial" w:cs="Arial" w:eastAsia="Arial" w:hAnsi="Arial"/>
                <w:sz w:val="18"/>
                <w:szCs w:val="18"/>
                <w:color w:val="0000EE"/>
              </w:rPr>
            </w:pPr>
            <w:hyperlink w:anchor="page67">
              <w:r>
                <w:rPr>
                  <w:rFonts w:ascii="Arial" w:cs="Arial" w:eastAsia="Arial" w:hAnsi="Arial"/>
                  <w:sz w:val="18"/>
                  <w:szCs w:val="18"/>
                  <w:color w:val="0000EE"/>
                </w:rPr>
                <w:t>Other Information.</w:t>
              </w:r>
            </w:hyperlink>
          </w:p>
        </w:tc>
        <w:tc>
          <w:tcPr>
            <w:tcW w:w="7160" w:type="dxa"/>
            <w:vAlign w:val="bottom"/>
            <w:gridSpan w:val="13"/>
          </w:tcPr>
          <w:p>
            <w:pPr>
              <w:spacing w:after="0"/>
              <w:rPr>
                <w:sz w:val="21"/>
                <w:szCs w:val="21"/>
                <w:color w:val="auto"/>
              </w:rPr>
            </w:pPr>
          </w:p>
        </w:tc>
        <w:tc>
          <w:tcPr>
            <w:tcW w:w="1220" w:type="dxa"/>
            <w:vAlign w:val="bottom"/>
            <w:gridSpan w:val="3"/>
          </w:tcPr>
          <w:p>
            <w:pPr>
              <w:jc w:val="right"/>
              <w:spacing w:after="0"/>
              <w:rPr>
                <w:rFonts w:ascii="Arial" w:cs="Arial" w:eastAsia="Arial" w:hAnsi="Arial"/>
                <w:sz w:val="18"/>
                <w:szCs w:val="18"/>
                <w:color w:val="0000EE"/>
              </w:rPr>
            </w:pPr>
            <w:hyperlink w:anchor="page67">
              <w:r>
                <w:rPr>
                  <w:rFonts w:ascii="Arial" w:cs="Arial" w:eastAsia="Arial" w:hAnsi="Arial"/>
                  <w:sz w:val="18"/>
                  <w:szCs w:val="18"/>
                  <w:color w:val="0000EE"/>
                </w:rPr>
                <w:t>66</w:t>
              </w:r>
            </w:hyperlink>
          </w:p>
        </w:tc>
        <w:tc>
          <w:tcPr>
            <w:tcW w:w="0" w:type="dxa"/>
            <w:vAlign w:val="bottom"/>
          </w:tcPr>
          <w:p>
            <w:pPr>
              <w:spacing w:after="0"/>
              <w:rPr>
                <w:sz w:val="1"/>
                <w:szCs w:val="1"/>
                <w:color w:val="auto"/>
              </w:rPr>
            </w:pPr>
          </w:p>
        </w:tc>
      </w:tr>
      <w:tr>
        <w:trPr>
          <w:trHeight w:val="547"/>
        </w:trPr>
        <w:tc>
          <w:tcPr>
            <w:tcW w:w="740" w:type="dxa"/>
            <w:vAlign w:val="bottom"/>
            <w:tcBorders>
              <w:bottom w:val="single" w:sz="8" w:color="0000EE"/>
            </w:tcBorders>
            <w:gridSpan w:val="4"/>
          </w:tcPr>
          <w:p>
            <w:pPr>
              <w:spacing w:after="0"/>
              <w:rPr>
                <w:rFonts w:ascii="Arial" w:cs="Arial" w:eastAsia="Arial" w:hAnsi="Arial"/>
                <w:sz w:val="18"/>
                <w:szCs w:val="18"/>
                <w:b w:val="1"/>
                <w:bCs w:val="1"/>
                <w:color w:val="0000EE"/>
              </w:rPr>
            </w:pPr>
            <w:hyperlink w:anchor="page67">
              <w:r>
                <w:rPr>
                  <w:rFonts w:ascii="Arial" w:cs="Arial" w:eastAsia="Arial" w:hAnsi="Arial"/>
                  <w:sz w:val="18"/>
                  <w:szCs w:val="18"/>
                  <w:b w:val="1"/>
                  <w:bCs w:val="1"/>
                  <w:color w:val="0000EE"/>
                </w:rPr>
                <w:t>PART III</w:t>
              </w:r>
            </w:hyperlink>
          </w:p>
        </w:tc>
        <w:tc>
          <w:tcPr>
            <w:tcW w:w="280" w:type="dxa"/>
            <w:vAlign w:val="bottom"/>
            <w:gridSpan w:val="2"/>
          </w:tcPr>
          <w:p>
            <w:pPr>
              <w:spacing w:after="0"/>
              <w:rPr>
                <w:sz w:val="24"/>
                <w:szCs w:val="24"/>
                <w:color w:val="auto"/>
              </w:rPr>
            </w:pPr>
          </w:p>
        </w:tc>
        <w:tc>
          <w:tcPr>
            <w:tcW w:w="6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020" w:type="dxa"/>
            <w:vAlign w:val="bottom"/>
            <w:gridSpan w:val="6"/>
          </w:tcPr>
          <w:p>
            <w:pPr>
              <w:ind w:left="140"/>
              <w:spacing w:after="0"/>
              <w:rPr>
                <w:sz w:val="20"/>
                <w:szCs w:val="20"/>
                <w:color w:val="auto"/>
              </w:rPr>
            </w:pPr>
            <w:r>
              <w:rPr>
                <w:rFonts w:ascii="Arial" w:cs="Arial" w:eastAsia="Arial" w:hAnsi="Arial"/>
                <w:sz w:val="18"/>
                <w:szCs w:val="18"/>
                <w:color w:val="auto"/>
              </w:rPr>
              <w:t>Item 10.</w:t>
            </w:r>
          </w:p>
        </w:tc>
        <w:tc>
          <w:tcPr>
            <w:tcW w:w="8980" w:type="dxa"/>
            <w:vAlign w:val="bottom"/>
            <w:gridSpan w:val="19"/>
          </w:tcPr>
          <w:p>
            <w:pPr>
              <w:spacing w:after="0"/>
              <w:rPr>
                <w:rFonts w:ascii="Arial" w:cs="Arial" w:eastAsia="Arial" w:hAnsi="Arial"/>
                <w:sz w:val="18"/>
                <w:szCs w:val="18"/>
                <w:color w:val="0000EE"/>
              </w:rPr>
            </w:pPr>
            <w:hyperlink w:anchor="page67">
              <w:r>
                <w:rPr>
                  <w:rFonts w:ascii="Arial" w:cs="Arial" w:eastAsia="Arial" w:hAnsi="Arial"/>
                  <w:sz w:val="18"/>
                  <w:szCs w:val="18"/>
                  <w:color w:val="0000EE"/>
                </w:rPr>
                <w:t>Directors, Executive Officers and Corporate Governance.</w:t>
              </w:r>
            </w:hyperlink>
          </w:p>
        </w:tc>
        <w:tc>
          <w:tcPr>
            <w:tcW w:w="1220" w:type="dxa"/>
            <w:vAlign w:val="bottom"/>
            <w:gridSpan w:val="3"/>
          </w:tcPr>
          <w:p>
            <w:pPr>
              <w:jc w:val="right"/>
              <w:spacing w:after="0"/>
              <w:rPr>
                <w:rFonts w:ascii="Arial" w:cs="Arial" w:eastAsia="Arial" w:hAnsi="Arial"/>
                <w:sz w:val="18"/>
                <w:szCs w:val="18"/>
                <w:color w:val="0000EE"/>
              </w:rPr>
            </w:pPr>
            <w:hyperlink w:anchor="page67">
              <w:r>
                <w:rPr>
                  <w:rFonts w:ascii="Arial" w:cs="Arial" w:eastAsia="Arial" w:hAnsi="Arial"/>
                  <w:sz w:val="18"/>
                  <w:szCs w:val="18"/>
                  <w:color w:val="0000EE"/>
                </w:rPr>
                <w:t>66</w:t>
              </w:r>
            </w:hyperlink>
          </w:p>
        </w:tc>
        <w:tc>
          <w:tcPr>
            <w:tcW w:w="0" w:type="dxa"/>
            <w:vAlign w:val="bottom"/>
          </w:tcPr>
          <w:p>
            <w:pPr>
              <w:spacing w:after="0"/>
              <w:rPr>
                <w:sz w:val="1"/>
                <w:szCs w:val="1"/>
                <w:color w:val="auto"/>
              </w:rPr>
            </w:pPr>
          </w:p>
        </w:tc>
      </w:tr>
      <w:tr>
        <w:trPr>
          <w:trHeight w:val="20"/>
        </w:trPr>
        <w:tc>
          <w:tcPr>
            <w:tcW w:w="72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60" w:type="dxa"/>
            <w:vAlign w:val="bottom"/>
            <w:gridSpan w:val="7"/>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20" w:type="dxa"/>
            <w:vAlign w:val="bottom"/>
            <w:gridSpan w:val="6"/>
          </w:tcPr>
          <w:p>
            <w:pPr>
              <w:ind w:left="140"/>
              <w:spacing w:after="0"/>
              <w:rPr>
                <w:sz w:val="20"/>
                <w:szCs w:val="20"/>
                <w:color w:val="auto"/>
              </w:rPr>
            </w:pPr>
            <w:r>
              <w:rPr>
                <w:rFonts w:ascii="Arial" w:cs="Arial" w:eastAsia="Arial" w:hAnsi="Arial"/>
                <w:sz w:val="18"/>
                <w:szCs w:val="18"/>
                <w:color w:val="auto"/>
              </w:rPr>
              <w:t>Item 11.</w:t>
            </w:r>
          </w:p>
        </w:tc>
        <w:tc>
          <w:tcPr>
            <w:tcW w:w="1860" w:type="dxa"/>
            <w:vAlign w:val="bottom"/>
            <w:gridSpan w:val="7"/>
          </w:tcPr>
          <w:p>
            <w:pPr>
              <w:spacing w:after="0"/>
              <w:rPr>
                <w:rFonts w:ascii="Arial" w:cs="Arial" w:eastAsia="Arial" w:hAnsi="Arial"/>
                <w:sz w:val="18"/>
                <w:szCs w:val="18"/>
                <w:color w:val="0000EE"/>
                <w:w w:val="90"/>
              </w:rPr>
            </w:pPr>
            <w:hyperlink w:anchor="page67">
              <w:r>
                <w:rPr>
                  <w:rFonts w:ascii="Arial" w:cs="Arial" w:eastAsia="Arial" w:hAnsi="Arial"/>
                  <w:sz w:val="18"/>
                  <w:szCs w:val="18"/>
                  <w:color w:val="0000EE"/>
                  <w:w w:val="90"/>
                </w:rPr>
                <w:t>Executive Compensation.</w:t>
              </w:r>
            </w:hyperlink>
          </w:p>
        </w:tc>
        <w:tc>
          <w:tcPr>
            <w:tcW w:w="2280" w:type="dxa"/>
            <w:vAlign w:val="bottom"/>
            <w:gridSpan w:val="5"/>
          </w:tcPr>
          <w:p>
            <w:pPr>
              <w:spacing w:after="0"/>
              <w:rPr>
                <w:sz w:val="21"/>
                <w:szCs w:val="21"/>
                <w:color w:val="auto"/>
              </w:rPr>
            </w:pPr>
          </w:p>
        </w:tc>
        <w:tc>
          <w:tcPr>
            <w:tcW w:w="4840" w:type="dxa"/>
            <w:vAlign w:val="bottom"/>
            <w:gridSpan w:val="7"/>
          </w:tcPr>
          <w:p>
            <w:pPr>
              <w:spacing w:after="0"/>
              <w:rPr>
                <w:sz w:val="21"/>
                <w:szCs w:val="21"/>
                <w:color w:val="auto"/>
              </w:rPr>
            </w:pPr>
          </w:p>
        </w:tc>
        <w:tc>
          <w:tcPr>
            <w:tcW w:w="1220" w:type="dxa"/>
            <w:vAlign w:val="bottom"/>
            <w:gridSpan w:val="3"/>
          </w:tcPr>
          <w:p>
            <w:pPr>
              <w:jc w:val="right"/>
              <w:spacing w:after="0"/>
              <w:rPr>
                <w:rFonts w:ascii="Arial" w:cs="Arial" w:eastAsia="Arial" w:hAnsi="Arial"/>
                <w:sz w:val="18"/>
                <w:szCs w:val="18"/>
                <w:color w:val="0000EE"/>
              </w:rPr>
            </w:pPr>
            <w:hyperlink w:anchor="page67">
              <w:r>
                <w:rPr>
                  <w:rFonts w:ascii="Arial" w:cs="Arial" w:eastAsia="Arial" w:hAnsi="Arial"/>
                  <w:sz w:val="18"/>
                  <w:szCs w:val="18"/>
                  <w:color w:val="0000EE"/>
                </w:rPr>
                <w:t>66</w:t>
              </w:r>
            </w:hyperlink>
          </w:p>
        </w:tc>
        <w:tc>
          <w:tcPr>
            <w:tcW w:w="0" w:type="dxa"/>
            <w:vAlign w:val="bottom"/>
          </w:tcPr>
          <w:p>
            <w:pPr>
              <w:spacing w:after="0"/>
              <w:rPr>
                <w:sz w:val="1"/>
                <w:szCs w:val="1"/>
                <w:color w:val="auto"/>
              </w:rPr>
            </w:pPr>
          </w:p>
        </w:tc>
      </w:tr>
      <w:tr>
        <w:trPr>
          <w:trHeight w:val="20"/>
        </w:trPr>
        <w:tc>
          <w:tcPr>
            <w:tcW w:w="72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60" w:type="dxa"/>
            <w:vAlign w:val="bottom"/>
            <w:gridSpan w:val="7"/>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300" w:type="dxa"/>
            <w:vAlign w:val="bottom"/>
            <w:gridSpan w:val="4"/>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20" w:type="dxa"/>
            <w:vAlign w:val="bottom"/>
            <w:gridSpan w:val="6"/>
          </w:tcPr>
          <w:p>
            <w:pPr>
              <w:ind w:left="140"/>
              <w:spacing w:after="0"/>
              <w:rPr>
                <w:sz w:val="20"/>
                <w:szCs w:val="20"/>
                <w:color w:val="auto"/>
              </w:rPr>
            </w:pPr>
            <w:r>
              <w:rPr>
                <w:rFonts w:ascii="Arial" w:cs="Arial" w:eastAsia="Arial" w:hAnsi="Arial"/>
                <w:sz w:val="18"/>
                <w:szCs w:val="18"/>
                <w:color w:val="auto"/>
              </w:rPr>
              <w:t>Item 12.</w:t>
            </w:r>
          </w:p>
        </w:tc>
        <w:tc>
          <w:tcPr>
            <w:tcW w:w="7340" w:type="dxa"/>
            <w:vAlign w:val="bottom"/>
            <w:gridSpan w:val="17"/>
          </w:tcPr>
          <w:p>
            <w:pPr>
              <w:spacing w:after="0"/>
              <w:rPr>
                <w:rFonts w:ascii="Arial" w:cs="Arial" w:eastAsia="Arial" w:hAnsi="Arial"/>
                <w:sz w:val="18"/>
                <w:szCs w:val="18"/>
                <w:color w:val="0000EE"/>
                <w:w w:val="90"/>
              </w:rPr>
            </w:pPr>
            <w:hyperlink w:anchor="page67">
              <w:r>
                <w:rPr>
                  <w:rFonts w:ascii="Arial" w:cs="Arial" w:eastAsia="Arial" w:hAnsi="Arial"/>
                  <w:sz w:val="18"/>
                  <w:szCs w:val="18"/>
                  <w:color w:val="0000EE"/>
                  <w:w w:val="90"/>
                </w:rPr>
                <w:t>Security Ownership of Certain Beneficial Owners and Management and Related Shareholder Matters.</w:t>
              </w:r>
            </w:hyperlink>
          </w:p>
        </w:tc>
        <w:tc>
          <w:tcPr>
            <w:tcW w:w="1640" w:type="dxa"/>
            <w:vAlign w:val="bottom"/>
            <w:gridSpan w:val="2"/>
          </w:tcPr>
          <w:p>
            <w:pPr>
              <w:spacing w:after="0"/>
              <w:rPr>
                <w:sz w:val="21"/>
                <w:szCs w:val="21"/>
                <w:color w:val="auto"/>
              </w:rPr>
            </w:pPr>
          </w:p>
        </w:tc>
        <w:tc>
          <w:tcPr>
            <w:tcW w:w="1220" w:type="dxa"/>
            <w:vAlign w:val="bottom"/>
            <w:gridSpan w:val="3"/>
          </w:tcPr>
          <w:p>
            <w:pPr>
              <w:jc w:val="right"/>
              <w:spacing w:after="0"/>
              <w:rPr>
                <w:rFonts w:ascii="Arial" w:cs="Arial" w:eastAsia="Arial" w:hAnsi="Arial"/>
                <w:sz w:val="18"/>
                <w:szCs w:val="18"/>
                <w:color w:val="0000EE"/>
              </w:rPr>
            </w:pPr>
            <w:hyperlink w:anchor="page67">
              <w:r>
                <w:rPr>
                  <w:rFonts w:ascii="Arial" w:cs="Arial" w:eastAsia="Arial" w:hAnsi="Arial"/>
                  <w:sz w:val="18"/>
                  <w:szCs w:val="18"/>
                  <w:color w:val="0000EE"/>
                </w:rPr>
                <w:t>66</w:t>
              </w:r>
            </w:hyperlink>
          </w:p>
        </w:tc>
        <w:tc>
          <w:tcPr>
            <w:tcW w:w="0" w:type="dxa"/>
            <w:vAlign w:val="bottom"/>
          </w:tcPr>
          <w:p>
            <w:pPr>
              <w:spacing w:after="0"/>
              <w:rPr>
                <w:sz w:val="1"/>
                <w:szCs w:val="1"/>
                <w:color w:val="auto"/>
              </w:rPr>
            </w:pPr>
          </w:p>
        </w:tc>
      </w:tr>
      <w:tr>
        <w:trPr>
          <w:trHeight w:val="20"/>
        </w:trPr>
        <w:tc>
          <w:tcPr>
            <w:tcW w:w="72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920" w:type="dxa"/>
            <w:vAlign w:val="bottom"/>
            <w:gridSpan w:val="9"/>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300" w:type="dxa"/>
            <w:vAlign w:val="bottom"/>
            <w:gridSpan w:val="4"/>
            <w:shd w:val="clear" w:color="auto" w:fill="0000EE"/>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20" w:type="dxa"/>
            <w:vAlign w:val="bottom"/>
            <w:gridSpan w:val="6"/>
          </w:tcPr>
          <w:p>
            <w:pPr>
              <w:ind w:left="140"/>
              <w:spacing w:after="0"/>
              <w:rPr>
                <w:sz w:val="20"/>
                <w:szCs w:val="20"/>
                <w:color w:val="auto"/>
              </w:rPr>
            </w:pPr>
            <w:r>
              <w:rPr>
                <w:rFonts w:ascii="Arial" w:cs="Arial" w:eastAsia="Arial" w:hAnsi="Arial"/>
                <w:sz w:val="18"/>
                <w:szCs w:val="18"/>
                <w:color w:val="auto"/>
              </w:rPr>
              <w:t>Item 13.</w:t>
            </w:r>
          </w:p>
        </w:tc>
        <w:tc>
          <w:tcPr>
            <w:tcW w:w="5500" w:type="dxa"/>
            <w:vAlign w:val="bottom"/>
            <w:gridSpan w:val="14"/>
          </w:tcPr>
          <w:p>
            <w:pPr>
              <w:spacing w:after="0"/>
              <w:rPr>
                <w:rFonts w:ascii="Arial" w:cs="Arial" w:eastAsia="Arial" w:hAnsi="Arial"/>
                <w:sz w:val="18"/>
                <w:szCs w:val="18"/>
                <w:color w:val="0000EE"/>
                <w:w w:val="89"/>
              </w:rPr>
            </w:pPr>
            <w:hyperlink w:anchor="page67">
              <w:r>
                <w:rPr>
                  <w:rFonts w:ascii="Arial" w:cs="Arial" w:eastAsia="Arial" w:hAnsi="Arial"/>
                  <w:sz w:val="18"/>
                  <w:szCs w:val="18"/>
                  <w:color w:val="0000EE"/>
                  <w:w w:val="89"/>
                </w:rPr>
                <w:t>Certain Relationships and Related Transactions, and Director Independence.</w:t>
              </w:r>
            </w:hyperlink>
          </w:p>
        </w:tc>
        <w:tc>
          <w:tcPr>
            <w:tcW w:w="1840" w:type="dxa"/>
            <w:vAlign w:val="bottom"/>
            <w:gridSpan w:val="3"/>
          </w:tcPr>
          <w:p>
            <w:pPr>
              <w:spacing w:after="0"/>
              <w:rPr>
                <w:sz w:val="21"/>
                <w:szCs w:val="21"/>
                <w:color w:val="auto"/>
              </w:rPr>
            </w:pPr>
          </w:p>
        </w:tc>
        <w:tc>
          <w:tcPr>
            <w:tcW w:w="1640" w:type="dxa"/>
            <w:vAlign w:val="bottom"/>
            <w:gridSpan w:val="2"/>
          </w:tcPr>
          <w:p>
            <w:pPr>
              <w:spacing w:after="0"/>
              <w:rPr>
                <w:sz w:val="21"/>
                <w:szCs w:val="21"/>
                <w:color w:val="auto"/>
              </w:rPr>
            </w:pPr>
          </w:p>
        </w:tc>
        <w:tc>
          <w:tcPr>
            <w:tcW w:w="1220" w:type="dxa"/>
            <w:vAlign w:val="bottom"/>
            <w:gridSpan w:val="3"/>
          </w:tcPr>
          <w:p>
            <w:pPr>
              <w:jc w:val="right"/>
              <w:spacing w:after="0"/>
              <w:rPr>
                <w:rFonts w:ascii="Arial" w:cs="Arial" w:eastAsia="Arial" w:hAnsi="Arial"/>
                <w:sz w:val="18"/>
                <w:szCs w:val="18"/>
                <w:color w:val="0000EE"/>
              </w:rPr>
            </w:pPr>
            <w:hyperlink w:anchor="page67">
              <w:r>
                <w:rPr>
                  <w:rFonts w:ascii="Arial" w:cs="Arial" w:eastAsia="Arial" w:hAnsi="Arial"/>
                  <w:sz w:val="18"/>
                  <w:szCs w:val="18"/>
                  <w:color w:val="0000EE"/>
                </w:rPr>
                <w:t>66</w:t>
              </w:r>
            </w:hyperlink>
          </w:p>
        </w:tc>
        <w:tc>
          <w:tcPr>
            <w:tcW w:w="0" w:type="dxa"/>
            <w:vAlign w:val="bottom"/>
          </w:tcPr>
          <w:p>
            <w:pPr>
              <w:spacing w:after="0"/>
              <w:rPr>
                <w:sz w:val="1"/>
                <w:szCs w:val="1"/>
                <w:color w:val="auto"/>
              </w:rPr>
            </w:pPr>
          </w:p>
        </w:tc>
      </w:tr>
      <w:tr>
        <w:trPr>
          <w:trHeight w:val="20"/>
        </w:trPr>
        <w:tc>
          <w:tcPr>
            <w:tcW w:w="72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920" w:type="dxa"/>
            <w:vAlign w:val="bottom"/>
            <w:gridSpan w:val="9"/>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300" w:type="dxa"/>
            <w:vAlign w:val="bottom"/>
            <w:gridSpan w:val="4"/>
            <w:shd w:val="clear" w:color="auto" w:fill="0000EE"/>
          </w:tcPr>
          <w:p>
            <w:pPr>
              <w:spacing w:after="0" w:line="20" w:lineRule="exact"/>
              <w:rPr>
                <w:sz w:val="1"/>
                <w:szCs w:val="1"/>
                <w:color w:val="auto"/>
              </w:rPr>
            </w:pPr>
          </w:p>
        </w:tc>
        <w:tc>
          <w:tcPr>
            <w:tcW w:w="3480" w:type="dxa"/>
            <w:vAlign w:val="bottom"/>
            <w:gridSpan w:val="5"/>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20" w:type="dxa"/>
            <w:vAlign w:val="bottom"/>
            <w:gridSpan w:val="6"/>
          </w:tcPr>
          <w:p>
            <w:pPr>
              <w:ind w:left="140"/>
              <w:spacing w:after="0"/>
              <w:rPr>
                <w:sz w:val="20"/>
                <w:szCs w:val="20"/>
                <w:color w:val="auto"/>
              </w:rPr>
            </w:pPr>
            <w:r>
              <w:rPr>
                <w:rFonts w:ascii="Arial" w:cs="Arial" w:eastAsia="Arial" w:hAnsi="Arial"/>
                <w:sz w:val="18"/>
                <w:szCs w:val="18"/>
                <w:color w:val="auto"/>
              </w:rPr>
              <w:t>Item 14.</w:t>
            </w:r>
          </w:p>
        </w:tc>
        <w:tc>
          <w:tcPr>
            <w:tcW w:w="5500" w:type="dxa"/>
            <w:vAlign w:val="bottom"/>
            <w:gridSpan w:val="14"/>
          </w:tcPr>
          <w:p>
            <w:pPr>
              <w:spacing w:after="0"/>
              <w:rPr>
                <w:rFonts w:ascii="Arial" w:cs="Arial" w:eastAsia="Arial" w:hAnsi="Arial"/>
                <w:sz w:val="18"/>
                <w:szCs w:val="18"/>
                <w:color w:val="0000EE"/>
              </w:rPr>
            </w:pPr>
            <w:hyperlink w:anchor="page67">
              <w:r>
                <w:rPr>
                  <w:rFonts w:ascii="Arial" w:cs="Arial" w:eastAsia="Arial" w:hAnsi="Arial"/>
                  <w:sz w:val="18"/>
                  <w:szCs w:val="18"/>
                  <w:color w:val="0000EE"/>
                </w:rPr>
                <w:t>Principal Accounting Fees and Services.</w:t>
              </w:r>
            </w:hyperlink>
          </w:p>
        </w:tc>
        <w:tc>
          <w:tcPr>
            <w:tcW w:w="3480" w:type="dxa"/>
            <w:vAlign w:val="bottom"/>
            <w:gridSpan w:val="5"/>
          </w:tcPr>
          <w:p>
            <w:pPr>
              <w:spacing w:after="0"/>
              <w:rPr>
                <w:sz w:val="21"/>
                <w:szCs w:val="21"/>
                <w:color w:val="auto"/>
              </w:rPr>
            </w:pPr>
          </w:p>
        </w:tc>
        <w:tc>
          <w:tcPr>
            <w:tcW w:w="1220" w:type="dxa"/>
            <w:vAlign w:val="bottom"/>
            <w:gridSpan w:val="3"/>
          </w:tcPr>
          <w:p>
            <w:pPr>
              <w:jc w:val="right"/>
              <w:spacing w:after="0"/>
              <w:rPr>
                <w:rFonts w:ascii="Arial" w:cs="Arial" w:eastAsia="Arial" w:hAnsi="Arial"/>
                <w:sz w:val="18"/>
                <w:szCs w:val="18"/>
                <w:color w:val="0000EE"/>
              </w:rPr>
            </w:pPr>
            <w:hyperlink w:anchor="page67">
              <w:r>
                <w:rPr>
                  <w:rFonts w:ascii="Arial" w:cs="Arial" w:eastAsia="Arial" w:hAnsi="Arial"/>
                  <w:sz w:val="18"/>
                  <w:szCs w:val="18"/>
                  <w:color w:val="0000EE"/>
                </w:rPr>
                <w:t>66</w:t>
              </w:r>
            </w:hyperlink>
          </w:p>
        </w:tc>
        <w:tc>
          <w:tcPr>
            <w:tcW w:w="0" w:type="dxa"/>
            <w:vAlign w:val="bottom"/>
          </w:tcPr>
          <w:p>
            <w:pPr>
              <w:spacing w:after="0"/>
              <w:rPr>
                <w:sz w:val="1"/>
                <w:szCs w:val="1"/>
                <w:color w:val="auto"/>
              </w:rPr>
            </w:pPr>
          </w:p>
        </w:tc>
      </w:tr>
      <w:tr>
        <w:trPr>
          <w:trHeight w:val="547"/>
        </w:trPr>
        <w:tc>
          <w:tcPr>
            <w:tcW w:w="720" w:type="dxa"/>
            <w:vAlign w:val="bottom"/>
            <w:tcBorders>
              <w:bottom w:val="single" w:sz="8" w:color="0000EE"/>
            </w:tcBorders>
            <w:gridSpan w:val="3"/>
          </w:tcPr>
          <w:p>
            <w:pPr>
              <w:spacing w:after="0"/>
              <w:rPr>
                <w:rFonts w:ascii="Arial" w:cs="Arial" w:eastAsia="Arial" w:hAnsi="Arial"/>
                <w:sz w:val="18"/>
                <w:szCs w:val="18"/>
                <w:b w:val="1"/>
                <w:bCs w:val="1"/>
                <w:color w:val="0000EE"/>
                <w:w w:val="98"/>
              </w:rPr>
            </w:pPr>
            <w:hyperlink w:anchor="page68">
              <w:r>
                <w:rPr>
                  <w:rFonts w:ascii="Arial" w:cs="Arial" w:eastAsia="Arial" w:hAnsi="Arial"/>
                  <w:sz w:val="18"/>
                  <w:szCs w:val="18"/>
                  <w:b w:val="1"/>
                  <w:bCs w:val="1"/>
                  <w:color w:val="0000EE"/>
                  <w:w w:val="98"/>
                </w:rPr>
                <w:t>PART IV</w:t>
              </w:r>
            </w:hyperlink>
          </w:p>
        </w:tc>
        <w:tc>
          <w:tcPr>
            <w:tcW w:w="300" w:type="dxa"/>
            <w:vAlign w:val="bottom"/>
            <w:gridSpan w:val="3"/>
          </w:tcPr>
          <w:p>
            <w:pPr>
              <w:spacing w:after="0"/>
              <w:rPr>
                <w:sz w:val="24"/>
                <w:szCs w:val="24"/>
                <w:color w:val="auto"/>
              </w:rPr>
            </w:pPr>
          </w:p>
        </w:tc>
        <w:tc>
          <w:tcPr>
            <w:tcW w:w="6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020" w:type="dxa"/>
            <w:vAlign w:val="bottom"/>
            <w:gridSpan w:val="6"/>
          </w:tcPr>
          <w:p>
            <w:pPr>
              <w:ind w:left="140"/>
              <w:spacing w:after="0"/>
              <w:rPr>
                <w:sz w:val="20"/>
                <w:szCs w:val="20"/>
                <w:color w:val="auto"/>
              </w:rPr>
            </w:pPr>
            <w:r>
              <w:rPr>
                <w:rFonts w:ascii="Arial" w:cs="Arial" w:eastAsia="Arial" w:hAnsi="Arial"/>
                <w:sz w:val="18"/>
                <w:szCs w:val="18"/>
                <w:color w:val="auto"/>
              </w:rPr>
              <w:t>Item 15.</w:t>
            </w:r>
          </w:p>
        </w:tc>
        <w:tc>
          <w:tcPr>
            <w:tcW w:w="8980" w:type="dxa"/>
            <w:vAlign w:val="bottom"/>
            <w:gridSpan w:val="19"/>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Exhibits and Financial Statement Schedules.</w:t>
              </w:r>
            </w:hyperlink>
          </w:p>
        </w:tc>
        <w:tc>
          <w:tcPr>
            <w:tcW w:w="1220" w:type="dxa"/>
            <w:vAlign w:val="bottom"/>
            <w:gridSpan w:val="3"/>
          </w:tcPr>
          <w:p>
            <w:pPr>
              <w:jc w:val="right"/>
              <w:spacing w:after="0"/>
              <w:rPr>
                <w:rFonts w:ascii="Arial" w:cs="Arial" w:eastAsia="Arial" w:hAnsi="Arial"/>
                <w:sz w:val="18"/>
                <w:szCs w:val="18"/>
                <w:color w:val="0000EE"/>
              </w:rPr>
            </w:pPr>
            <w:hyperlink w:anchor="page68">
              <w:r>
                <w:rPr>
                  <w:rFonts w:ascii="Arial" w:cs="Arial" w:eastAsia="Arial" w:hAnsi="Arial"/>
                  <w:sz w:val="18"/>
                  <w:szCs w:val="18"/>
                  <w:color w:val="0000EE"/>
                </w:rPr>
                <w:t>67</w:t>
              </w:r>
            </w:hyperlink>
          </w:p>
        </w:tc>
        <w:tc>
          <w:tcPr>
            <w:tcW w:w="0" w:type="dxa"/>
            <w:vAlign w:val="bottom"/>
          </w:tcPr>
          <w:p>
            <w:pPr>
              <w:spacing w:after="0"/>
              <w:rPr>
                <w:sz w:val="1"/>
                <w:szCs w:val="1"/>
                <w:color w:val="auto"/>
              </w:rPr>
            </w:pPr>
          </w:p>
        </w:tc>
      </w:tr>
      <w:tr>
        <w:trPr>
          <w:trHeight w:val="20"/>
        </w:trPr>
        <w:tc>
          <w:tcPr>
            <w:tcW w:w="820" w:type="dxa"/>
            <w:vAlign w:val="bottom"/>
            <w:gridSpan w:val="5"/>
            <w:vMerge w:val="restart"/>
          </w:tcPr>
          <w:p>
            <w:pPr>
              <w:spacing w:after="0"/>
              <w:rPr>
                <w:rFonts w:ascii="Arial" w:cs="Arial" w:eastAsia="Arial" w:hAnsi="Arial"/>
                <w:sz w:val="18"/>
                <w:szCs w:val="18"/>
                <w:b w:val="1"/>
                <w:bCs w:val="1"/>
                <w:color w:val="0000EE"/>
                <w:w w:val="85"/>
              </w:rPr>
            </w:pPr>
            <w:hyperlink w:anchor="page69">
              <w:r>
                <w:rPr>
                  <w:rFonts w:ascii="Arial" w:cs="Arial" w:eastAsia="Arial" w:hAnsi="Arial"/>
                  <w:sz w:val="18"/>
                  <w:szCs w:val="18"/>
                  <w:b w:val="1"/>
                  <w:bCs w:val="1"/>
                  <w:color w:val="0000EE"/>
                  <w:w w:val="85"/>
                </w:rPr>
                <w:t>Signatures</w:t>
              </w:r>
            </w:hyperlink>
          </w:p>
        </w:tc>
        <w:tc>
          <w:tcPr>
            <w:tcW w:w="200" w:type="dxa"/>
            <w:vAlign w:val="bottom"/>
            <w:vMerge w:val="restart"/>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7"/>
        </w:trPr>
        <w:tc>
          <w:tcPr>
            <w:tcW w:w="820" w:type="dxa"/>
            <w:vAlign w:val="bottom"/>
            <w:gridSpan w:val="5"/>
            <w:vMerge w:val="continue"/>
          </w:tcPr>
          <w:p>
            <w:pPr>
              <w:spacing w:after="0"/>
              <w:rPr>
                <w:sz w:val="24"/>
                <w:szCs w:val="24"/>
                <w:color w:val="auto"/>
              </w:rPr>
            </w:pPr>
          </w:p>
        </w:tc>
        <w:tc>
          <w:tcPr>
            <w:tcW w:w="20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20" w:type="dxa"/>
            <w:vAlign w:val="bottom"/>
            <w:gridSpan w:val="3"/>
          </w:tcPr>
          <w:p>
            <w:pPr>
              <w:jc w:val="right"/>
              <w:spacing w:after="0"/>
              <w:rPr>
                <w:rFonts w:ascii="Arial" w:cs="Arial" w:eastAsia="Arial" w:hAnsi="Arial"/>
                <w:sz w:val="18"/>
                <w:szCs w:val="18"/>
                <w:color w:val="0000EE"/>
              </w:rPr>
            </w:pPr>
            <w:hyperlink w:anchor="page69">
              <w:r>
                <w:rPr>
                  <w:rFonts w:ascii="Arial" w:cs="Arial" w:eastAsia="Arial" w:hAnsi="Arial"/>
                  <w:sz w:val="18"/>
                  <w:szCs w:val="18"/>
                  <w:color w:val="0000EE"/>
                </w:rPr>
                <w:t>68</w:t>
              </w:r>
            </w:hyperlink>
          </w:p>
        </w:tc>
        <w:tc>
          <w:tcPr>
            <w:tcW w:w="0" w:type="dxa"/>
            <w:vAlign w:val="bottom"/>
          </w:tcPr>
          <w:p>
            <w:pPr>
              <w:spacing w:after="0"/>
              <w:rPr>
                <w:sz w:val="1"/>
                <w:szCs w:val="1"/>
                <w:color w:val="auto"/>
              </w:rPr>
            </w:pPr>
          </w:p>
        </w:tc>
      </w:tr>
      <w:tr>
        <w:trPr>
          <w:trHeight w:val="20"/>
        </w:trPr>
        <w:tc>
          <w:tcPr>
            <w:tcW w:w="5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0"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4600" w:type="dxa"/>
            <w:vAlign w:val="bottom"/>
            <w:gridSpan w:val="2"/>
          </w:tcPr>
          <w:p>
            <w:pPr>
              <w:spacing w:after="0"/>
              <w:rPr>
                <w:rFonts w:ascii="Arial" w:cs="Arial" w:eastAsia="Arial" w:hAnsi="Arial"/>
                <w:sz w:val="18"/>
                <w:szCs w:val="18"/>
                <w:b w:val="1"/>
                <w:bCs w:val="1"/>
                <w:color w:val="0000EE"/>
                <w:w w:val="89"/>
              </w:rPr>
            </w:pPr>
            <w:hyperlink w:anchor="page70">
              <w:r>
                <w:rPr>
                  <w:rFonts w:ascii="Arial" w:cs="Arial" w:eastAsia="Arial" w:hAnsi="Arial"/>
                  <w:sz w:val="18"/>
                  <w:szCs w:val="18"/>
                  <w:b w:val="1"/>
                  <w:bCs w:val="1"/>
                  <w:color w:val="0000EE"/>
                  <w:w w:val="89"/>
                </w:rPr>
                <w:t>Consent of Independent Registered Public Accounting Firm</w:t>
              </w:r>
            </w:hyperlink>
          </w:p>
        </w:tc>
        <w:tc>
          <w:tcPr>
            <w:tcW w:w="3220" w:type="dxa"/>
            <w:vAlign w:val="bottom"/>
          </w:tcPr>
          <w:p>
            <w:pPr>
              <w:spacing w:after="0"/>
              <w:rPr>
                <w:sz w:val="18"/>
                <w:szCs w:val="18"/>
                <w:color w:val="auto"/>
              </w:rPr>
            </w:pPr>
          </w:p>
        </w:tc>
        <w:tc>
          <w:tcPr>
            <w:tcW w:w="3400" w:type="dxa"/>
            <w:vAlign w:val="bottom"/>
            <w:gridSpan w:val="2"/>
          </w:tcPr>
          <w:p>
            <w:pPr>
              <w:jc w:val="right"/>
              <w:spacing w:after="0"/>
              <w:rPr>
                <w:rFonts w:ascii="Arial" w:cs="Arial" w:eastAsia="Arial" w:hAnsi="Arial"/>
                <w:sz w:val="18"/>
                <w:szCs w:val="18"/>
                <w:color w:val="0000EE"/>
              </w:rPr>
            </w:pPr>
            <w:hyperlink w:anchor="page70">
              <w:r>
                <w:rPr>
                  <w:rFonts w:ascii="Arial" w:cs="Arial" w:eastAsia="Arial" w:hAnsi="Arial"/>
                  <w:sz w:val="18"/>
                  <w:szCs w:val="18"/>
                  <w:color w:val="0000EE"/>
                </w:rPr>
                <w:t>69</w:t>
              </w:r>
            </w:hyperlink>
          </w:p>
        </w:tc>
      </w:tr>
      <w:tr>
        <w:trPr>
          <w:trHeight w:val="20"/>
        </w:trPr>
        <w:tc>
          <w:tcPr>
            <w:tcW w:w="1060" w:type="dxa"/>
            <w:vAlign w:val="bottom"/>
            <w:shd w:val="clear" w:color="auto" w:fill="0000EE"/>
          </w:tcPr>
          <w:p>
            <w:pPr>
              <w:spacing w:after="0" w:line="20" w:lineRule="exact"/>
              <w:rPr>
                <w:sz w:val="1"/>
                <w:szCs w:val="1"/>
                <w:color w:val="auto"/>
              </w:rPr>
            </w:pPr>
          </w:p>
        </w:tc>
        <w:tc>
          <w:tcPr>
            <w:tcW w:w="3540" w:type="dxa"/>
            <w:vAlign w:val="bottom"/>
            <w:shd w:val="clear" w:color="auto" w:fill="0000EE"/>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1060" w:type="dxa"/>
            <w:vAlign w:val="bottom"/>
          </w:tcPr>
          <w:p>
            <w:pPr>
              <w:spacing w:after="0"/>
              <w:rPr>
                <w:rFonts w:ascii="Arial" w:cs="Arial" w:eastAsia="Arial" w:hAnsi="Arial"/>
                <w:sz w:val="18"/>
                <w:szCs w:val="18"/>
                <w:b w:val="1"/>
                <w:bCs w:val="1"/>
                <w:color w:val="0000EE"/>
                <w:w w:val="92"/>
              </w:rPr>
            </w:pPr>
            <w:hyperlink w:anchor="page71">
              <w:r>
                <w:rPr>
                  <w:rFonts w:ascii="Arial" w:cs="Arial" w:eastAsia="Arial" w:hAnsi="Arial"/>
                  <w:sz w:val="18"/>
                  <w:szCs w:val="18"/>
                  <w:b w:val="1"/>
                  <w:bCs w:val="1"/>
                  <w:color w:val="0000EE"/>
                  <w:w w:val="92"/>
                </w:rPr>
                <w:t>Exhibit Index</w:t>
              </w:r>
            </w:hyperlink>
          </w:p>
        </w:tc>
        <w:tc>
          <w:tcPr>
            <w:tcW w:w="3540" w:type="dxa"/>
            <w:vAlign w:val="bottom"/>
          </w:tcPr>
          <w:p>
            <w:pPr>
              <w:spacing w:after="0"/>
              <w:rPr>
                <w:sz w:val="21"/>
                <w:szCs w:val="21"/>
                <w:color w:val="auto"/>
              </w:rPr>
            </w:pPr>
          </w:p>
        </w:tc>
        <w:tc>
          <w:tcPr>
            <w:tcW w:w="3220" w:type="dxa"/>
            <w:vAlign w:val="bottom"/>
          </w:tcPr>
          <w:p>
            <w:pPr>
              <w:spacing w:after="0"/>
              <w:rPr>
                <w:sz w:val="21"/>
                <w:szCs w:val="21"/>
                <w:color w:val="auto"/>
              </w:rPr>
            </w:pPr>
          </w:p>
        </w:tc>
        <w:tc>
          <w:tcPr>
            <w:tcW w:w="3400" w:type="dxa"/>
            <w:vAlign w:val="bottom"/>
            <w:gridSpan w:val="2"/>
          </w:tcPr>
          <w:p>
            <w:pPr>
              <w:jc w:val="right"/>
              <w:spacing w:after="0"/>
              <w:rPr>
                <w:rFonts w:ascii="Arial" w:cs="Arial" w:eastAsia="Arial" w:hAnsi="Arial"/>
                <w:sz w:val="18"/>
                <w:szCs w:val="18"/>
                <w:color w:val="0000EE"/>
              </w:rPr>
            </w:pPr>
            <w:hyperlink w:anchor="page71">
              <w:r>
                <w:rPr>
                  <w:rFonts w:ascii="Arial" w:cs="Arial" w:eastAsia="Arial" w:hAnsi="Arial"/>
                  <w:sz w:val="18"/>
                  <w:szCs w:val="18"/>
                  <w:color w:val="0000EE"/>
                </w:rPr>
                <w:t>70</w:t>
              </w:r>
            </w:hyperlink>
          </w:p>
        </w:tc>
      </w:tr>
      <w:tr>
        <w:trPr>
          <w:trHeight w:val="20"/>
        </w:trPr>
        <w:tc>
          <w:tcPr>
            <w:tcW w:w="1060" w:type="dxa"/>
            <w:vAlign w:val="bottom"/>
            <w:shd w:val="clear" w:color="auto" w:fill="0000EE"/>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bl>
    <w:p>
      <w:pPr>
        <w:spacing w:after="0" w:line="200" w:lineRule="exact"/>
        <w:rPr>
          <w:sz w:val="20"/>
          <w:szCs w:val="20"/>
          <w:color w:val="auto"/>
        </w:rPr>
      </w:pPr>
    </w:p>
    <w:p>
      <w:pPr>
        <w:spacing w:after="0" w:line="249" w:lineRule="exact"/>
        <w:rPr>
          <w:sz w:val="20"/>
          <w:szCs w:val="20"/>
          <w:color w:val="auto"/>
        </w:rPr>
      </w:pPr>
    </w:p>
    <w:p>
      <w:pPr>
        <w:jc w:val="right"/>
        <w:spacing w:after="0"/>
        <w:rPr>
          <w:sz w:val="20"/>
          <w:szCs w:val="20"/>
          <w:color w:val="auto"/>
        </w:rPr>
      </w:pPr>
      <w:r>
        <w:rPr>
          <w:rFonts w:ascii="Arial" w:cs="Arial" w:eastAsia="Arial" w:hAnsi="Arial"/>
          <w:sz w:val="13"/>
          <w:szCs w:val="13"/>
          <w:color w:val="auto"/>
        </w:rPr>
        <w:t xml:space="preserve">Nordstrom, Inc. and subsidiaries </w:t>
      </w:r>
      <w:r>
        <w:rPr>
          <w:rFonts w:ascii="Arial" w:cs="Arial" w:eastAsia="Arial" w:hAnsi="Arial"/>
          <w:sz w:val="16"/>
          <w:szCs w:val="16"/>
          <w:color w:val="auto"/>
        </w:rPr>
        <w:t>3</w:t>
      </w:r>
    </w:p>
    <w:p>
      <w:pPr>
        <w:sectPr>
          <w:pgSz w:w="11900" w:h="16838" w:orient="portrait"/>
          <w:cols w:equalWidth="0" w:num="1">
            <w:col w:w="11420"/>
          </w:cols>
          <w:pgMar w:left="240" w:top="126" w:right="239" w:bottom="1440" w:gutter="0" w:footer="0" w:header="0"/>
        </w:sectPr>
      </w:pPr>
    </w:p>
    <w:bookmarkStart w:id="3" w:name="page4"/>
    <w:bookmarkEnd w:id="3"/>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PART I</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Business.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BUSINESS</w:t>
      </w:r>
    </w:p>
    <w:p>
      <w:pPr>
        <w:spacing w:after="0" w:line="27" w:lineRule="exact"/>
        <w:rPr>
          <w:sz w:val="20"/>
          <w:szCs w:val="20"/>
          <w:color w:val="auto"/>
        </w:rPr>
      </w:pPr>
    </w:p>
    <w:p>
      <w:pPr>
        <w:ind w:right="180"/>
        <w:spacing w:after="0" w:line="295" w:lineRule="auto"/>
        <w:rPr>
          <w:sz w:val="20"/>
          <w:szCs w:val="20"/>
          <w:color w:val="auto"/>
        </w:rPr>
      </w:pPr>
      <w:r>
        <w:rPr>
          <w:rFonts w:ascii="Arial" w:cs="Arial" w:eastAsia="Arial" w:hAnsi="Arial"/>
          <w:sz w:val="16"/>
          <w:szCs w:val="16"/>
          <w:color w:val="auto"/>
        </w:rPr>
        <w:t xml:space="preserve">Founded in 1901 as a retail shoe business in Seattle, Nordstrom later incorporated in Washington state in 1946 and went on to become one of the leading fashion specialty retailers based in the U.S. As of March 20, 2017, we operate 344 U.S. stores located in 40 states as well as a robust ecommerce business through Nordstrom.com, Nordstromrack.com/HauteLook and TrunkClub.com. We also operate five Nordstrom full-line stores in Canada. The west and east coasts of the U.S. are the areas in which we have the largest presence. We have two reportable segments, which include </w:t>
      </w:r>
      <w:r>
        <w:rPr>
          <w:rFonts w:ascii="Arial" w:cs="Arial" w:eastAsia="Arial" w:hAnsi="Arial"/>
          <w:sz w:val="16"/>
          <w:szCs w:val="16"/>
          <w:b w:val="1"/>
          <w:bCs w:val="1"/>
          <w:color w:val="auto"/>
        </w:rPr>
        <w:t>Retail</w:t>
      </w:r>
      <w:r>
        <w:rPr>
          <w:rFonts w:ascii="Arial" w:cs="Arial" w:eastAsia="Arial" w:hAnsi="Arial"/>
          <w:sz w:val="16"/>
          <w:szCs w:val="16"/>
          <w:color w:val="auto"/>
        </w:rPr>
        <w:t xml:space="preserve"> and </w:t>
      </w:r>
      <w:r>
        <w:rPr>
          <w:rFonts w:ascii="Arial" w:cs="Arial" w:eastAsia="Arial" w:hAnsi="Arial"/>
          <w:sz w:val="16"/>
          <w:szCs w:val="16"/>
          <w:b w:val="1"/>
          <w:bCs w:val="1"/>
          <w:color w:val="auto"/>
        </w:rPr>
        <w:t>Credit</w:t>
      </w:r>
      <w:r>
        <w:rPr>
          <w:rFonts w:ascii="Arial" w:cs="Arial" w:eastAsia="Arial" w:hAnsi="Arial"/>
          <w:sz w:val="16"/>
          <w:szCs w:val="16"/>
          <w:color w:val="auto"/>
        </w:rPr>
        <w:t>.</w:t>
      </w:r>
    </w:p>
    <w:p>
      <w:pPr>
        <w:spacing w:after="0" w:line="103"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 xml:space="preserve">As of March 20, 2017, the </w:t>
      </w:r>
      <w:r>
        <w:rPr>
          <w:rFonts w:ascii="Arial" w:cs="Arial" w:eastAsia="Arial" w:hAnsi="Arial"/>
          <w:sz w:val="17"/>
          <w:szCs w:val="17"/>
          <w:b w:val="1"/>
          <w:bCs w:val="1"/>
          <w:color w:val="auto"/>
        </w:rPr>
        <w:t>Retail</w:t>
      </w:r>
      <w:r>
        <w:rPr>
          <w:rFonts w:ascii="Arial" w:cs="Arial" w:eastAsia="Arial" w:hAnsi="Arial"/>
          <w:sz w:val="17"/>
          <w:szCs w:val="17"/>
          <w:color w:val="auto"/>
        </w:rPr>
        <w:t xml:space="preserve"> segment includes our 117 Nordstrom-branded full-line stores in the U.S. and Nordstrom.com, 216 off-price Nordstrom Rack stores, five Canada full-line stores, Nordstromrack.com/HauteLook, seven Trunk Club clubhouses and TrunkClub.com, two Jeffrey boutiques and two clearance stores that operate under the name “Last Chance.” Through these multiple retail channels, we strive to deliver the best customer experience possible. We offer an extensive selection of high-quality brand-name and private label merchandise focused on apparel, shoes, cosmetics and accessories. Our integrated Nordstrom full-line stores and online store allow us to provide our customers with a seamless shopping experience. In-store purchases are primarily fulfilled from that store’s inventory, but when inventory is unavailable at that store it may also be shipped to our customers from our fulfillment centers in Cedar Rapids, Iowa and Elizabethtown, Pennsylvania, or from other Nordstrom full-line stores. Online purchases are primarily shipped to our customers from our Cedar Rapids and East Coast fulfillment centers, but may also be shipped from our Nordstrom full-line stores. Our customers can also pick up online orders in our Nordstrom full-line stores if inventory is available at one of our locations. These capabilities allow us to better serve customers across various channels and improve sales. Nordstrom Rack stores purchase merchandise primarily from the same vendors carried in Nordstrom full-line stores and also serve as outlets for clearance merchandise from our Nordstrom stores and other retail channels. Nordstromrack.com/HauteLook offers a persistent selection of off-price merchandise, as well as limited-time sale events on fashion and lifestyle brands and are integrated with a single customer log-in, shared shopping cart and streamlined checkout process. Nordstromrack.com combines the technology expertise of HauteLook with the merchant expertise of Nordstrom Rack. Online purchases are primarily shipped to our customers from our San Bernardino, California fulfillment center. Furthermore, we can accommodate returns from these sites by mail or at any Nordstrom Rack location.</w:t>
      </w:r>
    </w:p>
    <w:p>
      <w:pPr>
        <w:spacing w:after="0" w:line="129" w:lineRule="exact"/>
        <w:rPr>
          <w:sz w:val="20"/>
          <w:szCs w:val="20"/>
          <w:color w:val="auto"/>
        </w:rPr>
      </w:pPr>
    </w:p>
    <w:p>
      <w:pPr>
        <w:ind w:right="220"/>
        <w:spacing w:after="0" w:line="258" w:lineRule="auto"/>
        <w:rPr>
          <w:sz w:val="20"/>
          <w:szCs w:val="20"/>
          <w:color w:val="auto"/>
        </w:rPr>
      </w:pPr>
      <w:r>
        <w:rPr>
          <w:rFonts w:ascii="Arial" w:cs="Arial" w:eastAsia="Arial" w:hAnsi="Arial"/>
          <w:sz w:val="18"/>
          <w:szCs w:val="18"/>
          <w:color w:val="auto"/>
        </w:rPr>
        <w:t xml:space="preserve">Through our </w:t>
      </w:r>
      <w:r>
        <w:rPr>
          <w:rFonts w:ascii="Arial" w:cs="Arial" w:eastAsia="Arial" w:hAnsi="Arial"/>
          <w:sz w:val="18"/>
          <w:szCs w:val="18"/>
          <w:b w:val="1"/>
          <w:bCs w:val="1"/>
          <w:color w:val="auto"/>
        </w:rPr>
        <w:t>Credit</w:t>
      </w:r>
      <w:r>
        <w:rPr>
          <w:rFonts w:ascii="Arial" w:cs="Arial" w:eastAsia="Arial" w:hAnsi="Arial"/>
          <w:sz w:val="18"/>
          <w:szCs w:val="18"/>
          <w:color w:val="auto"/>
        </w:rPr>
        <w:t xml:space="preserve"> segment, our customers can access a variety of payment products and services, including a Nordstrom-branded private label card, two Nordstrom-branded Visa credit cards and a debit card for Nordstrom purchases. When customers open a Nordstrom credit or debit card, they also join our loyalty program that provides benefits based on their level of spending. Although the primary purposes of our Credit segment are to foster greater customer loyalty and drive more sales, through our program agreement with TD Bank, N.A. (“TD”) (see Note 2: Credit Card Receivable Transaction in Item 8), we also receive credit card revenue.</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color w:val="auto"/>
        </w:rPr>
        <w:t>For more information about our business and our reportable segments, see Item 7: Management’s Discussion and Analysis of Financial Condition and Results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of Operations and Note 15: Segment Reporting in Item 8.</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w:t>
      </w:r>
    </w:p>
    <w:p>
      <w:pPr>
        <w:spacing w:after="0" w:line="27" w:lineRule="exact"/>
        <w:rPr>
          <w:sz w:val="20"/>
          <w:szCs w:val="20"/>
          <w:color w:val="auto"/>
        </w:rPr>
      </w:pPr>
    </w:p>
    <w:p>
      <w:pPr>
        <w:ind w:right="660"/>
        <w:spacing w:after="0" w:line="323" w:lineRule="auto"/>
        <w:rPr>
          <w:sz w:val="20"/>
          <w:szCs w:val="20"/>
          <w:color w:val="auto"/>
        </w:rPr>
      </w:pPr>
      <w:r>
        <w:rPr>
          <w:rFonts w:ascii="Arial" w:cs="Arial" w:eastAsia="Arial" w:hAnsi="Arial"/>
          <w:sz w:val="16"/>
          <w:szCs w:val="16"/>
          <w:color w:val="auto"/>
        </w:rPr>
        <w:t>We operate on a 52/53-week fiscal year ending on the Saturday closest to January 31st. References to 2017 and 2012 relate to the 53-week fiscal year ended February 3, 2018 and February 2, 2013. References to 2016 and all other years within this document are based on a 52-week fiscal year.</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w:t>
      </w:r>
    </w:p>
    <w:p>
      <w:pPr>
        <w:spacing w:after="0" w:line="27" w:lineRule="exact"/>
        <w:rPr>
          <w:sz w:val="20"/>
          <w:szCs w:val="20"/>
          <w:color w:val="auto"/>
        </w:rPr>
      </w:pPr>
    </w:p>
    <w:p>
      <w:pPr>
        <w:ind w:right="360"/>
        <w:spacing w:after="0" w:line="255" w:lineRule="auto"/>
        <w:rPr>
          <w:sz w:val="20"/>
          <w:szCs w:val="20"/>
          <w:color w:val="auto"/>
        </w:rPr>
      </w:pPr>
      <w:r>
        <w:rPr>
          <w:rFonts w:ascii="Arial" w:cs="Arial" w:eastAsia="Arial" w:hAnsi="Arial"/>
          <w:sz w:val="18"/>
          <w:szCs w:val="18"/>
          <w:color w:val="auto"/>
        </w:rPr>
        <w:t>We have 166 trademarks, each of which is the subject of one or more trademark registrations and/or trademark applications. Our most notable trademarks include Nordstrom, Nordstrom Rack, HauteLook, Trunk Club, Halogen, BP., Caslon, Zella, Tucker+Tate and 14th &amp; Union. Each of our trademarks is renewable indefinitely, provided that it is still used in commerce at the time of the renewal.</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RETURN POLICY</w:t>
      </w:r>
    </w:p>
    <w:p>
      <w:pPr>
        <w:spacing w:after="0" w:line="2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have a fair and liberal approach to returns as part of our objective to provide high-quality customer service. We do not have a formal return policy at our Nordstrom full-line stores or online at Nordstrom.com. Our goal is to take care of our customers, which includes making returns and exchanges easy, whether in stores or online, where we offer free shipping on purchases and returns. Our Nordstrom Rack stores generally accept returns up to 90 days from the date of purchase with the original price tag and sales receipt, and also accept returns of Nordstromrack.com/HauteLook merchandise. Nordstromrack.com/HauteLook generally accepts returns of apparel, footwear and accessories within 90 days from the date of shipment.</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420"/>
          </w:cols>
          <w:pgMar w:left="240" w:top="126" w:right="239" w:bottom="1440" w:gutter="0" w:footer="0" w:header="0"/>
        </w:sectPr>
      </w:pPr>
    </w:p>
    <w:bookmarkStart w:id="4" w:name="page5"/>
    <w:bookmarkEnd w:id="4"/>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business, like that of other retailers, is subject to seasonal fluctuations. Due to our Anniversary Sale in July and the holidays in the fourth quarter, our sales are typically higher in the second and fourth quarters than in the first and third quarters of the fiscal year. In 2016, the Anniversary Sale event started one week later in July relative to last year, shifting one week of the event into the third quarter.</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NORDSTROM REWARDS</w:t>
      </w:r>
    </w:p>
    <w:p>
      <w:pPr>
        <w:spacing w:after="0" w:line="27"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Our Nordstrom Rewards™ loyalty program, which rewards customers based on their level of spending, is one area that enables us to directly engage and strengthen relationships with customers while driving incremental sales and trips. Upon reaching a certain points threshold, customers receive Nordstrom Notes®, which can be redeemed for goods or services. In May 2016, we expanded the program to all customers, when historically this program was offered only to Nordstrom cardholders. Rewards can be earned and redeemed at Nordstrom full-line stores, Nordstrom.com, Nordstrom Rack and Nordstromrack.com/HauteLook. Nordstrom cardholders can also earn rewards at Trunk Club. Customers who participate in our loyalty program through our credit and debit cards receive additional benefits including reimbursements for alterations, Personal Triple Points days, shopping and fashion events and early access to the Anniversary Sale.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CONDITIONS</w:t>
      </w:r>
    </w:p>
    <w:p>
      <w:pPr>
        <w:spacing w:after="0" w:line="27"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We operate in a highly competitive business environment. We compete with other national, regional, local and online retailers that may carry similar lines of merchandise, including department stores, specialty stores, off-price stores, boutiques and internet businesses. Our specific competitors vary from market to market. We believe the keys to competing in our industry are providing great customer service and customer experiences in stores and online. This includes offering compelling price and value, fashion newness, quality of products, selection, convenience, technology, product fulfillment, personalization and appealing, relevant store environments in top locations.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INVENTORY</w:t>
      </w:r>
    </w:p>
    <w:p>
      <w:pPr>
        <w:spacing w:after="0" w:line="2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plan our merchandise purchases and receipts to coincide with expected sales trends. For instance, our merchandise purchases and receipts increase prior to our Anniversary Sale, which has historically extended over the last two weeks of July. We also purchase and receive a larger amount of merchandise in the fall as we prepare for the holiday shopping season (from late November through December). At Nordstrom Rack, we invest in pack and hold inventory, which involves the strategic purchase of merchandise from some of our full-line stores’ top brands in advance of the upcoming selling seasons, to take advantage of favorable buying opportunities. This inventory is typically held for six months on average and has been an important component of Nordstrom Rack’s inventory strategy.</w:t>
      </w:r>
    </w:p>
    <w:p>
      <w:pPr>
        <w:spacing w:after="0" w:line="14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order to offer merchandise that our customers want, we purchase from a wide variety of high-quality suppliers, including domestic and foreign businesses. We also have arrangements with agents and contract manufacturers to produce our private label merchandise. We expect our suppliers to meet our “Nordstrom Partnership Guidelines,” which address our corporate social responsibility standards for matters such as legal and regulatory compliance, labor, health and safety and the environment. This is available on our website at Nordstrom.com.</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7"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During 2016, we employed approximately 72,500 employees on a full- or part-time basis. Due to the seasonal nature of our business, employment increased to approximately 74,000 employees in July 2016 and 78,000 in December 2016. All of our employees are non-union. We believe our relationship with our employees is good.</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w:t>
      </w:r>
    </w:p>
    <w:p>
      <w:pPr>
        <w:spacing w:after="0" w:line="27"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Certain statements in this Annual Report on Form 10-K contain or may suggest “forward-looking” information (as defined in the Private Securities Litigation Reform Act of 1995) that involve risks and uncertainties including, but not limited to, anticipated financial outlook for the fiscal year ending February 3, 2018, anticipated annual total and comparable sales rates, anticipated new store openings in existing, new and international markets, anticipated Return on Invested Capital and trends in our operations. Such statements are based upon the current beliefs and expectations of the Company’s management and are subject to significant risks and uncertainties. Actual future results may differ materially from historical results or current expectations depending upon factors including, but not limited to:</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and Operational</w:t>
      </w:r>
    </w:p>
    <w:p>
      <w:pPr>
        <w:spacing w:after="0" w:line="27" w:lineRule="exact"/>
        <w:rPr>
          <w:sz w:val="20"/>
          <w:szCs w:val="20"/>
          <w:color w:val="auto"/>
        </w:rPr>
      </w:pPr>
    </w:p>
    <w:p>
      <w:pPr>
        <w:ind w:left="500" w:right="40" w:hanging="168"/>
        <w:spacing w:after="0" w:line="250" w:lineRule="auto"/>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successful execution of our customer strategy, including expansion into new domestic and international markets, acquisitions, investments in our stores and online as well as investments in technology, our ability to realize the anticipated benefits from growth initiatives and our ability to provide a seamless experience across all channels,</w:t>
      </w:r>
    </w:p>
    <w:p>
      <w:pPr>
        <w:spacing w:after="0" w:line="1" w:lineRule="exact"/>
        <w:rPr>
          <w:rFonts w:ascii="Arial" w:cs="Arial" w:eastAsia="Arial" w:hAnsi="Arial"/>
          <w:sz w:val="18"/>
          <w:szCs w:val="18"/>
          <w:color w:val="auto"/>
        </w:rPr>
      </w:pPr>
    </w:p>
    <w:p>
      <w:pPr>
        <w:ind w:left="500" w:right="240" w:hanging="168"/>
        <w:spacing w:after="0" w:line="250" w:lineRule="auto"/>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timely and effective execution of our ecommerce initiatives and ability to manage the costs and organizational changes associated with this evolving business model,</w:t>
      </w:r>
    </w:p>
    <w:p>
      <w:pPr>
        <w:ind w:left="500" w:hanging="168"/>
        <w:spacing w:after="0" w:line="250" w:lineRule="auto"/>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timely completion of construction associated with newly planned stores, relocations and remodels, all of which may be impacted by the financial health of third parties,</w:t>
      </w:r>
    </w:p>
    <w:p>
      <w:pPr>
        <w:ind w:left="500" w:hanging="168"/>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relationships with our employees and to effectively attract, develop and retain our future leaders,</w:t>
      </w:r>
    </w:p>
    <w:p>
      <w:pPr>
        <w:spacing w:after="0" w:line="9" w:lineRule="exact"/>
        <w:rPr>
          <w:rFonts w:ascii="Arial" w:cs="Arial" w:eastAsia="Arial" w:hAnsi="Arial"/>
          <w:sz w:val="18"/>
          <w:szCs w:val="18"/>
          <w:color w:val="auto"/>
        </w:rPr>
      </w:pPr>
    </w:p>
    <w:p>
      <w:pPr>
        <w:ind w:left="660" w:right="280" w:hanging="328"/>
        <w:spacing w:after="0" w:line="261" w:lineRule="auto"/>
        <w:tabs>
          <w:tab w:leader="none" w:pos="498" w:val="left"/>
        </w:tabs>
        <w:numPr>
          <w:ilvl w:val="0"/>
          <w:numId w:val="3"/>
        </w:numPr>
        <w:rPr>
          <w:rFonts w:ascii="Arial" w:cs="Arial" w:eastAsia="Arial" w:hAnsi="Arial"/>
          <w:sz w:val="18"/>
          <w:szCs w:val="18"/>
          <w:color w:val="auto"/>
        </w:rPr>
      </w:pPr>
      <w:r>
        <w:rPr>
          <w:rFonts w:ascii="Arial" w:cs="Arial" w:eastAsia="Arial" w:hAnsi="Arial"/>
          <w:sz w:val="18"/>
          <w:szCs w:val="18"/>
          <w:color w:val="auto"/>
        </w:rPr>
        <w:t>effective inventory management processes and systems, fulfillment processes and systems, disruptions in our supply chain and our ability to control costs,</w:t>
      </w:r>
    </w:p>
    <w:p>
      <w:pPr>
        <w:sectPr>
          <w:pgSz w:w="11900" w:h="16838" w:orient="portrait"/>
          <w:cols w:equalWidth="0" w:num="1">
            <w:col w:w="11420"/>
          </w:cols>
          <w:pgMar w:left="240" w:top="126" w:right="239" w:bottom="1440" w:gutter="0" w:footer="0" w:header="0"/>
        </w:sectPr>
      </w:pPr>
    </w:p>
    <w:p>
      <w:pPr>
        <w:spacing w:after="0" w:line="377" w:lineRule="exact"/>
        <w:rPr>
          <w:sz w:val="20"/>
          <w:szCs w:val="20"/>
          <w:color w:val="auto"/>
        </w:rPr>
      </w:pPr>
    </w:p>
    <w:p>
      <w:pPr>
        <w:ind w:left="9660"/>
        <w:spacing w:after="0"/>
        <w:rPr>
          <w:sz w:val="20"/>
          <w:szCs w:val="20"/>
          <w:color w:val="auto"/>
        </w:rPr>
      </w:pPr>
      <w:r>
        <w:rPr>
          <w:rFonts w:ascii="Arial" w:cs="Arial" w:eastAsia="Arial" w:hAnsi="Arial"/>
          <w:sz w:val="11"/>
          <w:szCs w:val="11"/>
          <w:color w:val="auto"/>
        </w:rPr>
        <w:t xml:space="preserve">Nordstrom, Inc. and subsidiaries </w:t>
      </w:r>
      <w:r>
        <w:rPr>
          <w:rFonts w:ascii="Arial" w:cs="Arial" w:eastAsia="Arial" w:hAnsi="Arial"/>
          <w:sz w:val="14"/>
          <w:szCs w:val="14"/>
          <w:color w:val="auto"/>
        </w:rPr>
        <w:t>5</w:t>
      </w:r>
    </w:p>
    <w:p>
      <w:pPr>
        <w:sectPr>
          <w:pgSz w:w="11900" w:h="16838" w:orient="portrait"/>
          <w:cols w:equalWidth="0" w:num="1">
            <w:col w:w="11420"/>
          </w:cols>
          <w:pgMar w:left="240" w:top="126" w:right="239" w:bottom="1440" w:gutter="0" w:footer="0" w:header="0"/>
          <w:type w:val="continuous"/>
        </w:sectPr>
      </w:pPr>
    </w:p>
    <w:bookmarkStart w:id="5" w:name="page6"/>
    <w:bookmarkEnd w:id="5"/>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500" w:right="140" w:hanging="168"/>
        <w:spacing w:after="0" w:line="256" w:lineRule="auto"/>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any systems or network failures, cybersecurity and/or security breaches, including any security breach of our systems or those of a third party provider that results in the theft, transfer or unauthorized disclosure of customer, employee or Company information or compliance with information security and privacy laws and regulations in the event of such an incident,</w:t>
      </w:r>
    </w:p>
    <w:p>
      <w:pPr>
        <w:ind w:left="500" w:hanging="168"/>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successful execution of our information technology strategy,</w:t>
      </w:r>
    </w:p>
    <w:p>
      <w:pPr>
        <w:spacing w:after="0" w:line="9" w:lineRule="exact"/>
        <w:rPr>
          <w:rFonts w:ascii="Arial" w:cs="Arial" w:eastAsia="Arial" w:hAnsi="Arial"/>
          <w:sz w:val="18"/>
          <w:szCs w:val="18"/>
          <w:color w:val="auto"/>
        </w:rPr>
      </w:pPr>
    </w:p>
    <w:p>
      <w:pPr>
        <w:ind w:left="500" w:hanging="168"/>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effectively utilize data in strategic planning and decision making,</w:t>
      </w:r>
    </w:p>
    <w:p>
      <w:pPr>
        <w:spacing w:after="0" w:line="9" w:lineRule="exact"/>
        <w:rPr>
          <w:rFonts w:ascii="Arial" w:cs="Arial" w:eastAsia="Arial" w:hAnsi="Arial"/>
          <w:sz w:val="18"/>
          <w:szCs w:val="18"/>
          <w:color w:val="auto"/>
        </w:rPr>
      </w:pPr>
    </w:p>
    <w:p>
      <w:pPr>
        <w:ind w:left="500" w:hanging="168"/>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efficient and proper allocation of our capital resources,</w:t>
      </w:r>
    </w:p>
    <w:p>
      <w:pPr>
        <w:spacing w:after="0" w:line="9" w:lineRule="exact"/>
        <w:rPr>
          <w:rFonts w:ascii="Arial" w:cs="Arial" w:eastAsia="Arial" w:hAnsi="Arial"/>
          <w:sz w:val="18"/>
          <w:szCs w:val="18"/>
          <w:color w:val="auto"/>
        </w:rPr>
      </w:pPr>
    </w:p>
    <w:p>
      <w:pPr>
        <w:ind w:left="500" w:hanging="168"/>
        <w:spacing w:after="0"/>
        <w:tabs>
          <w:tab w:leader="none" w:pos="50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ability to realize the expected benefits, respond to potential risks and appropriately manage costs associated with our program agreement with TD,</w:t>
      </w:r>
    </w:p>
    <w:p>
      <w:pPr>
        <w:spacing w:after="0" w:line="32" w:lineRule="exact"/>
        <w:rPr>
          <w:rFonts w:ascii="Arial" w:cs="Arial" w:eastAsia="Arial" w:hAnsi="Arial"/>
          <w:sz w:val="16"/>
          <w:szCs w:val="16"/>
          <w:color w:val="auto"/>
        </w:rPr>
      </w:pPr>
    </w:p>
    <w:p>
      <w:pPr>
        <w:ind w:left="500" w:hanging="168"/>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safeguard our reputation and maintain our vendor relationships,</w:t>
      </w:r>
    </w:p>
    <w:p>
      <w:pPr>
        <w:spacing w:after="0" w:line="9" w:lineRule="exact"/>
        <w:rPr>
          <w:rFonts w:ascii="Arial" w:cs="Arial" w:eastAsia="Arial" w:hAnsi="Arial"/>
          <w:sz w:val="18"/>
          <w:szCs w:val="18"/>
          <w:color w:val="auto"/>
        </w:rPr>
      </w:pPr>
    </w:p>
    <w:p>
      <w:pPr>
        <w:ind w:left="660" w:right="80" w:hanging="328"/>
        <w:spacing w:after="0" w:line="250" w:lineRule="auto"/>
        <w:tabs>
          <w:tab w:leader="none" w:pos="498"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respond to the business and retail environment, fashion trends and consumer preferences, including changing expectations of service and experience in stores and online, and evolve our business model,</w:t>
      </w:r>
    </w:p>
    <w:p>
      <w:pPr>
        <w:ind w:left="500" w:hanging="168"/>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effectiveness of planned advertising, marketing and promotional campaigns in the highly competitive and promotional retail industry,</w:t>
      </w:r>
    </w:p>
    <w:p>
      <w:pPr>
        <w:spacing w:after="0" w:line="9" w:lineRule="exact"/>
        <w:rPr>
          <w:rFonts w:ascii="Arial" w:cs="Arial" w:eastAsia="Arial" w:hAnsi="Arial"/>
          <w:sz w:val="18"/>
          <w:szCs w:val="18"/>
          <w:color w:val="auto"/>
        </w:rPr>
      </w:pPr>
    </w:p>
    <w:p>
      <w:pPr>
        <w:ind w:left="500" w:right="480" w:hanging="168"/>
        <w:spacing w:after="0" w:line="261" w:lineRule="auto"/>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timing, price, manner and amounts of share repurchases by the Company, if any, or any share issuances by the Company, including issuances associated with option exercises or other matters,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Economic and External</w:t>
      </w:r>
    </w:p>
    <w:p>
      <w:pPr>
        <w:spacing w:after="0" w:line="27" w:lineRule="exact"/>
        <w:rPr>
          <w:sz w:val="20"/>
          <w:szCs w:val="20"/>
          <w:color w:val="auto"/>
        </w:rPr>
      </w:pPr>
    </w:p>
    <w:p>
      <w:pPr>
        <w:ind w:left="500" w:hanging="168"/>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impact of economic and market conditions and the resultant impact on consumer spending patterns,</w:t>
      </w:r>
    </w:p>
    <w:p>
      <w:pPr>
        <w:spacing w:after="0" w:line="9" w:lineRule="exact"/>
        <w:rPr>
          <w:rFonts w:ascii="Arial" w:cs="Arial" w:eastAsia="Arial" w:hAnsi="Arial"/>
          <w:sz w:val="18"/>
          <w:szCs w:val="18"/>
          <w:color w:val="auto"/>
        </w:rPr>
      </w:pPr>
    </w:p>
    <w:p>
      <w:pPr>
        <w:ind w:left="500" w:hanging="168"/>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impact of economic or political conditions in the U.S. and countries where our third party vendors operate,</w:t>
      </w:r>
    </w:p>
    <w:p>
      <w:pPr>
        <w:spacing w:after="0" w:line="9" w:lineRule="exact"/>
        <w:rPr>
          <w:rFonts w:ascii="Arial" w:cs="Arial" w:eastAsia="Arial" w:hAnsi="Arial"/>
          <w:sz w:val="18"/>
          <w:szCs w:val="18"/>
          <w:color w:val="auto"/>
        </w:rPr>
      </w:pPr>
    </w:p>
    <w:p>
      <w:pPr>
        <w:ind w:left="660" w:right="280" w:hanging="328"/>
        <w:spacing w:after="0" w:line="261" w:lineRule="auto"/>
        <w:tabs>
          <w:tab w:leader="none" w:pos="498" w:val="left"/>
        </w:tabs>
        <w:numPr>
          <w:ilvl w:val="0"/>
          <w:numId w:val="5"/>
        </w:numPr>
        <w:rPr>
          <w:rFonts w:ascii="Arial" w:cs="Arial" w:eastAsia="Arial" w:hAnsi="Arial"/>
          <w:sz w:val="18"/>
          <w:szCs w:val="18"/>
          <w:color w:val="auto"/>
        </w:rPr>
      </w:pPr>
      <w:r>
        <w:rPr>
          <w:rFonts w:ascii="Arial" w:cs="Arial" w:eastAsia="Arial" w:hAnsi="Arial"/>
          <w:sz w:val="18"/>
          <w:szCs w:val="18"/>
          <w:color w:val="auto"/>
        </w:rPr>
        <w:t>weather conditions, natural disasters, health hazards, national security or other market disruptions, or the prospects of these events and the resulting impact on consumer spending patterns or information technology systems and communications,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and Regulatory</w:t>
      </w:r>
    </w:p>
    <w:p>
      <w:pPr>
        <w:spacing w:after="0" w:line="27" w:lineRule="exact"/>
        <w:rPr>
          <w:sz w:val="20"/>
          <w:szCs w:val="20"/>
          <w:color w:val="auto"/>
        </w:rPr>
      </w:pPr>
    </w:p>
    <w:p>
      <w:pPr>
        <w:ind w:left="500" w:right="40" w:hanging="168"/>
        <w:spacing w:after="0" w:line="250"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compliance with applicable domestic and international laws, regulations and ethical standards, including those related to banking, employment and tax and the outcome of claims and litigation and resolution of such matters,</w:t>
      </w:r>
    </w:p>
    <w:p>
      <w:pPr>
        <w:ind w:left="500" w:hanging="168"/>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impact of the current regulatory environment and financial system and health care reforms, and</w:t>
      </w:r>
    </w:p>
    <w:p>
      <w:pPr>
        <w:spacing w:after="0" w:line="9" w:lineRule="exact"/>
        <w:rPr>
          <w:rFonts w:ascii="Arial" w:cs="Arial" w:eastAsia="Arial" w:hAnsi="Arial"/>
          <w:sz w:val="18"/>
          <w:szCs w:val="18"/>
          <w:color w:val="auto"/>
        </w:rPr>
      </w:pPr>
    </w:p>
    <w:p>
      <w:pPr>
        <w:ind w:left="660" w:right="400" w:hanging="328"/>
        <w:spacing w:after="0" w:line="261" w:lineRule="auto"/>
        <w:tabs>
          <w:tab w:leader="none" w:pos="498"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compliance with debt covenants, availability and cost of credit, changes in our credit rating, changes in interest rates, debt repayment patterns and personal bankruptcies.</w:t>
      </w:r>
    </w:p>
    <w:p>
      <w:pPr>
        <w:spacing w:after="0" w:line="130"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These and other factors, including those factors described in Item 1A: Risk Factors could affect our financial results and cause actual results to differ materially from any forward-looking information we may provide. We undertake no obligation to update or revise any forward-looking statements to reflect subsequent events, new information or future circumstances.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 FILINGS</w:t>
      </w:r>
    </w:p>
    <w:p>
      <w:pPr>
        <w:spacing w:after="0" w:line="2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file annual, quarterly and current reports, proxy statements and other documents with the Securities and Exchange Commission (“SEC”). All the materials we file with the SEC are publicly available at the SEC’s Public Reference Room at 100 F Street NE, Washington, DC 20549. You may obtain information on the operation of the Public Reference Room by calling the SEC at 1-800-SEC-0330. In addition, the SEC maintains a website at www.sec.gov that contains reports, proxy and information statements and other information regarding issuers that file electronically with the SEC.</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WEBSITE ACCESS</w:t>
      </w:r>
    </w:p>
    <w:p>
      <w:pPr>
        <w:spacing w:after="0" w:line="27" w:lineRule="exact"/>
        <w:rPr>
          <w:sz w:val="20"/>
          <w:szCs w:val="20"/>
          <w:color w:val="auto"/>
        </w:rPr>
      </w:pPr>
    </w:p>
    <w:p>
      <w:pPr>
        <w:ind w:right="20"/>
        <w:spacing w:after="0" w:line="292" w:lineRule="auto"/>
        <w:rPr>
          <w:sz w:val="20"/>
          <w:szCs w:val="20"/>
          <w:color w:val="auto"/>
        </w:rPr>
      </w:pPr>
      <w:r>
        <w:rPr>
          <w:rFonts w:ascii="Arial" w:cs="Arial" w:eastAsia="Arial" w:hAnsi="Arial"/>
          <w:sz w:val="16"/>
          <w:szCs w:val="16"/>
          <w:color w:val="auto"/>
        </w:rPr>
        <w:t>Our website address is Nordstrom.com. Our annual and quarterly reports on Form 10-K and Form 10-Q (including related filings in eXtensible Business Reporting Language (“XBRL”) format), current reports on Form 8-K, proxy statements, our executives’ statements of changes in beneficial ownership of securities on Form 4 and amendments to those reports filed or furnished pursuant to Section 13(a) or 15(d) of the Securities Exchange Act of 1934, as amended (the “Exchange Act”) are available for free on or through our website as soon as reasonably practicable after we electronically file the report with or furnish it to the SEC. Interested parties may also access a webcast of quarterly earnings conference calls and other financial events through our website.</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400"/>
          </w:cols>
          <w:pgMar w:left="240" w:top="126" w:right="259" w:bottom="1440" w:gutter="0" w:footer="0" w:header="0"/>
        </w:sectPr>
      </w:pPr>
    </w:p>
    <w:bookmarkStart w:id="6" w:name="page7"/>
    <w:bookmarkEnd w:id="6"/>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w:t>
      </w:r>
    </w:p>
    <w:p>
      <w:pPr>
        <w:spacing w:after="0" w:line="27" w:lineRule="exact"/>
        <w:rPr>
          <w:sz w:val="20"/>
          <w:szCs w:val="20"/>
          <w:color w:val="auto"/>
        </w:rPr>
      </w:pPr>
    </w:p>
    <w:p>
      <w:pPr>
        <w:ind w:right="340"/>
        <w:spacing w:after="0" w:line="271" w:lineRule="auto"/>
        <w:rPr>
          <w:sz w:val="20"/>
          <w:szCs w:val="20"/>
          <w:color w:val="auto"/>
        </w:rPr>
      </w:pPr>
      <w:r>
        <w:rPr>
          <w:rFonts w:ascii="Arial" w:cs="Arial" w:eastAsia="Arial" w:hAnsi="Arial"/>
          <w:sz w:val="17"/>
          <w:szCs w:val="17"/>
          <w:color w:val="auto"/>
        </w:rPr>
        <w:t>We have a long-standing commitment to upholding a high level of ethical standards. In addition, as the listing standards of the New York Stock Exchange (“NYSE”) and the rules of the SEC require, we have adopted Codes of Business Conduct and Ethics for our employees, officers and directors (“Codes of Ethics”) and Corporate Governance Guidelines. Our Codes of Ethics, Corporate Governance Guidelines and Committee Charters for the Audit, Compensation, Corporate Governance and Nominating, Finance and Technology Committees are posted on our website. Any amendments to these documents, or waivers of the requirements they contain, will also be available on our website.</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For printed versions of these items or any other inquiries, please contact:</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8"/>
          <w:szCs w:val="18"/>
          <w:color w:val="auto"/>
        </w:rPr>
        <w:t>Nordstrom Investor Relations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1617 Sixth Avenue, Suite 500</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Seattle, Washington 98101</w:t>
      </w:r>
    </w:p>
    <w:p>
      <w:pPr>
        <w:spacing w:after="0" w:line="63" w:lineRule="exact"/>
        <w:rPr>
          <w:sz w:val="20"/>
          <w:szCs w:val="20"/>
          <w:color w:val="auto"/>
        </w:rPr>
      </w:pPr>
    </w:p>
    <w:p>
      <w:pPr>
        <w:ind w:left="40" w:right="9280" w:hanging="5"/>
        <w:spacing w:after="0" w:line="412" w:lineRule="auto"/>
        <w:tabs>
          <w:tab w:leader="none" w:pos="475" w:val="left"/>
        </w:tabs>
        <w:numPr>
          <w:ilvl w:val="0"/>
          <w:numId w:val="7"/>
        </w:numPr>
        <w:rPr>
          <w:rFonts w:ascii="Arial" w:cs="Arial" w:eastAsia="Arial" w:hAnsi="Arial"/>
          <w:sz w:val="16"/>
          <w:szCs w:val="16"/>
          <w:color w:val="auto"/>
        </w:rPr>
      </w:pPr>
      <w:r>
        <w:rPr>
          <w:rFonts w:ascii="Arial" w:cs="Arial" w:eastAsia="Arial" w:hAnsi="Arial"/>
          <w:sz w:val="16"/>
          <w:szCs w:val="16"/>
          <w:color w:val="auto"/>
        </w:rPr>
        <w:t>303-3200 invrelations@nordstrom.com</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1A. Risk Factors.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Our business faces many risks. We believe the risks described below outline the items of most concern to us.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DUE TO STRATEGIC AND OPERATIONAL FACTORS</w:t>
      </w:r>
    </w:p>
    <w:p>
      <w:pPr>
        <w:spacing w:after="0" w:line="171"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b w:val="1"/>
          <w:bCs w:val="1"/>
          <w:color w:val="auto"/>
        </w:rPr>
        <w:t>Our customer strategy focuses on providing a seamless and high-quality experience across all Nordstrom channels and failure to successfully execute our plans could negatively impact our current business and future profitability.</w:t>
      </w:r>
    </w:p>
    <w:p>
      <w:pPr>
        <w:ind w:right="100"/>
        <w:spacing w:after="0" w:line="252" w:lineRule="auto"/>
        <w:rPr>
          <w:sz w:val="20"/>
          <w:szCs w:val="20"/>
          <w:color w:val="auto"/>
        </w:rPr>
      </w:pPr>
      <w:r>
        <w:rPr>
          <w:rFonts w:ascii="Arial" w:cs="Arial" w:eastAsia="Arial" w:hAnsi="Arial"/>
          <w:sz w:val="18"/>
          <w:szCs w:val="18"/>
          <w:color w:val="auto"/>
        </w:rPr>
        <w:t>We are enhancing our customer shopping experience in our stores, online and in mobile and social channels by pursuing a heightened focus on technology and ecommerce to fuel our growth. With the accelerated pace of change in the retail environment, we may not be able to meet our customers’ changing expectations in how they shop in stores or through ecommerce. If we target the wrong opportunities, fail to make investments at the right time or pace, fail to make the best investments in the right channels or make an investment commitment significantly above or below our needs, it may harm our competitive position. If these technologies and investments do not perform as expected, are not seamlessly integrated or are not maintained properly, our profitability and growth could be adversely affected.</w:t>
      </w:r>
    </w:p>
    <w:p>
      <w:pPr>
        <w:spacing w:after="0" w:line="140" w:lineRule="exact"/>
        <w:rPr>
          <w:sz w:val="20"/>
          <w:szCs w:val="20"/>
          <w:color w:val="auto"/>
        </w:rPr>
      </w:pPr>
    </w:p>
    <w:p>
      <w:pPr>
        <w:ind w:right="160"/>
        <w:spacing w:after="0" w:line="271" w:lineRule="auto"/>
        <w:rPr>
          <w:sz w:val="20"/>
          <w:szCs w:val="20"/>
          <w:color w:val="auto"/>
        </w:rPr>
      </w:pPr>
      <w:r>
        <w:rPr>
          <w:rFonts w:ascii="Arial" w:cs="Arial" w:eastAsia="Arial" w:hAnsi="Arial"/>
          <w:sz w:val="17"/>
          <w:szCs w:val="17"/>
          <w:color w:val="auto"/>
        </w:rPr>
        <w:t>We are continuing our plan to open new stores. This involves certain risks, including the availability of suitable locations, constructing, furnishing and supplying a store in a timely and cost-effective manner and properly balancing our capital investments between new stores, remodels, technology and ecommerce. In addition, we may not accurately assess the demographic or retail environment for a particular location and sales at new, relocated or remodeled stores may not meet our projections, particularly in light of the changing trends between online and brick-and-mortar shopping channels, which could adversely affect our return on investment. We also intend to open stores in new markets and plan to continue expanding in international markets, such as Manhattan and Canada. These efforts will require additional management attention and resources and may distract us from executing our core operations. In addition, competition from strong local competitors, compliance with foreign and local laws and regulatory requirements and potentially unfavorable tax consequences may cause our business to be adversely impacted.</w:t>
      </w:r>
    </w:p>
    <w:p>
      <w:pPr>
        <w:spacing w:after="0" w:line="12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As we execute our plans and continue to evolve and transform our strategy, we may not adequately manage the related organizational changes to align with our strategy or appropriately monitor, report or communicate the changes in an effective manner. In addition, we may not gather accurate and relevant data or effectively utilize that data, which may impact our strategic planning and decision making.</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growth strategy as it relates to ecommerce could have adverse impacts on our results of operations if not successfully executed.</w:t>
      </w:r>
    </w:p>
    <w:p>
      <w:pPr>
        <w:spacing w:after="0" w:line="39"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are continuing our investment in ecommerce as advancements in technology have impacted shopping behaviors of consumers. Computers, mobile phones, tablets and other devices allow customers to browse and transact anywhere or anytime. Our growth strategies in this area span the development of applications for electronic devices, improvement of customer-facing technology, timely delivery of products purchased online, enhancement of inventory management systems, greater and more fluid inventory availability between online and retail locations, and greater consistency in marketing and pricing strategies. This business model has a high variable cost structure driven by fulfillment and marketing costs and will continue to require investment in cross-channel operations and supporting technologies. If we do not implement and expand our ecommerce initiatives successfully or we do not realize our anticipated return on these investments, our profitability and growth could be adversely affected. In addition, if customers shift to ecommerce more quickly than we anticipate, we may need to accelerate our ecommerce initiatives and investments and may experience higher costs adversely impacting our profitability.</w:t>
      </w:r>
    </w:p>
    <w:p>
      <w:pPr>
        <w:spacing w:after="0" w:line="392" w:lineRule="exact"/>
        <w:rPr>
          <w:sz w:val="20"/>
          <w:szCs w:val="20"/>
          <w:color w:val="auto"/>
        </w:rPr>
      </w:pPr>
    </w:p>
    <w:p>
      <w:pPr>
        <w:jc w:val="right"/>
        <w:spacing w:after="0"/>
        <w:rPr>
          <w:sz w:val="20"/>
          <w:szCs w:val="20"/>
          <w:color w:val="auto"/>
        </w:rPr>
      </w:pPr>
      <w:r>
        <w:rPr>
          <w:rFonts w:ascii="Arial" w:cs="Arial" w:eastAsia="Arial" w:hAnsi="Arial"/>
          <w:sz w:val="13"/>
          <w:szCs w:val="13"/>
          <w:color w:val="auto"/>
        </w:rPr>
        <w:t xml:space="preserve">Nordstrom, Inc. and subsidiaries </w:t>
      </w:r>
      <w:r>
        <w:rPr>
          <w:rFonts w:ascii="Arial" w:cs="Arial" w:eastAsia="Arial" w:hAnsi="Arial"/>
          <w:sz w:val="16"/>
          <w:szCs w:val="16"/>
          <w:color w:val="auto"/>
        </w:rPr>
        <w:t>7</w:t>
      </w:r>
    </w:p>
    <w:p>
      <w:pPr>
        <w:sectPr>
          <w:pgSz w:w="11900" w:h="16838" w:orient="portrait"/>
          <w:cols w:equalWidth="0" w:num="1">
            <w:col w:w="11420"/>
          </w:cols>
          <w:pgMar w:left="240" w:top="126" w:right="239" w:bottom="1440" w:gutter="0" w:footer="0" w:header="0"/>
        </w:sectPr>
      </w:pPr>
    </w:p>
    <w:bookmarkStart w:id="7" w:name="page8"/>
    <w:bookmarkEnd w:id="7"/>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stores located in shopping malls may be adversely affected if the consumer traffic of malls decline.</w:t>
      </w:r>
    </w:p>
    <w:p>
      <w:pPr>
        <w:spacing w:after="0" w:line="27" w:lineRule="exact"/>
        <w:rPr>
          <w:sz w:val="20"/>
          <w:szCs w:val="20"/>
          <w:color w:val="auto"/>
        </w:rPr>
      </w:pPr>
    </w:p>
    <w:p>
      <w:pPr>
        <w:ind w:right="180"/>
        <w:spacing w:after="0" w:line="295" w:lineRule="auto"/>
        <w:rPr>
          <w:sz w:val="20"/>
          <w:szCs w:val="20"/>
          <w:color w:val="auto"/>
        </w:rPr>
      </w:pPr>
      <w:r>
        <w:rPr>
          <w:rFonts w:ascii="Arial" w:cs="Arial" w:eastAsia="Arial" w:hAnsi="Arial"/>
          <w:sz w:val="16"/>
          <w:szCs w:val="16"/>
          <w:color w:val="auto"/>
        </w:rPr>
        <w:t>Many of our stores are located in desirable locations within shopping malls and benefit from the abilities that we and other anchor tenants have to generate consumer traffic. A substantial decline in mall traffic, the development of new shopping malls, the availability of locations within existing or new shopping malls, the success of individual shopping malls and the success of other anchor tenants may negatively impact our ability to maintain or grow our sales in existing stores, as well as our ability to open new stores, which could have an adverse effect on our financial condition or results of operations.</w:t>
      </w:r>
    </w:p>
    <w:p>
      <w:pPr>
        <w:spacing w:after="0" w:line="103" w:lineRule="exact"/>
        <w:rPr>
          <w:sz w:val="20"/>
          <w:szCs w:val="20"/>
          <w:color w:val="auto"/>
        </w:rPr>
      </w:pPr>
    </w:p>
    <w:p>
      <w:pPr>
        <w:ind w:right="40"/>
        <w:spacing w:after="0" w:line="295" w:lineRule="auto"/>
        <w:rPr>
          <w:sz w:val="20"/>
          <w:szCs w:val="20"/>
          <w:color w:val="auto"/>
        </w:rPr>
      </w:pPr>
      <w:r>
        <w:rPr>
          <w:rFonts w:ascii="Arial" w:cs="Arial" w:eastAsia="Arial" w:hAnsi="Arial"/>
          <w:sz w:val="16"/>
          <w:szCs w:val="16"/>
          <w:b w:val="1"/>
          <w:bCs w:val="1"/>
          <w:color w:val="auto"/>
        </w:rPr>
        <w:t xml:space="preserve">Improvements to our merchandise buying and fulfillment processes and systems could adversely affect our business if not successfully executed. </w:t>
      </w:r>
      <w:r>
        <w:rPr>
          <w:rFonts w:ascii="Arial" w:cs="Arial" w:eastAsia="Arial" w:hAnsi="Arial"/>
          <w:sz w:val="16"/>
          <w:szCs w:val="16"/>
          <w:color w:val="auto"/>
        </w:rPr>
        <w:t>We are making investments to improve our merchandise planning, procurement, allocation and fulfillment capabilities through changes in personnel, processes, location logistics and technology over a period of several years. If we encounter challenges associated with change management, the ability to hire and retain key personnel involved in these efforts, implementation of associated information technology or adoption of new processes, our ability to continue to successfully execute our strategy or evolve our strategy as the retail environment changes could be adversely affected. As a result, we may not derive the expected benefits to our sales and profitability, or we may incur increased costs relative to our current expectations.</w:t>
      </w:r>
    </w:p>
    <w:p>
      <w:pPr>
        <w:spacing w:after="0" w:line="102"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b w:val="1"/>
          <w:bCs w:val="1"/>
          <w:color w:val="auto"/>
        </w:rPr>
        <w:t>If we do not effectively design and implement our strategic and business planning processes to attract, retain, train and develop talent and future leaders, our business may suffer.</w:t>
      </w:r>
    </w:p>
    <w:p>
      <w:pPr>
        <w:jc w:val="both"/>
        <w:ind w:right="140"/>
        <w:spacing w:after="0" w:line="277" w:lineRule="auto"/>
        <w:rPr>
          <w:sz w:val="20"/>
          <w:szCs w:val="20"/>
          <w:color w:val="auto"/>
        </w:rPr>
      </w:pPr>
      <w:r>
        <w:rPr>
          <w:rFonts w:ascii="Arial" w:cs="Arial" w:eastAsia="Arial" w:hAnsi="Arial"/>
          <w:sz w:val="17"/>
          <w:szCs w:val="17"/>
          <w:color w:val="auto"/>
        </w:rPr>
        <w:t>We rely on the experience of our senior management, who have specific knowledge relating to us and our industry that is difficult to replace, and the talents of our workforce to execute our business strategies and objectives. If unexpected turnover occurs without adequate succession plans, the loss of the services of any of these individuals, or any resulting negative perceptions of our business, could damage our reputation and our business.</w:t>
      </w:r>
    </w:p>
    <w:p>
      <w:pPr>
        <w:spacing w:after="0" w:line="115"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b w:val="1"/>
          <w:bCs w:val="1"/>
          <w:color w:val="auto"/>
        </w:rPr>
        <w:t>Even if we take appropriate measures to safeguard our information security and privacy environment from security breaches, our customers and our business could still be exposed to risk.</w:t>
      </w:r>
    </w:p>
    <w:p>
      <w:pPr>
        <w:spacing w:after="0" w:line="267" w:lineRule="auto"/>
        <w:rPr>
          <w:sz w:val="20"/>
          <w:szCs w:val="20"/>
          <w:color w:val="auto"/>
        </w:rPr>
      </w:pPr>
      <w:r>
        <w:rPr>
          <w:rFonts w:ascii="Arial" w:cs="Arial" w:eastAsia="Arial" w:hAnsi="Arial"/>
          <w:sz w:val="17"/>
          <w:szCs w:val="17"/>
          <w:color w:val="auto"/>
        </w:rPr>
        <w:t>Nordstrom, our subsidiaries and, in some instances, our third party vendors collect, store and transmit customers’ personal information, consumer preferences and credit card information. In addition, our operations involve the collection, storage and transmission of employee information and Company financial and strategic data. Any measures we implement to prevent a security or cybersecurity threat may not be totally effective and may have the potential to harm relations with our customers or decrease activity on our websites by making them more difficult to use. Security breaches may be the result of intentional or inadvertent activities by our employees or by third parties with whom we have business relationships that may result in the unauthorized release of customer personal or confidential information. In addition, the regulatory environment surrounding information security, cybersecurity and privacy is increasingly demanding, with new and constantly changing requirements. Security breaches and cyber incidents and their remediation, whether at our Company, our third party providers or other retailers, could expose us to a risk of loss or misappropriation of this information, litigation, potential liability, reputation damage and loss of customers’ trust and business, which could adversely impact our sales. Any such breaches or incidents could subject us to investigation, notification and remediation costs, which may not be covered by our insurance policies. If there is additional information that is later discovered related to such security breach or incident, there could be further loss of shareholders’ and customers’ trust and business based upon their reactions to this additional information. Additionally, we could be subject to credit card fraud losses due to external credit card fraud. To the extent that any incident results in the loss, damage or misappropriation of information, we may be materially adversely affected by claims from our customers, financial institutions, regulators, payment card networks and other third parties.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may be impacted by information technology system failures or network disruptions.</w:t>
      </w:r>
    </w:p>
    <w:p>
      <w:pPr>
        <w:spacing w:after="0" w:line="2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Our ability to transact with customers and operate our business depends on the efficient operation of our computer and communications systems. If we encounter an interruption or deterioration in critical processes, or experience the loss of critical data which may result from natural disasters, accidents, power disruptions, telecommunications failures, acts of terrorism or war, computer viruses, physical or electronic break-ins, third party or other disruptions, our business could be harmed. Depending on the severity of the failure, our disaster recovery plans may be inadequate or ineffective. These events could also damage our reputation, result in loss of sales and be expensive to remedy.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revenues and operating results are affected by the seasonal nature of our business and cyclical trends in consumer spending.</w:t>
      </w:r>
    </w:p>
    <w:p>
      <w:pPr>
        <w:spacing w:after="0" w:line="27"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Our business, like that of other retailers, is subject to seasonal fluctuations and cyclical trends in consumer spending. Due to our Anniversary Sale in July and the holidays in the fourth quarter, our sales are typically higher in the second and fourth quarters than in the first and third quarters of the fiscal year. Any factor that negatively impacts these selling seasons could have an adverse effect on our results of operations for the entire year. To provide shareholders a better understanding of management’s expectations surrounding results, we provide public guidance on our expected operating and financial results for future periods comprised of forward-looking statements subject to certain risks and uncertainties.</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380"/>
          </w:cols>
          <w:pgMar w:left="240" w:top="126" w:right="279" w:bottom="1440" w:gutter="0" w:footer="0" w:header="0"/>
        </w:sectPr>
      </w:pPr>
    </w:p>
    <w:bookmarkStart w:id="8" w:name="page9"/>
    <w:bookmarkEnd w:id="8"/>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fail to appropriately manage our capital, we may negatively impact our operations and shareholder return.</w:t>
      </w:r>
    </w:p>
    <w:p>
      <w:pPr>
        <w:spacing w:after="0" w:line="27"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We utilize capital to finance our operations, make capital expenditures and acquisitions, manage our debt levels and return value to our shareholders through dividends and share repurchases. Changes in the credit and capital markets, including market disruptions, limited liquidity and interest rate fluctuations, may increase the cost of financing or restrict access to a potential source of liquidity. A deterioration in our capital structure or the quality and stability of our earnings could result in a downgrade of our credit rating, constraining the capital available to our company. If our access to capital is restricted or our borrowing costs increase, our operations and financial condition could be adversely impacted. Further, if we do not properly allocate our capital to maximize returns, our operations, cash flows and returns to shareholders could be adversely affected.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Ownership and leasing real estate exposes us to possible liabilities and losses.</w:t>
      </w:r>
    </w:p>
    <w:p>
      <w:pPr>
        <w:spacing w:after="0" w:line="2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own or lease the land and/or buildings for all of our stores and are therefore subject to all of the risks associated with owning and leasing real estate. In particular, the value of the assets could decrease, their operating costs could increase, or a store may not be opened as planned due to changes in the real estate market, demographic trends, site competition, dependence on third party performance or overall economic environment. Additionally, we are potentially subject to liability for environmental conditions, exit costs associated with disposal of a store, commitments to pay base rent for the entire lease term or operate a store for the duration of an operating covenant.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customer and employee relationships could be negatively affected if we fail to maintain our corporate culture and reputation.</w:t>
      </w:r>
    </w:p>
    <w:p>
      <w:pPr>
        <w:spacing w:after="0" w:line="27"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We have a well-recognized culture and reputation that consumers may associate with a high level of integrity, customer service and quality merchandise, and it is one of the reasons customers shop with us and employees choose us as a place of employment. Any significant damage to our reputation, including factors outside our control or on social media, could negatively impact sales, diminish customer trust, reduce employee morale and productivity and lead to difficulties in recruiting and retaining qualified employees.</w:t>
      </w:r>
    </w:p>
    <w:p>
      <w:pPr>
        <w:spacing w:after="0" w:line="132" w:lineRule="exact"/>
        <w:rPr>
          <w:sz w:val="20"/>
          <w:szCs w:val="20"/>
          <w:color w:val="auto"/>
        </w:rPr>
      </w:pPr>
    </w:p>
    <w:p>
      <w:pPr>
        <w:ind w:right="280"/>
        <w:spacing w:after="0" w:line="273" w:lineRule="auto"/>
        <w:rPr>
          <w:sz w:val="20"/>
          <w:szCs w:val="20"/>
          <w:color w:val="auto"/>
        </w:rPr>
      </w:pPr>
      <w:r>
        <w:rPr>
          <w:rFonts w:ascii="Arial" w:cs="Arial" w:eastAsia="Arial" w:hAnsi="Arial"/>
          <w:sz w:val="17"/>
          <w:szCs w:val="17"/>
          <w:b w:val="1"/>
          <w:bCs w:val="1"/>
          <w:color w:val="auto"/>
        </w:rPr>
        <w:t xml:space="preserve">The transaction related to the sale of our credit card receivables and resulting program agreement with TD could adversely impact our business. </w:t>
      </w:r>
      <w:r>
        <w:rPr>
          <w:rFonts w:ascii="Arial" w:cs="Arial" w:eastAsia="Arial" w:hAnsi="Arial"/>
          <w:sz w:val="17"/>
          <w:szCs w:val="17"/>
          <w:color w:val="auto"/>
        </w:rPr>
        <w:t>In October 2015, we completed the sale of a substantial majority of our U.S. Visa and private label credit card portfolio to TD. While this transaction was consummated on terms that allow us to maintain customer-facing activities, if we fail to meet certain service levels under the program agreement with TD, TD has the right to assume certain individual servicing functions. If we lose control of such activities and functions, if we do not successfully respond to potential risks and appropriately manage potential costs associated with the program agreement with TD, or if this transaction negatively impacts the customer service associated with our cards, our operations, cash flows and returns to shareholders could be adversely affected, which could also harm our business reputation and competitive positioning.</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concentration of stock ownership in a small number of our shareholders could limit your ability to influence corporate matters.</w:t>
      </w:r>
    </w:p>
    <w:p>
      <w:pPr>
        <w:spacing w:after="0" w:line="27" w:lineRule="exact"/>
        <w:rPr>
          <w:sz w:val="20"/>
          <w:szCs w:val="20"/>
          <w:color w:val="auto"/>
        </w:rPr>
      </w:pPr>
    </w:p>
    <w:p>
      <w:pPr>
        <w:ind w:right="40"/>
        <w:spacing w:after="0" w:line="267" w:lineRule="auto"/>
        <w:rPr>
          <w:sz w:val="20"/>
          <w:szCs w:val="20"/>
          <w:color w:val="auto"/>
        </w:rPr>
      </w:pPr>
      <w:r>
        <w:rPr>
          <w:rFonts w:ascii="Arial" w:cs="Arial" w:eastAsia="Arial" w:hAnsi="Arial"/>
          <w:sz w:val="17"/>
          <w:szCs w:val="17"/>
          <w:color w:val="auto"/>
        </w:rPr>
        <w:t>We have regularly reported in our annual proxy statements the holdings of members of the Nordstrom family, including Bruce A. Nordstrom, our former Co-President and Chairman of the Board, his sister Anne E. Gittinger and members of the Nordstrom family within our Executive Team. In our proxy statement as of March 7, 2017, for the 2017 Annual Meeting of Shareholders, these individuals beneficially owned an aggregate of approximately 31% of our common stock. As a result, either individually or acting together, they may be able to exercise considerable influence over matters requiring shareholder approval. As reported in our periodic filings, our Board of Directors has from time to time authorized share repurchases. While these share repurchases may be offset in part by share issuances under our equity incentive plans and as consideration for acquisitions, the repurchases may nevertheless have the effect of increasing the overall percentage ownership held by these shareholders. The corporate law of the State of Washington, where the Company is incorporated, provides that approval of a merger or similar significant corporate transaction requires the affirmative vote of two-thirds of a company’s outstanding shares. The beneficial ownership of these shareholders may have the effect of discouraging offers to acquire us, delay or otherwise prevent a significant corporate transaction because the consummation of any such transaction would likely require the approval of these shareholders. As a result, the market price of our common stock could be affected.</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and partnerships in new business strategies and acquisitions could disrupt our core business.</w:t>
      </w:r>
    </w:p>
    <w:p>
      <w:pPr>
        <w:spacing w:after="0" w:line="27" w:lineRule="exact"/>
        <w:rPr>
          <w:sz w:val="20"/>
          <w:szCs w:val="20"/>
          <w:color w:val="auto"/>
        </w:rPr>
      </w:pPr>
    </w:p>
    <w:p>
      <w:pPr>
        <w:ind w:right="20"/>
        <w:spacing w:after="0" w:line="295" w:lineRule="auto"/>
        <w:rPr>
          <w:sz w:val="20"/>
          <w:szCs w:val="20"/>
          <w:color w:val="auto"/>
        </w:rPr>
      </w:pPr>
      <w:r>
        <w:rPr>
          <w:rFonts w:ascii="Arial" w:cs="Arial" w:eastAsia="Arial" w:hAnsi="Arial"/>
          <w:sz w:val="16"/>
          <w:szCs w:val="16"/>
          <w:color w:val="auto"/>
        </w:rPr>
        <w:t>We have invested in or are pursuing strategic growth opportunities, which may include acquisitions of, or investments in, other businesses, as well as new technologies or other investments to provide a superior customer shopping experience in our stores and online. Additionally, our business model will continue to rely more on partnerships with third parties for certain strategic initiatives and technologies. If these investments, acquisitions or partnerships do not perform as expected or create operational difficulties, we may record impairment charges and our profitability and growth could be adversely affected.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DUE TO ECONOMIC AND EXTERNAL MARKET FACTORS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downturn in economic conditions could have a significant adverse effect on our business.</w:t>
      </w:r>
    </w:p>
    <w:p>
      <w:pPr>
        <w:spacing w:after="0" w:line="27"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During economic downturns, fewer customers may shop for the high-quality items in our stores and on our websites, as these products may be seen as discretionary, and those who do shop may limit the amount of their purchases. This reduced demand may lead to lower sales, higher markdowns, an overly promotional environment and increased marketing and promotional spending.</w:t>
      </w:r>
    </w:p>
    <w:p>
      <w:pPr>
        <w:spacing w:after="0" w:line="384" w:lineRule="exact"/>
        <w:rPr>
          <w:sz w:val="20"/>
          <w:szCs w:val="20"/>
          <w:color w:val="auto"/>
        </w:rPr>
      </w:pPr>
    </w:p>
    <w:p>
      <w:pPr>
        <w:jc w:val="right"/>
        <w:spacing w:after="0"/>
        <w:rPr>
          <w:sz w:val="20"/>
          <w:szCs w:val="20"/>
          <w:color w:val="auto"/>
        </w:rPr>
      </w:pPr>
      <w:r>
        <w:rPr>
          <w:rFonts w:ascii="Arial" w:cs="Arial" w:eastAsia="Arial" w:hAnsi="Arial"/>
          <w:sz w:val="13"/>
          <w:szCs w:val="13"/>
          <w:color w:val="auto"/>
        </w:rPr>
        <w:t xml:space="preserve">Nordstrom, Inc. and subsidiaries </w:t>
      </w:r>
      <w:r>
        <w:rPr>
          <w:rFonts w:ascii="Arial" w:cs="Arial" w:eastAsia="Arial" w:hAnsi="Arial"/>
          <w:sz w:val="16"/>
          <w:szCs w:val="16"/>
          <w:color w:val="auto"/>
        </w:rPr>
        <w:t>9</w:t>
      </w:r>
    </w:p>
    <w:p>
      <w:pPr>
        <w:sectPr>
          <w:pgSz w:w="11900" w:h="16838" w:orient="portrait"/>
          <w:cols w:equalWidth="0" w:num="1">
            <w:col w:w="11420"/>
          </w:cols>
          <w:pgMar w:left="240" w:top="126" w:right="239" w:bottom="1440" w:gutter="0" w:footer="0" w:header="0"/>
        </w:sectPr>
      </w:pPr>
    </w:p>
    <w:bookmarkStart w:id="9" w:name="page10"/>
    <w:bookmarkEnd w:id="9"/>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business could suffer if we do not appropriately assess and react to competitive market forces and changes in customer behavior.</w:t>
      </w:r>
    </w:p>
    <w:p>
      <w:pPr>
        <w:spacing w:after="0" w:line="39"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We compete with other international, national, regional, local and online retailers that may carry similar lines of merchandise, including department stores, specialty stores, off-price stores, boutiques and internet businesses. The retail environment is rapidly evolving with customer shopping preferences continuing to shift online and we expect competition in the ecommerce market to intensify in the future as the internet continues to facilitate competitive entry and comparison shopping. We may lose market share to our competitors and our sales and profitability could suffer if we are unable to remain competitive. Our financial model is changing to match customer shopping preferences, but if we do not properly allocate our capital between the store and online environment, or adjust the effectiveness and efficiency of our stores and online channels, our overall sales and profitability could suffer.</w:t>
      </w:r>
    </w:p>
    <w:p>
      <w:pPr>
        <w:spacing w:after="0" w:line="110"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Our Credit segment faces competition from other retailers who also offer credit card products with associated loyalty programs, large banks and other credit card companies, some of which have substantial financial resources. If we do not effectively anticipate or respond to the competitive banking and credit card environments, we could lose market share to our competitors.</w:t>
      </w:r>
    </w:p>
    <w:p>
      <w:pPr>
        <w:spacing w:after="0" w:line="123"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b w:val="1"/>
          <w:bCs w:val="1"/>
          <w:color w:val="auto"/>
        </w:rPr>
        <w:t>Our sales and customer relationships may be negatively impacted if we do not anticipate and respond to consumer preferences and fashion trends appropriately.</w:t>
      </w:r>
    </w:p>
    <w:p>
      <w:pPr>
        <w:ind w:right="300"/>
        <w:spacing w:after="0" w:line="253" w:lineRule="auto"/>
        <w:rPr>
          <w:sz w:val="20"/>
          <w:szCs w:val="20"/>
          <w:color w:val="auto"/>
        </w:rPr>
      </w:pPr>
      <w:r>
        <w:rPr>
          <w:rFonts w:ascii="Arial" w:cs="Arial" w:eastAsia="Arial" w:hAnsi="Arial"/>
          <w:sz w:val="18"/>
          <w:szCs w:val="18"/>
          <w:color w:val="auto"/>
        </w:rPr>
        <w:t>Our ability to predict or respond to constantly changing fashion trends, consumer preferences and spending patterns significantly impacts our sales and operating results. If we do not identify and respond to emerging trends in consumer spending and preferences quickly enough, we may harm our ability to retain our existing customers or attract new customers. If we purchase too much inventory, we may be forced to sell our merchandise at lower average margins, which could harm our business. Conversely, if we fail to purchase enough merchandise, we may lose opportunities for additional sales and potentially harm relationships with our customers.</w:t>
      </w:r>
    </w:p>
    <w:p>
      <w:pPr>
        <w:spacing w:after="0" w:line="133" w:lineRule="exact"/>
        <w:rPr>
          <w:sz w:val="20"/>
          <w:szCs w:val="20"/>
          <w:color w:val="auto"/>
        </w:rPr>
      </w:pPr>
    </w:p>
    <w:p>
      <w:pPr>
        <w:ind w:right="20"/>
        <w:spacing w:after="0" w:line="292" w:lineRule="auto"/>
        <w:rPr>
          <w:sz w:val="20"/>
          <w:szCs w:val="20"/>
          <w:color w:val="auto"/>
        </w:rPr>
      </w:pPr>
      <w:r>
        <w:rPr>
          <w:rFonts w:ascii="Arial" w:cs="Arial" w:eastAsia="Arial" w:hAnsi="Arial"/>
          <w:sz w:val="16"/>
          <w:szCs w:val="16"/>
          <w:b w:val="1"/>
          <w:bCs w:val="1"/>
          <w:color w:val="auto"/>
        </w:rPr>
        <w:t xml:space="preserve">Our business depends on third parties for the production, supply or delivery of goods, and a disruption could result in lost sales or increased costs. </w:t>
      </w:r>
      <w:r>
        <w:rPr>
          <w:rFonts w:ascii="Arial" w:cs="Arial" w:eastAsia="Arial" w:hAnsi="Arial"/>
          <w:sz w:val="16"/>
          <w:szCs w:val="16"/>
          <w:color w:val="auto"/>
        </w:rPr>
        <w:t>The continued success of our operations is tied to our timely receipt of quality merchandise from third parties. Our process to identify qualified vendors and access quality products in an efficient manner on acceptable terms and cost can be complex. Violations of law with respect to quality and safety by our importers, manufacturers or distributors could result in delays in shipments and receipt of goods or damage our reputation, resulting in lost sales. These vendors may experience difficulties due to economic or political conditions or the countries in which merchandise is manufactured could become subject to new trade restrictions, including increased customs restrictions, tariffs or quotas. Additionally, changes in tax and trade policies that impact the retail industry, such as increased taxation on imported goods, could have a material adverse effect on our business, results of operations and liquidity.</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results of our Credit operations could be adversely affected by changes in market conditions.</w:t>
      </w:r>
    </w:p>
    <w:p>
      <w:pPr>
        <w:spacing w:after="0" w:line="2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Our net credit card revenues and profitability are subject in large part to economic and market conditions that are beyond our control, including, but not limited to, interest rates, consumer credit availability, consumer debt levels, unemployment trends and other factors. These economic and market conditions could impair our revenues and the profitability of our Credit segment due to factors such as lower demand for credit, unfavorable payment patterns and higher delinquency rates. Additionally, our results may be negatively impacted if there are changes to the credit card risk management policies implemented under our program agreement with TD.</w:t>
      </w:r>
    </w:p>
    <w:p>
      <w:pPr>
        <w:spacing w:after="0" w:line="133"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b w:val="1"/>
          <w:bCs w:val="1"/>
          <w:color w:val="auto"/>
        </w:rPr>
        <w:t>Our business and operations could be materially and adversely affected by supply chain disruptions, port disruptions, severe weather patterns, natural disasters, widespread pandemics and other natural or man-made disruptions.</w:t>
      </w:r>
    </w:p>
    <w:p>
      <w:pPr>
        <w:ind w:right="20"/>
        <w:spacing w:after="0" w:line="253" w:lineRule="auto"/>
        <w:rPr>
          <w:sz w:val="20"/>
          <w:szCs w:val="20"/>
          <w:color w:val="auto"/>
        </w:rPr>
      </w:pPr>
      <w:r>
        <w:rPr>
          <w:rFonts w:ascii="Arial" w:cs="Arial" w:eastAsia="Arial" w:hAnsi="Arial"/>
          <w:sz w:val="18"/>
          <w:szCs w:val="18"/>
          <w:color w:val="auto"/>
        </w:rPr>
        <w:t>We derive a significant amount of our total sales from stores located on the west and east coasts of the United States, particularly in California, which increases our exposure to market-disrupting conditions in these regions. These disruptions could cause, among other things, a decrease in consumer spending that would negatively impact our sales, staffing shortages in our stores, distribution centers or corporate offices, interruptions in the flow of merchandise to our stores, disruptions in the operations of our merchandise vendors or property developers, increased costs and a negative impact on our reputation and long-term growth plans.</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00"/>
          </w:cols>
          <w:pgMar w:left="240" w:top="126" w:right="259" w:bottom="1440" w:gutter="0" w:footer="0" w:header="0"/>
        </w:sectPr>
      </w:pPr>
    </w:p>
    <w:bookmarkStart w:id="10" w:name="page11"/>
    <w:bookmarkEnd w:id="10"/>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DUE TO LEGAL AND REGULATORY FACTORS</w:t>
      </w:r>
    </w:p>
    <w:p>
      <w:pPr>
        <w:spacing w:after="0" w:line="171" w:lineRule="exact"/>
        <w:rPr>
          <w:sz w:val="20"/>
          <w:szCs w:val="20"/>
          <w:color w:val="auto"/>
        </w:rPr>
      </w:pPr>
    </w:p>
    <w:p>
      <w:pPr>
        <w:ind w:right="940"/>
        <w:spacing w:after="0" w:line="261" w:lineRule="auto"/>
        <w:rPr>
          <w:sz w:val="20"/>
          <w:szCs w:val="20"/>
          <w:color w:val="auto"/>
        </w:rPr>
      </w:pPr>
      <w:r>
        <w:rPr>
          <w:rFonts w:ascii="Arial" w:cs="Arial" w:eastAsia="Arial" w:hAnsi="Arial"/>
          <w:sz w:val="18"/>
          <w:szCs w:val="18"/>
          <w:b w:val="1"/>
          <w:bCs w:val="1"/>
          <w:color w:val="auto"/>
        </w:rPr>
        <w:t>We are subject to certain laws, litigation, regulatory matters and ethical standards, and our failure to comply with or adequately address developments as they arise could adversely affect our reputation and operations.</w:t>
      </w:r>
    </w:p>
    <w:p>
      <w:pPr>
        <w:ind w:right="40"/>
        <w:spacing w:after="0" w:line="286" w:lineRule="auto"/>
        <w:rPr>
          <w:sz w:val="20"/>
          <w:szCs w:val="20"/>
          <w:color w:val="auto"/>
        </w:rPr>
      </w:pPr>
      <w:r>
        <w:rPr>
          <w:rFonts w:ascii="Arial" w:cs="Arial" w:eastAsia="Arial" w:hAnsi="Arial"/>
          <w:sz w:val="16"/>
          <w:szCs w:val="16"/>
          <w:color w:val="auto"/>
        </w:rPr>
        <w:t>Our policies, procedures and practices and the technology we implement are designed to comply with federal, state, local and foreign laws, rules and regulations, including those imposed by the SEC and other regulatory agencies, the marketplace, the banking industry and foreign countries, as well as responsible business, social and environmental practices, all of which may change from time to time. Significant legislative changes, including those that relate to employment matters and health care reform, could impact our relationship with our workforce, which could increase our expenses and adversely affect our operations. In addition, if we fail to comply with applicable laws and regulations or implement responsible business, social, environmental and supply chain practices, we could be subject to damage to our reputation, class action lawsuits, legal and settlement costs, civil and criminal liability, increased cost of regulatory compliance, restatements of our financial statements, disruption of our business and loss of customers. Any required changes to our employment practices could result in the loss of employees, reduced sales, increased employment costs, low employee morale and harm to our business and results of operations. In addition, political and economic factors could lead to unfavorable changes in federal, state and foreign tax laws, which may increase our tax liabilities. An increase in our tax liabilities could adversely affect our results of operations. We are also regularly involved in various litigation matters that arise in the ordinary course of business. Litigation or regulatory developments could adversely affect our business and financial condition.</w:t>
      </w:r>
    </w:p>
    <w:p>
      <w:pPr>
        <w:spacing w:after="0" w:line="109"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b w:val="1"/>
          <w:bCs w:val="1"/>
          <w:color w:val="auto"/>
        </w:rPr>
        <w:t xml:space="preserve">We continue to face uncertainties due to financial services industry regulation and supervision that could have an adverse affect on our operations. </w:t>
      </w:r>
      <w:r>
        <w:rPr>
          <w:rFonts w:ascii="Arial" w:cs="Arial" w:eastAsia="Arial" w:hAnsi="Arial"/>
          <w:sz w:val="17"/>
          <w:szCs w:val="17"/>
          <w:color w:val="auto"/>
        </w:rPr>
        <w:t>Federal and state regulation and supervision of the financial industry has increased due to implementation of consumer protection and financial reform legislation such as the Credit Card Accountability Responsibility and Disclosure Act of 2009 (“CARD Act”) and the Dodd-Frank Wall Street Reform and Consumer Protection Act of 2010 (“Financial Reform Act”). The Financial Reform Act significantly restructured regulatory oversight and other aspects of the financial industry, created the Consumer Financial Protection Bureau (“CFPB”) to supervise and enforce consumer lending laws and regulations, and expanded state authority over consumer lending. The CARD Act included new and revised rules and restrictions on credit card pricing, finance charges and fees, customer billing practices and payment application. We anticipate more regulation and interpretations of the new rules to continue, and we may be required to make changes, or TD may be required to make changes in connection with the program agreement, to credit card practices and systems which could adversely impact the revenues and profitability of our Credit segment. Compliance with applicable laws and regulations could limit or restrict the activities of our business, whether conducted by us or TD, and any potential enforcement actions by those agencies for failure to comply could have an adverse impact on us.</w:t>
      </w:r>
    </w:p>
    <w:p>
      <w:pPr>
        <w:spacing w:after="0" w:line="12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1B. Unresolved Staff Comments.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Properties.</w:t>
      </w:r>
    </w:p>
    <w:p>
      <w:pPr>
        <w:spacing w:after="0" w:line="165"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following table summarizes the number of retail stores we own or lease, and the percentage of total store square footage represented by each listed category as of January 28, 2017:</w:t>
      </w:r>
    </w:p>
    <w:p>
      <w:pPr>
        <w:sectPr>
          <w:pgSz w:w="11900" w:h="16838" w:orient="portrait"/>
          <w:cols w:equalWidth="0" w:num="1">
            <w:col w:w="11420"/>
          </w:cols>
          <w:pgMar w:left="240" w:top="12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0"/>
        <w:spacing w:after="0"/>
        <w:rPr>
          <w:sz w:val="20"/>
          <w:szCs w:val="20"/>
          <w:color w:val="auto"/>
        </w:rPr>
      </w:pPr>
      <w:r>
        <w:rPr>
          <w:rFonts w:ascii="Arial" w:cs="Arial" w:eastAsia="Arial" w:hAnsi="Arial"/>
          <w:sz w:val="16"/>
          <w:szCs w:val="16"/>
          <w:color w:val="auto"/>
        </w:rPr>
        <w:t>Leased stores on leased land</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Owned stores on leased land</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Owned stores on owned land</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Partly owned and partly leased store</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Total</w:t>
      </w:r>
    </w:p>
    <w:p>
      <w:pPr>
        <w:spacing w:after="0" w:line="68" w:lineRule="exact"/>
        <w:rPr>
          <w:sz w:val="20"/>
          <w:szCs w:val="20"/>
          <w:color w:val="auto"/>
        </w:rPr>
      </w:pPr>
    </w:p>
    <w:p>
      <w:pPr>
        <w:ind w:left="80" w:hanging="72"/>
        <w:spacing w:after="0"/>
        <w:tabs>
          <w:tab w:leader="none" w:pos="80" w:val="left"/>
        </w:tabs>
        <w:numPr>
          <w:ilvl w:val="0"/>
          <w:numId w:val="8"/>
        </w:numPr>
        <w:rPr>
          <w:rFonts w:ascii="Arial" w:cs="Arial" w:eastAsia="Arial" w:hAnsi="Arial"/>
          <w:sz w:val="8"/>
          <w:szCs w:val="8"/>
          <w:color w:val="auto"/>
        </w:rPr>
      </w:pPr>
      <w:r>
        <w:rPr>
          <w:rFonts w:ascii="Arial" w:cs="Arial" w:eastAsia="Arial" w:hAnsi="Arial"/>
          <w:sz w:val="12"/>
          <w:szCs w:val="12"/>
          <w:color w:val="auto"/>
        </w:rPr>
        <w:t>Other includes Trunk Club clubhouses, Jeffrey boutiques and Last Chance stores.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354203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ind w:left="1280"/>
        <w:spacing w:after="0"/>
        <w:rPr>
          <w:sz w:val="20"/>
          <w:szCs w:val="20"/>
          <w:color w:val="auto"/>
        </w:rPr>
      </w:pPr>
      <w:r>
        <w:rPr>
          <w:rFonts w:ascii="Arial" w:cs="Arial" w:eastAsia="Arial" w:hAnsi="Arial"/>
          <w:sz w:val="16"/>
          <w:szCs w:val="16"/>
          <w:b w:val="1"/>
          <w:bCs w:val="1"/>
          <w:color w:val="auto"/>
        </w:rPr>
        <w:t>Number of stores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37465</wp:posOffset>
            </wp:positionV>
            <wp:extent cx="236664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366645" cy="8890"/>
                    </a:xfrm>
                    <a:prstGeom prst="rect">
                      <a:avLst/>
                    </a:prstGeom>
                    <a:noFill/>
                  </pic:spPr>
                </pic:pic>
              </a:graphicData>
            </a:graphic>
          </wp:anchor>
        </w:drawing>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60" w:type="dxa"/>
            <w:vAlign w:val="bottom"/>
          </w:tcPr>
          <w:p>
            <w:pPr>
              <w:jc w:val="right"/>
              <w:ind w:right="279"/>
              <w:spacing w:after="0"/>
              <w:rPr>
                <w:sz w:val="20"/>
                <w:szCs w:val="20"/>
                <w:color w:val="auto"/>
              </w:rPr>
            </w:pPr>
            <w:r>
              <w:rPr>
                <w:rFonts w:ascii="Arial" w:cs="Arial" w:eastAsia="Arial" w:hAnsi="Arial"/>
                <w:sz w:val="16"/>
                <w:szCs w:val="16"/>
                <w:b w:val="1"/>
                <w:bCs w:val="1"/>
                <w:color w:val="auto"/>
              </w:rPr>
              <w:t>Nordstrom</w:t>
            </w:r>
          </w:p>
        </w:tc>
        <w:tc>
          <w:tcPr>
            <w:tcW w:w="1660" w:type="dxa"/>
            <w:vAlign w:val="bottom"/>
          </w:tcPr>
          <w:p>
            <w:pPr>
              <w:spacing w:after="0"/>
              <w:rPr>
                <w:sz w:val="17"/>
                <w:szCs w:val="17"/>
                <w:color w:val="auto"/>
              </w:rPr>
            </w:pPr>
          </w:p>
        </w:tc>
      </w:tr>
      <w:tr>
        <w:trPr>
          <w:trHeight w:val="203"/>
        </w:trPr>
        <w:tc>
          <w:tcPr>
            <w:tcW w:w="2060" w:type="dxa"/>
            <w:vAlign w:val="bottom"/>
          </w:tcPr>
          <w:p>
            <w:pPr>
              <w:jc w:val="right"/>
              <w:ind w:right="279"/>
              <w:spacing w:after="0"/>
              <w:rPr>
                <w:sz w:val="20"/>
                <w:szCs w:val="20"/>
                <w:color w:val="auto"/>
              </w:rPr>
            </w:pPr>
            <w:r>
              <w:rPr>
                <w:rFonts w:ascii="Arial" w:cs="Arial" w:eastAsia="Arial" w:hAnsi="Arial"/>
                <w:sz w:val="16"/>
                <w:szCs w:val="16"/>
                <w:b w:val="1"/>
                <w:bCs w:val="1"/>
                <w:color w:val="auto"/>
              </w:rPr>
              <w:t>Full-Line Stores -</w:t>
            </w:r>
          </w:p>
        </w:tc>
        <w:tc>
          <w:tcPr>
            <w:tcW w:w="1660" w:type="dxa"/>
            <w:vAlign w:val="bottom"/>
          </w:tcPr>
          <w:p>
            <w:pPr>
              <w:jc w:val="right"/>
              <w:ind w:right="19"/>
              <w:spacing w:after="0"/>
              <w:rPr>
                <w:sz w:val="20"/>
                <w:szCs w:val="20"/>
                <w:color w:val="auto"/>
              </w:rPr>
            </w:pPr>
            <w:r>
              <w:rPr>
                <w:rFonts w:ascii="Arial" w:cs="Arial" w:eastAsia="Arial" w:hAnsi="Arial"/>
                <w:sz w:val="16"/>
                <w:szCs w:val="16"/>
                <w:b w:val="1"/>
                <w:bCs w:val="1"/>
                <w:color w:val="auto"/>
              </w:rPr>
              <w:t>Nordstrom</w:t>
            </w:r>
          </w:p>
        </w:tc>
      </w:tr>
      <w:tr>
        <w:trPr>
          <w:trHeight w:val="243"/>
        </w:trPr>
        <w:tc>
          <w:tcPr>
            <w:tcW w:w="20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U.S. and Canada</w:t>
            </w:r>
          </w:p>
        </w:tc>
        <w:tc>
          <w:tcPr>
            <w:tcW w:w="16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Rack and Other</w:t>
            </w:r>
            <w:r>
              <w:rPr>
                <w:rFonts w:ascii="Arial" w:cs="Arial" w:eastAsia="Arial" w:hAnsi="Arial"/>
                <w:sz w:val="21"/>
                <w:szCs w:val="21"/>
                <w:color w:val="auto"/>
                <w:vertAlign w:val="superscript"/>
              </w:rPr>
              <w:t>1</w:t>
            </w:r>
          </w:p>
        </w:tc>
      </w:tr>
      <w:tr>
        <w:trPr>
          <w:trHeight w:val="231"/>
        </w:trPr>
        <w:tc>
          <w:tcPr>
            <w:tcW w:w="2060" w:type="dxa"/>
            <w:vAlign w:val="bottom"/>
          </w:tcPr>
          <w:p>
            <w:pPr>
              <w:jc w:val="right"/>
              <w:ind w:right="279"/>
              <w:spacing w:after="0"/>
              <w:rPr>
                <w:sz w:val="20"/>
                <w:szCs w:val="20"/>
                <w:color w:val="auto"/>
              </w:rPr>
            </w:pPr>
            <w:r>
              <w:rPr>
                <w:rFonts w:ascii="Arial" w:cs="Arial" w:eastAsia="Arial" w:hAnsi="Arial"/>
                <w:sz w:val="16"/>
                <w:szCs w:val="16"/>
                <w:b w:val="1"/>
                <w:bCs w:val="1"/>
                <w:color w:val="auto"/>
              </w:rPr>
              <w:t>24</w:t>
            </w:r>
          </w:p>
        </w:tc>
        <w:tc>
          <w:tcPr>
            <w:tcW w:w="1660" w:type="dxa"/>
            <w:vAlign w:val="bottom"/>
          </w:tcPr>
          <w:p>
            <w:pPr>
              <w:jc w:val="right"/>
              <w:ind w:right="19"/>
              <w:spacing w:after="0"/>
              <w:rPr>
                <w:sz w:val="20"/>
                <w:szCs w:val="20"/>
                <w:color w:val="auto"/>
              </w:rPr>
            </w:pPr>
            <w:r>
              <w:rPr>
                <w:rFonts w:ascii="Arial" w:cs="Arial" w:eastAsia="Arial" w:hAnsi="Arial"/>
                <w:sz w:val="16"/>
                <w:szCs w:val="16"/>
                <w:b w:val="1"/>
                <w:bCs w:val="1"/>
                <w:color w:val="auto"/>
              </w:rPr>
              <w:t>225</w:t>
            </w:r>
          </w:p>
        </w:tc>
      </w:tr>
      <w:tr>
        <w:trPr>
          <w:trHeight w:val="270"/>
        </w:trPr>
        <w:tc>
          <w:tcPr>
            <w:tcW w:w="2060" w:type="dxa"/>
            <w:vAlign w:val="bottom"/>
          </w:tcPr>
          <w:p>
            <w:pPr>
              <w:jc w:val="right"/>
              <w:ind w:right="279"/>
              <w:spacing w:after="0"/>
              <w:rPr>
                <w:sz w:val="20"/>
                <w:szCs w:val="20"/>
                <w:color w:val="auto"/>
              </w:rPr>
            </w:pPr>
            <w:r>
              <w:rPr>
                <w:rFonts w:ascii="Arial" w:cs="Arial" w:eastAsia="Arial" w:hAnsi="Arial"/>
                <w:sz w:val="16"/>
                <w:szCs w:val="16"/>
                <w:b w:val="1"/>
                <w:bCs w:val="1"/>
                <w:color w:val="auto"/>
              </w:rPr>
              <w:t>63</w:t>
            </w:r>
          </w:p>
        </w:tc>
        <w:tc>
          <w:tcPr>
            <w:tcW w:w="166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r>
      <w:tr>
        <w:trPr>
          <w:trHeight w:val="270"/>
        </w:trPr>
        <w:tc>
          <w:tcPr>
            <w:tcW w:w="2060" w:type="dxa"/>
            <w:vAlign w:val="bottom"/>
          </w:tcPr>
          <w:p>
            <w:pPr>
              <w:jc w:val="right"/>
              <w:ind w:right="279"/>
              <w:spacing w:after="0"/>
              <w:rPr>
                <w:sz w:val="20"/>
                <w:szCs w:val="20"/>
                <w:color w:val="auto"/>
              </w:rPr>
            </w:pPr>
            <w:r>
              <w:rPr>
                <w:rFonts w:ascii="Arial" w:cs="Arial" w:eastAsia="Arial" w:hAnsi="Arial"/>
                <w:sz w:val="16"/>
                <w:szCs w:val="16"/>
                <w:b w:val="1"/>
                <w:bCs w:val="1"/>
                <w:color w:val="auto"/>
              </w:rPr>
              <w:t>35</w:t>
            </w:r>
          </w:p>
        </w:tc>
        <w:tc>
          <w:tcPr>
            <w:tcW w:w="1660" w:type="dxa"/>
            <w:vAlign w:val="bottom"/>
          </w:tcPr>
          <w:p>
            <w:pPr>
              <w:jc w:val="right"/>
              <w:ind w:right="19"/>
              <w:spacing w:after="0"/>
              <w:rPr>
                <w:sz w:val="20"/>
                <w:szCs w:val="20"/>
                <w:color w:val="auto"/>
              </w:rPr>
            </w:pPr>
            <w:r>
              <w:rPr>
                <w:rFonts w:ascii="Arial" w:cs="Arial" w:eastAsia="Arial" w:hAnsi="Arial"/>
                <w:sz w:val="16"/>
                <w:szCs w:val="16"/>
                <w:b w:val="1"/>
                <w:bCs w:val="1"/>
                <w:color w:val="auto"/>
              </w:rPr>
              <w:t>1</w:t>
            </w:r>
          </w:p>
        </w:tc>
      </w:tr>
      <w:tr>
        <w:trPr>
          <w:trHeight w:val="270"/>
        </w:trPr>
        <w:tc>
          <w:tcPr>
            <w:tcW w:w="2060" w:type="dxa"/>
            <w:vAlign w:val="bottom"/>
          </w:tcPr>
          <w:p>
            <w:pPr>
              <w:jc w:val="right"/>
              <w:ind w:right="279"/>
              <w:spacing w:after="0"/>
              <w:rPr>
                <w:sz w:val="20"/>
                <w:szCs w:val="20"/>
                <w:color w:val="auto"/>
              </w:rPr>
            </w:pPr>
            <w:r>
              <w:rPr>
                <w:rFonts w:ascii="Arial" w:cs="Arial" w:eastAsia="Arial" w:hAnsi="Arial"/>
                <w:sz w:val="16"/>
                <w:szCs w:val="16"/>
                <w:b w:val="1"/>
                <w:bCs w:val="1"/>
                <w:color w:val="auto"/>
              </w:rPr>
              <w:t>1</w:t>
            </w:r>
          </w:p>
        </w:tc>
        <w:tc>
          <w:tcPr>
            <w:tcW w:w="166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r>
      <w:tr>
        <w:trPr>
          <w:trHeight w:val="33"/>
        </w:trPr>
        <w:tc>
          <w:tcPr>
            <w:tcW w:w="20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31"/>
        </w:trPr>
        <w:tc>
          <w:tcPr>
            <w:tcW w:w="2060" w:type="dxa"/>
            <w:vAlign w:val="bottom"/>
          </w:tcPr>
          <w:p>
            <w:pPr>
              <w:jc w:val="right"/>
              <w:ind w:right="279"/>
              <w:spacing w:after="0"/>
              <w:rPr>
                <w:sz w:val="20"/>
                <w:szCs w:val="20"/>
                <w:color w:val="auto"/>
              </w:rPr>
            </w:pPr>
            <w:r>
              <w:rPr>
                <w:rFonts w:ascii="Arial" w:cs="Arial" w:eastAsia="Arial" w:hAnsi="Arial"/>
                <w:sz w:val="16"/>
                <w:szCs w:val="16"/>
                <w:b w:val="1"/>
                <w:bCs w:val="1"/>
                <w:color w:val="auto"/>
              </w:rPr>
              <w:t>123</w:t>
            </w:r>
          </w:p>
        </w:tc>
        <w:tc>
          <w:tcPr>
            <w:tcW w:w="1660" w:type="dxa"/>
            <w:vAlign w:val="bottom"/>
          </w:tcPr>
          <w:p>
            <w:pPr>
              <w:jc w:val="right"/>
              <w:ind w:right="19"/>
              <w:spacing w:after="0"/>
              <w:rPr>
                <w:sz w:val="20"/>
                <w:szCs w:val="20"/>
                <w:color w:val="auto"/>
              </w:rPr>
            </w:pPr>
            <w:r>
              <w:rPr>
                <w:rFonts w:ascii="Arial" w:cs="Arial" w:eastAsia="Arial" w:hAnsi="Arial"/>
                <w:sz w:val="16"/>
                <w:szCs w:val="16"/>
                <w:b w:val="1"/>
                <w:bCs w:val="1"/>
                <w:color w:val="auto"/>
              </w:rPr>
              <w:t>226</w:t>
            </w:r>
          </w:p>
        </w:tc>
      </w:tr>
      <w:tr>
        <w:trPr>
          <w:trHeight w:val="33"/>
        </w:trPr>
        <w:tc>
          <w:tcPr>
            <w:tcW w:w="20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-530860</wp:posOffset>
            </wp:positionV>
            <wp:extent cx="7246620"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-187960</wp:posOffset>
            </wp:positionV>
            <wp:extent cx="7246620" cy="1803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-882650</wp:posOffset>
            </wp:positionV>
            <wp:extent cx="7246620" cy="1803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3" w:lineRule="exact"/>
        <w:rPr>
          <w:sz w:val="20"/>
          <w:szCs w:val="20"/>
          <w:color w:val="auto"/>
        </w:rPr>
      </w:pPr>
    </w:p>
    <w:p>
      <w:pPr>
        <w:jc w:val="both"/>
        <w:ind w:left="62" w:right="180" w:hanging="62"/>
        <w:spacing w:after="0" w:line="362" w:lineRule="auto"/>
        <w:tabs>
          <w:tab w:leader="none" w:pos="201" w:val="left"/>
        </w:tabs>
        <w:numPr>
          <w:ilvl w:val="0"/>
          <w:numId w:val="9"/>
        </w:numPr>
        <w:rPr>
          <w:rFonts w:ascii="Arial" w:cs="Arial" w:eastAsia="Arial" w:hAnsi="Arial"/>
          <w:sz w:val="14"/>
          <w:szCs w:val="14"/>
          <w:b w:val="1"/>
          <w:bCs w:val="1"/>
          <w:color w:val="auto"/>
        </w:rPr>
      </w:pPr>
      <w:r>
        <w:rPr>
          <w:rFonts w:ascii="Arial" w:cs="Arial" w:eastAsia="Arial" w:hAnsi="Arial"/>
          <w:sz w:val="14"/>
          <w:szCs w:val="14"/>
          <w:b w:val="1"/>
          <w:bCs w:val="1"/>
          <w:color w:val="auto"/>
        </w:rPr>
        <w:t>of total store square footage</w:t>
      </w:r>
    </w:p>
    <w:p>
      <w:pPr>
        <w:spacing w:after="0" w:line="1" w:lineRule="exact"/>
        <w:rPr>
          <w:sz w:val="20"/>
          <w:szCs w:val="20"/>
          <w:color w:val="auto"/>
        </w:rPr>
      </w:pPr>
    </w:p>
    <w:p>
      <w:pPr>
        <w:jc w:val="right"/>
        <w:ind w:right="20"/>
        <w:spacing w:after="0"/>
        <w:rPr>
          <w:sz w:val="20"/>
          <w:szCs w:val="20"/>
          <w:color w:val="auto"/>
        </w:rPr>
      </w:pPr>
      <w:r>
        <w:rPr>
          <w:rFonts w:ascii="Arial" w:cs="Arial" w:eastAsia="Arial" w:hAnsi="Arial"/>
          <w:sz w:val="16"/>
          <w:szCs w:val="16"/>
          <w:b w:val="1"/>
          <w:bCs w:val="1"/>
          <w:color w:val="auto"/>
        </w:rPr>
        <w:t>42%</w:t>
      </w:r>
    </w:p>
    <w:p>
      <w:pPr>
        <w:spacing w:after="0" w:line="86" w:lineRule="exact"/>
        <w:rPr>
          <w:sz w:val="20"/>
          <w:szCs w:val="20"/>
          <w:color w:val="auto"/>
        </w:rPr>
      </w:pPr>
    </w:p>
    <w:p>
      <w:pPr>
        <w:jc w:val="right"/>
        <w:ind w:right="20"/>
        <w:spacing w:after="0"/>
        <w:rPr>
          <w:sz w:val="20"/>
          <w:szCs w:val="20"/>
          <w:color w:val="auto"/>
        </w:rPr>
      </w:pPr>
      <w:r>
        <w:rPr>
          <w:rFonts w:ascii="Arial" w:cs="Arial" w:eastAsia="Arial" w:hAnsi="Arial"/>
          <w:sz w:val="16"/>
          <w:szCs w:val="16"/>
          <w:b w:val="1"/>
          <w:bCs w:val="1"/>
          <w:color w:val="auto"/>
        </w:rPr>
        <w:t>38%</w:t>
      </w:r>
    </w:p>
    <w:p>
      <w:pPr>
        <w:spacing w:after="0" w:line="86" w:lineRule="exact"/>
        <w:rPr>
          <w:sz w:val="20"/>
          <w:szCs w:val="20"/>
          <w:color w:val="auto"/>
        </w:rPr>
      </w:pPr>
    </w:p>
    <w:p>
      <w:pPr>
        <w:jc w:val="right"/>
        <w:ind w:right="20"/>
        <w:spacing w:after="0"/>
        <w:rPr>
          <w:sz w:val="20"/>
          <w:szCs w:val="20"/>
          <w:color w:val="auto"/>
        </w:rPr>
      </w:pPr>
      <w:r>
        <w:rPr>
          <w:rFonts w:ascii="Arial" w:cs="Arial" w:eastAsia="Arial" w:hAnsi="Arial"/>
          <w:sz w:val="16"/>
          <w:szCs w:val="16"/>
          <w:b w:val="1"/>
          <w:bCs w:val="1"/>
          <w:color w:val="auto"/>
        </w:rPr>
        <w:t>19%</w:t>
      </w:r>
    </w:p>
    <w:p>
      <w:pPr>
        <w:spacing w:after="0" w:line="86" w:lineRule="exact"/>
        <w:rPr>
          <w:sz w:val="20"/>
          <w:szCs w:val="20"/>
          <w:color w:val="auto"/>
        </w:rPr>
      </w:pPr>
    </w:p>
    <w:p>
      <w:pPr>
        <w:jc w:val="right"/>
        <w:ind w:right="20"/>
        <w:spacing w:after="0"/>
        <w:rPr>
          <w:sz w:val="20"/>
          <w:szCs w:val="20"/>
          <w:color w:val="auto"/>
        </w:rPr>
      </w:pPr>
      <w:r>
        <w:rPr>
          <w:rFonts w:ascii="Arial" w:cs="Arial" w:eastAsia="Arial" w:hAnsi="Arial"/>
          <w:sz w:val="16"/>
          <w:szCs w:val="16"/>
          <w:b w:val="1"/>
          <w:bCs w:val="1"/>
          <w:color w:val="auto"/>
        </w:rPr>
        <w:t>1%</w:t>
      </w:r>
    </w:p>
    <w:p>
      <w:pPr>
        <w:spacing w:after="0" w:line="100" w:lineRule="exact"/>
        <w:rPr>
          <w:sz w:val="20"/>
          <w:szCs w:val="20"/>
          <w:color w:val="auto"/>
        </w:rPr>
      </w:pPr>
    </w:p>
    <w:p>
      <w:pPr>
        <w:jc w:val="right"/>
        <w:ind w:right="20"/>
        <w:spacing w:after="0"/>
        <w:rPr>
          <w:sz w:val="20"/>
          <w:szCs w:val="20"/>
          <w:color w:val="auto"/>
        </w:rPr>
      </w:pPr>
      <w:r>
        <w:rPr>
          <w:rFonts w:ascii="Arial" w:cs="Arial" w:eastAsia="Arial" w:hAnsi="Arial"/>
          <w:sz w:val="16"/>
          <w:szCs w:val="16"/>
          <w:b w:val="1"/>
          <w:bCs w:val="1"/>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-398780</wp:posOffset>
            </wp:positionH>
            <wp:positionV relativeFrom="paragraph">
              <wp:posOffset>37465</wp:posOffset>
            </wp:positionV>
            <wp:extent cx="120078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00785" cy="8890"/>
                    </a:xfrm>
                    <a:prstGeom prst="rect">
                      <a:avLst/>
                    </a:prstGeom>
                    <a:noFill/>
                  </pic:spPr>
                </pic:pic>
              </a:graphicData>
            </a:graphic>
          </wp:anchor>
        </w:drawing>
      </w:r>
    </w:p>
    <w:p>
      <w:pPr>
        <w:spacing w:after="0" w:line="392" w:lineRule="exact"/>
        <w:rPr>
          <w:sz w:val="20"/>
          <w:szCs w:val="20"/>
          <w:color w:val="auto"/>
        </w:rPr>
      </w:pPr>
    </w:p>
    <w:p>
      <w:pPr>
        <w:sectPr>
          <w:pgSz w:w="11900" w:h="16838" w:orient="portrait"/>
          <w:cols w:equalWidth="0" w:num="3">
            <w:col w:w="4980" w:space="720"/>
            <w:col w:w="3738" w:space="720"/>
            <w:col w:w="1262"/>
          </w:cols>
          <w:pgMar w:left="240" w:top="126" w:right="239" w:bottom="1440" w:gutter="0" w:footer="0" w:header="0"/>
          <w:type w:val="continuous"/>
        </w:sectPr>
      </w:pPr>
    </w:p>
    <w:p>
      <w:pPr>
        <w:spacing w:after="0" w:line="238" w:lineRule="exact"/>
        <w:rPr>
          <w:sz w:val="20"/>
          <w:szCs w:val="20"/>
          <w:color w:val="auto"/>
        </w:rPr>
      </w:pPr>
    </w:p>
    <w:p>
      <w:pPr>
        <w:ind w:left="9580"/>
        <w:spacing w:after="0"/>
        <w:rPr>
          <w:sz w:val="20"/>
          <w:szCs w:val="20"/>
          <w:color w:val="auto"/>
        </w:rPr>
      </w:pPr>
      <w:r>
        <w:rPr>
          <w:rFonts w:ascii="Arial" w:cs="Arial" w:eastAsia="Arial" w:hAnsi="Arial"/>
          <w:sz w:val="11"/>
          <w:szCs w:val="11"/>
          <w:color w:val="auto"/>
        </w:rPr>
        <w:t xml:space="preserve">Nordstrom, Inc. and subsidiaries </w:t>
      </w:r>
      <w:r>
        <w:rPr>
          <w:rFonts w:ascii="Arial" w:cs="Arial" w:eastAsia="Arial" w:hAnsi="Arial"/>
          <w:sz w:val="14"/>
          <w:szCs w:val="14"/>
          <w:color w:val="auto"/>
        </w:rPr>
        <w:t>11</w:t>
      </w:r>
    </w:p>
    <w:p>
      <w:pPr>
        <w:sectPr>
          <w:pgSz w:w="11900" w:h="16838" w:orient="portrait"/>
          <w:cols w:equalWidth="0" w:num="1">
            <w:col w:w="11420"/>
          </w:cols>
          <w:pgMar w:left="240" w:top="126" w:right="239" w:bottom="1440" w:gutter="0" w:footer="0" w:header="0"/>
          <w:type w:val="continuous"/>
        </w:sectPr>
      </w:pPr>
    </w:p>
    <w:bookmarkStart w:id="11" w:name="page12"/>
    <w:bookmarkEnd w:id="11"/>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our store openings and closures for fiscal 2016 and announced store openings and closures for fiscal 2017 by state/province: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40" w:type="dxa"/>
            <w:vAlign w:val="bottom"/>
            <w:gridSpan w:val="4"/>
          </w:tcPr>
          <w:p>
            <w:pPr>
              <w:ind w:left="1200"/>
              <w:spacing w:after="0"/>
              <w:rPr>
                <w:sz w:val="20"/>
                <w:szCs w:val="20"/>
                <w:color w:val="auto"/>
              </w:rPr>
            </w:pPr>
            <w:r>
              <w:rPr>
                <w:rFonts w:ascii="Arial" w:cs="Arial" w:eastAsia="Arial" w:hAnsi="Arial"/>
                <w:sz w:val="16"/>
                <w:szCs w:val="16"/>
                <w:b w:val="1"/>
                <w:bCs w:val="1"/>
                <w:color w:val="auto"/>
              </w:rPr>
              <w:t>Number of stores</w:t>
            </w:r>
          </w:p>
        </w:tc>
        <w:tc>
          <w:tcPr>
            <w:tcW w:w="1800" w:type="dxa"/>
            <w:vAlign w:val="bottom"/>
          </w:tcPr>
          <w:p>
            <w:pPr>
              <w:spacing w:after="0"/>
              <w:rPr>
                <w:sz w:val="18"/>
                <w:szCs w:val="18"/>
                <w:color w:val="auto"/>
              </w:rPr>
            </w:pPr>
          </w:p>
        </w:tc>
      </w:tr>
      <w:tr>
        <w:trPr>
          <w:trHeight w:val="33"/>
        </w:trPr>
        <w:tc>
          <w:tcPr>
            <w:tcW w:w="4120" w:type="dxa"/>
            <w:vAlign w:val="bottom"/>
            <w:gridSpan w:val="2"/>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20" w:type="dxa"/>
            <w:vAlign w:val="bottom"/>
            <w:tcBorders>
              <w:bottom w:val="single" w:sz="8" w:color="auto"/>
            </w:tcBorders>
            <w:gridSpan w:val="3"/>
          </w:tcPr>
          <w:p>
            <w:pPr>
              <w:spacing w:after="0"/>
              <w:rPr>
                <w:sz w:val="2"/>
                <w:szCs w:val="2"/>
                <w:color w:val="auto"/>
              </w:rPr>
            </w:pPr>
          </w:p>
        </w:tc>
      </w:tr>
      <w:tr>
        <w:trPr>
          <w:trHeight w:val="231"/>
        </w:trPr>
        <w:tc>
          <w:tcPr>
            <w:tcW w:w="4120" w:type="dxa"/>
            <w:vAlign w:val="bottom"/>
            <w:gridSpan w:val="2"/>
          </w:tcPr>
          <w:p>
            <w:pPr>
              <w:ind w:left="40"/>
              <w:spacing w:after="0"/>
              <w:rPr>
                <w:sz w:val="20"/>
                <w:szCs w:val="20"/>
                <w:color w:val="auto"/>
              </w:rPr>
            </w:pPr>
            <w:r>
              <w:rPr>
                <w:rFonts w:ascii="Arial" w:cs="Arial" w:eastAsia="Arial" w:hAnsi="Arial"/>
                <w:sz w:val="16"/>
                <w:szCs w:val="16"/>
                <w:b w:val="1"/>
                <w:bCs w:val="1"/>
                <w:color w:val="auto"/>
              </w:rPr>
              <w:t>Fiscal year</w:t>
            </w:r>
          </w:p>
        </w:tc>
        <w:tc>
          <w:tcPr>
            <w:tcW w:w="1620" w:type="dxa"/>
            <w:vAlign w:val="bottom"/>
          </w:tcPr>
          <w:p>
            <w:pPr>
              <w:spacing w:after="0"/>
              <w:rPr>
                <w:sz w:val="20"/>
                <w:szCs w:val="20"/>
                <w:color w:val="auto"/>
              </w:rPr>
            </w:pPr>
          </w:p>
        </w:tc>
        <w:tc>
          <w:tcPr>
            <w:tcW w:w="1960" w:type="dxa"/>
            <w:vAlign w:val="bottom"/>
            <w:gridSpan w:val="3"/>
          </w:tcPr>
          <w:p>
            <w:pPr>
              <w:jc w:val="right"/>
              <w:ind w:right="1539"/>
              <w:spacing w:after="0"/>
              <w:rPr>
                <w:sz w:val="20"/>
                <w:szCs w:val="20"/>
                <w:color w:val="auto"/>
              </w:rPr>
            </w:pPr>
            <w:r>
              <w:rPr>
                <w:rFonts w:ascii="Arial" w:cs="Arial" w:eastAsia="Arial" w:hAnsi="Arial"/>
                <w:sz w:val="16"/>
                <w:szCs w:val="16"/>
                <w:b w:val="1"/>
                <w:bCs w:val="1"/>
                <w:color w:val="auto"/>
                <w:w w:val="89"/>
              </w:rPr>
              <w:t>2016</w:t>
            </w:r>
          </w:p>
        </w:tc>
        <w:tc>
          <w:tcPr>
            <w:tcW w:w="100" w:type="dxa"/>
            <w:vAlign w:val="bottom"/>
          </w:tcPr>
          <w:p>
            <w:pPr>
              <w:spacing w:after="0"/>
              <w:rPr>
                <w:sz w:val="20"/>
                <w:szCs w:val="20"/>
                <w:color w:val="auto"/>
              </w:rPr>
            </w:pPr>
          </w:p>
        </w:tc>
        <w:tc>
          <w:tcPr>
            <w:tcW w:w="3620" w:type="dxa"/>
            <w:vAlign w:val="bottom"/>
            <w:gridSpan w:val="3"/>
          </w:tcPr>
          <w:p>
            <w:pPr>
              <w:jc w:val="right"/>
              <w:ind w:right="1139"/>
              <w:spacing w:after="0"/>
              <w:rPr>
                <w:sz w:val="20"/>
                <w:szCs w:val="20"/>
                <w:color w:val="auto"/>
              </w:rPr>
            </w:pPr>
            <w:r>
              <w:rPr>
                <w:rFonts w:ascii="Arial" w:cs="Arial" w:eastAsia="Arial" w:hAnsi="Arial"/>
                <w:sz w:val="16"/>
                <w:szCs w:val="16"/>
                <w:b w:val="1"/>
                <w:bCs w:val="1"/>
                <w:color w:val="auto"/>
              </w:rPr>
              <w:t>Announced 2017</w:t>
            </w:r>
          </w:p>
        </w:tc>
      </w:tr>
      <w:tr>
        <w:trPr>
          <w:trHeight w:val="33"/>
        </w:trPr>
        <w:tc>
          <w:tcPr>
            <w:tcW w:w="4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Borders>
              <w:bottom w:val="single" w:sz="8" w:color="auto"/>
            </w:tcBorders>
            <w:gridSpan w:val="2"/>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09"/>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b w:val="1"/>
                <w:bCs w:val="1"/>
                <w:color w:val="auto"/>
              </w:rPr>
              <w:t>Nordstrom</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Nordstrom</w:t>
            </w:r>
          </w:p>
        </w:tc>
        <w:tc>
          <w:tcPr>
            <w:tcW w:w="1800" w:type="dxa"/>
            <w:vAlign w:val="bottom"/>
          </w:tcPr>
          <w:p>
            <w:pPr>
              <w:spacing w:after="0"/>
              <w:rPr>
                <w:sz w:val="18"/>
                <w:szCs w:val="18"/>
                <w:color w:val="auto"/>
              </w:rPr>
            </w:pPr>
          </w:p>
        </w:tc>
      </w:tr>
      <w:tr>
        <w:trPr>
          <w:trHeight w:val="203"/>
        </w:trPr>
        <w:tc>
          <w:tcPr>
            <w:tcW w:w="4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6"/>
                <w:szCs w:val="16"/>
                <w:b w:val="1"/>
                <w:bCs w:val="1"/>
                <w:color w:val="auto"/>
              </w:rPr>
              <w:t>Full-Line Stores -</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Nordstrom</w:t>
            </w:r>
          </w:p>
        </w:tc>
        <w:tc>
          <w:tcPr>
            <w:tcW w:w="182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Full-Line Stores -</w:t>
            </w:r>
          </w:p>
        </w:tc>
        <w:tc>
          <w:tcPr>
            <w:tcW w:w="1800" w:type="dxa"/>
            <w:vAlign w:val="bottom"/>
          </w:tcPr>
          <w:p>
            <w:pPr>
              <w:jc w:val="right"/>
              <w:ind w:right="19"/>
              <w:spacing w:after="0"/>
              <w:rPr>
                <w:sz w:val="20"/>
                <w:szCs w:val="20"/>
                <w:color w:val="auto"/>
              </w:rPr>
            </w:pPr>
            <w:r>
              <w:rPr>
                <w:rFonts w:ascii="Arial" w:cs="Arial" w:eastAsia="Arial" w:hAnsi="Arial"/>
                <w:sz w:val="16"/>
                <w:szCs w:val="16"/>
                <w:b w:val="1"/>
                <w:bCs w:val="1"/>
                <w:color w:val="auto"/>
              </w:rPr>
              <w:t>Nordstrom</w:t>
            </w:r>
          </w:p>
        </w:tc>
      </w:tr>
      <w:tr>
        <w:trPr>
          <w:trHeight w:val="243"/>
        </w:trPr>
        <w:tc>
          <w:tcPr>
            <w:tcW w:w="40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State/Province</w:t>
            </w:r>
          </w:p>
        </w:tc>
        <w:tc>
          <w:tcPr>
            <w:tcW w:w="120" w:type="dxa"/>
            <w:vAlign w:val="bottom"/>
            <w:tcBorders>
              <w:bottom w:val="single" w:sz="8" w:color="CCEEFF"/>
            </w:tcBorders>
          </w:tcPr>
          <w:p>
            <w:pPr>
              <w:spacing w:after="0"/>
              <w:rPr>
                <w:sz w:val="21"/>
                <w:szCs w:val="21"/>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U.S. and Canada</w:t>
            </w:r>
          </w:p>
        </w:tc>
        <w:tc>
          <w:tcPr>
            <w:tcW w:w="12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7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Rack and Other</w:t>
            </w:r>
            <w:r>
              <w:rPr>
                <w:rFonts w:ascii="Arial" w:cs="Arial" w:eastAsia="Arial" w:hAnsi="Arial"/>
                <w:sz w:val="21"/>
                <w:szCs w:val="21"/>
                <w:color w:val="auto"/>
                <w:vertAlign w:val="superscript"/>
              </w:rPr>
              <w:t>1</w:t>
            </w:r>
          </w:p>
        </w:tc>
        <w:tc>
          <w:tcPr>
            <w:tcW w:w="100" w:type="dxa"/>
            <w:vAlign w:val="bottom"/>
            <w:tcBorders>
              <w:bottom w:val="single" w:sz="8" w:color="CCEEFF"/>
            </w:tcBorders>
          </w:tcPr>
          <w:p>
            <w:pPr>
              <w:spacing w:after="0"/>
              <w:rPr>
                <w:sz w:val="21"/>
                <w:szCs w:val="21"/>
                <w:color w:val="auto"/>
              </w:rPr>
            </w:pPr>
          </w:p>
        </w:tc>
        <w:tc>
          <w:tcPr>
            <w:tcW w:w="17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U.S. and Canada</w:t>
            </w:r>
          </w:p>
        </w:tc>
        <w:tc>
          <w:tcPr>
            <w:tcW w:w="120" w:type="dxa"/>
            <w:vAlign w:val="bottom"/>
            <w:tcBorders>
              <w:bottom w:val="single" w:sz="8" w:color="CCEEFF"/>
            </w:tcBorders>
          </w:tcPr>
          <w:p>
            <w:pPr>
              <w:spacing w:after="0"/>
              <w:rPr>
                <w:sz w:val="21"/>
                <w:szCs w:val="21"/>
                <w:color w:val="auto"/>
              </w:rPr>
            </w:pPr>
          </w:p>
        </w:tc>
        <w:tc>
          <w:tcPr>
            <w:tcW w:w="1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Rack and Other</w:t>
            </w:r>
            <w:r>
              <w:rPr>
                <w:rFonts w:ascii="Arial" w:cs="Arial" w:eastAsia="Arial" w:hAnsi="Arial"/>
                <w:sz w:val="21"/>
                <w:szCs w:val="21"/>
                <w:color w:val="auto"/>
                <w:vertAlign w:val="superscript"/>
              </w:rPr>
              <w:t>1</w:t>
            </w:r>
          </w:p>
        </w:tc>
      </w:tr>
      <w:tr>
        <w:trPr>
          <w:trHeight w:val="244"/>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Openings</w:t>
            </w:r>
          </w:p>
        </w:tc>
        <w:tc>
          <w:tcPr>
            <w:tcW w:w="1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r>
      <w:tr>
        <w:trPr>
          <w:trHeight w:val="224"/>
        </w:trPr>
        <w:tc>
          <w:tcPr>
            <w:tcW w:w="4120" w:type="dxa"/>
            <w:vAlign w:val="bottom"/>
            <w:gridSpan w:val="2"/>
          </w:tcPr>
          <w:p>
            <w:pPr>
              <w:ind w:left="280"/>
              <w:spacing w:after="0"/>
              <w:rPr>
                <w:sz w:val="20"/>
                <w:szCs w:val="20"/>
                <w:color w:val="auto"/>
              </w:rPr>
            </w:pPr>
            <w:r>
              <w:rPr>
                <w:rFonts w:ascii="Arial" w:cs="Arial" w:eastAsia="Arial" w:hAnsi="Arial"/>
                <w:sz w:val="16"/>
                <w:szCs w:val="16"/>
                <w:b w:val="1"/>
                <w:bCs w:val="1"/>
                <w:color w:val="auto"/>
              </w:rPr>
              <w:t>U.S.</w:t>
            </w: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47"/>
        </w:trPr>
        <w:tc>
          <w:tcPr>
            <w:tcW w:w="4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0" w:type="dxa"/>
            <w:vAlign w:val="bottom"/>
          </w:tcPr>
          <w:p>
            <w:pPr>
              <w:spacing w:after="0"/>
              <w:rPr>
                <w:sz w:val="4"/>
                <w:szCs w:val="4"/>
                <w:color w:val="auto"/>
              </w:rPr>
            </w:pPr>
          </w:p>
        </w:tc>
      </w:tr>
      <w:tr>
        <w:trPr>
          <w:trHeight w:val="250"/>
        </w:trPr>
        <w:tc>
          <w:tcPr>
            <w:tcW w:w="412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6"/>
                <w:szCs w:val="16"/>
                <w:color w:val="auto"/>
              </w:rPr>
              <w:t>Arizona</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960" w:type="dxa"/>
            <w:vAlign w:val="bottom"/>
            <w:tcBorders>
              <w:bottom w:val="single" w:sz="8" w:color="CCEEFF"/>
            </w:tcBorders>
            <w:gridSpan w:val="3"/>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4120" w:type="dxa"/>
            <w:vAlign w:val="bottom"/>
            <w:gridSpan w:val="2"/>
          </w:tcPr>
          <w:p>
            <w:pPr>
              <w:ind w:left="500"/>
              <w:spacing w:after="0"/>
              <w:rPr>
                <w:sz w:val="20"/>
                <w:szCs w:val="20"/>
                <w:color w:val="auto"/>
              </w:rPr>
            </w:pPr>
            <w:r>
              <w:rPr>
                <w:rFonts w:ascii="Arial" w:cs="Arial" w:eastAsia="Arial" w:hAnsi="Arial"/>
                <w:sz w:val="16"/>
                <w:szCs w:val="16"/>
                <w:color w:val="auto"/>
              </w:rPr>
              <w:t>California</w:t>
            </w:r>
          </w:p>
        </w:tc>
        <w:tc>
          <w:tcPr>
            <w:tcW w:w="16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960" w:type="dxa"/>
            <w:vAlign w:val="bottom"/>
            <w:gridSpan w:val="3"/>
          </w:tcPr>
          <w:p>
            <w:pPr>
              <w:jc w:val="right"/>
              <w:ind w:right="39"/>
              <w:spacing w:after="0"/>
              <w:rPr>
                <w:sz w:val="20"/>
                <w:szCs w:val="20"/>
                <w:color w:val="auto"/>
              </w:rPr>
            </w:pPr>
            <w:r>
              <w:rPr>
                <w:rFonts w:ascii="Arial" w:cs="Arial" w:eastAsia="Arial" w:hAnsi="Arial"/>
                <w:sz w:val="16"/>
                <w:szCs w:val="16"/>
                <w:b w:val="1"/>
                <w:bCs w:val="1"/>
                <w:color w:val="auto"/>
              </w:rPr>
              <w:t>4</w:t>
            </w:r>
          </w:p>
        </w:tc>
        <w:tc>
          <w:tcPr>
            <w:tcW w:w="100" w:type="dxa"/>
            <w:vAlign w:val="bottom"/>
          </w:tcPr>
          <w:p>
            <w:pPr>
              <w:spacing w:after="0"/>
              <w:rPr>
                <w:sz w:val="20"/>
                <w:szCs w:val="20"/>
                <w:color w:val="auto"/>
              </w:rPr>
            </w:pPr>
          </w:p>
        </w:tc>
        <w:tc>
          <w:tcPr>
            <w:tcW w:w="18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2</w:t>
            </w:r>
          </w:p>
        </w:tc>
      </w:tr>
      <w:tr>
        <w:trPr>
          <w:trHeight w:val="33"/>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412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6"/>
                <w:szCs w:val="16"/>
                <w:color w:val="auto"/>
              </w:rPr>
              <w:t>Colorado</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960" w:type="dxa"/>
            <w:vAlign w:val="bottom"/>
            <w:tcBorders>
              <w:bottom w:val="single" w:sz="8" w:color="CCEEFF"/>
            </w:tcBorders>
            <w:gridSpan w:val="3"/>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4120" w:type="dxa"/>
            <w:vAlign w:val="bottom"/>
            <w:gridSpan w:val="2"/>
          </w:tcPr>
          <w:p>
            <w:pPr>
              <w:ind w:left="500"/>
              <w:spacing w:after="0"/>
              <w:rPr>
                <w:sz w:val="20"/>
                <w:szCs w:val="20"/>
                <w:color w:val="auto"/>
              </w:rPr>
            </w:pPr>
            <w:r>
              <w:rPr>
                <w:rFonts w:ascii="Arial" w:cs="Arial" w:eastAsia="Arial" w:hAnsi="Arial"/>
                <w:sz w:val="16"/>
                <w:szCs w:val="16"/>
                <w:color w:val="auto"/>
              </w:rPr>
              <w:t>Florida</w:t>
            </w:r>
          </w:p>
        </w:tc>
        <w:tc>
          <w:tcPr>
            <w:tcW w:w="16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960" w:type="dxa"/>
            <w:vAlign w:val="bottom"/>
            <w:gridSpan w:val="3"/>
          </w:tcPr>
          <w:p>
            <w:pPr>
              <w:jc w:val="right"/>
              <w:ind w:right="39"/>
              <w:spacing w:after="0"/>
              <w:rPr>
                <w:sz w:val="20"/>
                <w:szCs w:val="20"/>
                <w:color w:val="auto"/>
              </w:rPr>
            </w:pPr>
            <w:r>
              <w:rPr>
                <w:rFonts w:ascii="Arial" w:cs="Arial" w:eastAsia="Arial" w:hAnsi="Arial"/>
                <w:sz w:val="16"/>
                <w:szCs w:val="16"/>
                <w:b w:val="1"/>
                <w:bCs w:val="1"/>
                <w:color w:val="auto"/>
              </w:rPr>
              <w:t>1</w:t>
            </w:r>
          </w:p>
        </w:tc>
        <w:tc>
          <w:tcPr>
            <w:tcW w:w="100" w:type="dxa"/>
            <w:vAlign w:val="bottom"/>
          </w:tcPr>
          <w:p>
            <w:pPr>
              <w:spacing w:after="0"/>
              <w:rPr>
                <w:sz w:val="20"/>
                <w:szCs w:val="20"/>
                <w:color w:val="auto"/>
              </w:rPr>
            </w:pPr>
          </w:p>
        </w:tc>
        <w:tc>
          <w:tcPr>
            <w:tcW w:w="18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1</w:t>
            </w:r>
          </w:p>
        </w:tc>
      </w:tr>
      <w:tr>
        <w:trPr>
          <w:trHeight w:val="33"/>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412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6"/>
                <w:szCs w:val="16"/>
                <w:color w:val="auto"/>
              </w:rPr>
              <w:t>Hawaii</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960" w:type="dxa"/>
            <w:vAlign w:val="bottom"/>
            <w:tcBorders>
              <w:bottom w:val="single" w:sz="8" w:color="CCEEFF"/>
            </w:tcBorders>
            <w:gridSpan w:val="3"/>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4120" w:type="dxa"/>
            <w:vAlign w:val="bottom"/>
            <w:gridSpan w:val="2"/>
          </w:tcPr>
          <w:p>
            <w:pPr>
              <w:ind w:left="500"/>
              <w:spacing w:after="0"/>
              <w:rPr>
                <w:sz w:val="20"/>
                <w:szCs w:val="20"/>
                <w:color w:val="auto"/>
              </w:rPr>
            </w:pPr>
            <w:r>
              <w:rPr>
                <w:rFonts w:ascii="Arial" w:cs="Arial" w:eastAsia="Arial" w:hAnsi="Arial"/>
                <w:sz w:val="16"/>
                <w:szCs w:val="16"/>
                <w:color w:val="auto"/>
              </w:rPr>
              <w:t>Illinois</w:t>
            </w:r>
          </w:p>
        </w:tc>
        <w:tc>
          <w:tcPr>
            <w:tcW w:w="16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960" w:type="dxa"/>
            <w:vAlign w:val="bottom"/>
            <w:gridSpan w:val="3"/>
          </w:tcPr>
          <w:p>
            <w:pPr>
              <w:jc w:val="right"/>
              <w:ind w:right="39"/>
              <w:spacing w:after="0"/>
              <w:rPr>
                <w:sz w:val="20"/>
                <w:szCs w:val="20"/>
                <w:color w:val="auto"/>
              </w:rPr>
            </w:pPr>
            <w:r>
              <w:rPr>
                <w:rFonts w:ascii="Arial" w:cs="Arial" w:eastAsia="Arial" w:hAnsi="Arial"/>
                <w:sz w:val="16"/>
                <w:szCs w:val="16"/>
                <w:b w:val="1"/>
                <w:bCs w:val="1"/>
                <w:color w:val="auto"/>
              </w:rPr>
              <w:t>3</w:t>
            </w:r>
          </w:p>
        </w:tc>
        <w:tc>
          <w:tcPr>
            <w:tcW w:w="100" w:type="dxa"/>
            <w:vAlign w:val="bottom"/>
          </w:tcPr>
          <w:p>
            <w:pPr>
              <w:spacing w:after="0"/>
              <w:rPr>
                <w:sz w:val="20"/>
                <w:szCs w:val="20"/>
                <w:color w:val="auto"/>
              </w:rPr>
            </w:pPr>
          </w:p>
        </w:tc>
        <w:tc>
          <w:tcPr>
            <w:tcW w:w="18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2</w:t>
            </w:r>
          </w:p>
        </w:tc>
      </w:tr>
      <w:tr>
        <w:trPr>
          <w:trHeight w:val="33"/>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412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6"/>
                <w:szCs w:val="16"/>
                <w:color w:val="auto"/>
              </w:rPr>
              <w:t>Indiana</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w:t>
            </w:r>
          </w:p>
        </w:tc>
        <w:tc>
          <w:tcPr>
            <w:tcW w:w="1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r>
      <w:tr>
        <w:trPr>
          <w:trHeight w:val="237"/>
        </w:trPr>
        <w:tc>
          <w:tcPr>
            <w:tcW w:w="4120" w:type="dxa"/>
            <w:vAlign w:val="bottom"/>
            <w:gridSpan w:val="2"/>
          </w:tcPr>
          <w:p>
            <w:pPr>
              <w:ind w:left="500"/>
              <w:spacing w:after="0"/>
              <w:rPr>
                <w:sz w:val="20"/>
                <w:szCs w:val="20"/>
                <w:color w:val="auto"/>
              </w:rPr>
            </w:pPr>
            <w:r>
              <w:rPr>
                <w:rFonts w:ascii="Arial" w:cs="Arial" w:eastAsia="Arial" w:hAnsi="Arial"/>
                <w:sz w:val="16"/>
                <w:szCs w:val="16"/>
                <w:color w:val="auto"/>
              </w:rPr>
              <w:t>Louisiana</w:t>
            </w:r>
          </w:p>
        </w:tc>
        <w:tc>
          <w:tcPr>
            <w:tcW w:w="16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960" w:type="dxa"/>
            <w:vAlign w:val="bottom"/>
            <w:gridSpan w:val="3"/>
          </w:tcPr>
          <w:p>
            <w:pPr>
              <w:jc w:val="right"/>
              <w:ind w:right="39"/>
              <w:spacing w:after="0"/>
              <w:rPr>
                <w:sz w:val="20"/>
                <w:szCs w:val="20"/>
                <w:color w:val="auto"/>
              </w:rPr>
            </w:pPr>
            <w:r>
              <w:rPr>
                <w:rFonts w:ascii="Arial" w:cs="Arial" w:eastAsia="Arial" w:hAnsi="Arial"/>
                <w:sz w:val="16"/>
                <w:szCs w:val="16"/>
                <w:b w:val="1"/>
                <w:bCs w:val="1"/>
                <w:color w:val="auto"/>
              </w:rPr>
              <w:t>2</w:t>
            </w:r>
          </w:p>
        </w:tc>
        <w:tc>
          <w:tcPr>
            <w:tcW w:w="100" w:type="dxa"/>
            <w:vAlign w:val="bottom"/>
          </w:tcPr>
          <w:p>
            <w:pPr>
              <w:spacing w:after="0"/>
              <w:rPr>
                <w:sz w:val="20"/>
                <w:szCs w:val="20"/>
                <w:color w:val="auto"/>
              </w:rPr>
            </w:pPr>
          </w:p>
        </w:tc>
        <w:tc>
          <w:tcPr>
            <w:tcW w:w="18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412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6"/>
                <w:szCs w:val="16"/>
                <w:color w:val="auto"/>
              </w:rPr>
              <w:t>Maryland</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w:t>
            </w:r>
          </w:p>
        </w:tc>
        <w:tc>
          <w:tcPr>
            <w:tcW w:w="1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r>
      <w:tr>
        <w:trPr>
          <w:trHeight w:val="237"/>
        </w:trPr>
        <w:tc>
          <w:tcPr>
            <w:tcW w:w="4120" w:type="dxa"/>
            <w:vAlign w:val="bottom"/>
            <w:gridSpan w:val="2"/>
          </w:tcPr>
          <w:p>
            <w:pPr>
              <w:ind w:left="500"/>
              <w:spacing w:after="0"/>
              <w:rPr>
                <w:sz w:val="20"/>
                <w:szCs w:val="20"/>
                <w:color w:val="auto"/>
              </w:rPr>
            </w:pPr>
            <w:r>
              <w:rPr>
                <w:rFonts w:ascii="Arial" w:cs="Arial" w:eastAsia="Arial" w:hAnsi="Arial"/>
                <w:sz w:val="16"/>
                <w:szCs w:val="16"/>
                <w:color w:val="auto"/>
              </w:rPr>
              <w:t>Massachusetts</w:t>
            </w:r>
          </w:p>
        </w:tc>
        <w:tc>
          <w:tcPr>
            <w:tcW w:w="16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960" w:type="dxa"/>
            <w:vAlign w:val="bottom"/>
            <w:gridSpan w:val="3"/>
          </w:tcPr>
          <w:p>
            <w:pPr>
              <w:jc w:val="right"/>
              <w:ind w:right="39"/>
              <w:spacing w:after="0"/>
              <w:rPr>
                <w:sz w:val="20"/>
                <w:szCs w:val="20"/>
                <w:color w:val="auto"/>
              </w:rPr>
            </w:pPr>
            <w:r>
              <w:rPr>
                <w:rFonts w:ascii="Arial" w:cs="Arial" w:eastAsia="Arial" w:hAnsi="Arial"/>
                <w:sz w:val="16"/>
                <w:szCs w:val="16"/>
                <w:b w:val="1"/>
                <w:bCs w:val="1"/>
                <w:color w:val="auto"/>
              </w:rPr>
              <w:t>2</w:t>
            </w:r>
          </w:p>
        </w:tc>
        <w:tc>
          <w:tcPr>
            <w:tcW w:w="100" w:type="dxa"/>
            <w:vAlign w:val="bottom"/>
          </w:tcPr>
          <w:p>
            <w:pPr>
              <w:spacing w:after="0"/>
              <w:rPr>
                <w:sz w:val="20"/>
                <w:szCs w:val="20"/>
                <w:color w:val="auto"/>
              </w:rPr>
            </w:pPr>
          </w:p>
        </w:tc>
        <w:tc>
          <w:tcPr>
            <w:tcW w:w="18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412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6"/>
                <w:szCs w:val="16"/>
                <w:color w:val="auto"/>
              </w:rPr>
              <w:t>Michigan</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960" w:type="dxa"/>
            <w:vAlign w:val="bottom"/>
            <w:tcBorders>
              <w:bottom w:val="single" w:sz="8" w:color="CCEEFF"/>
            </w:tcBorders>
            <w:gridSpan w:val="3"/>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4120" w:type="dxa"/>
            <w:vAlign w:val="bottom"/>
            <w:gridSpan w:val="2"/>
          </w:tcPr>
          <w:p>
            <w:pPr>
              <w:ind w:left="500"/>
              <w:spacing w:after="0"/>
              <w:rPr>
                <w:sz w:val="20"/>
                <w:szCs w:val="20"/>
                <w:color w:val="auto"/>
              </w:rPr>
            </w:pPr>
            <w:r>
              <w:rPr>
                <w:rFonts w:ascii="Arial" w:cs="Arial" w:eastAsia="Arial" w:hAnsi="Arial"/>
                <w:sz w:val="16"/>
                <w:szCs w:val="16"/>
                <w:color w:val="auto"/>
              </w:rPr>
              <w:t>Minnesota</w:t>
            </w:r>
          </w:p>
        </w:tc>
        <w:tc>
          <w:tcPr>
            <w:tcW w:w="16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w:t>
            </w:r>
          </w:p>
        </w:tc>
        <w:tc>
          <w:tcPr>
            <w:tcW w:w="18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2</w:t>
            </w:r>
          </w:p>
        </w:tc>
      </w:tr>
      <w:tr>
        <w:trPr>
          <w:trHeight w:val="33"/>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412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6"/>
                <w:szCs w:val="16"/>
                <w:color w:val="auto"/>
              </w:rPr>
              <w:t>New Mexico</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960" w:type="dxa"/>
            <w:vAlign w:val="bottom"/>
            <w:tcBorders>
              <w:bottom w:val="single" w:sz="8" w:color="CCEEFF"/>
            </w:tcBorders>
            <w:gridSpan w:val="3"/>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4120" w:type="dxa"/>
            <w:vAlign w:val="bottom"/>
            <w:gridSpan w:val="2"/>
          </w:tcPr>
          <w:p>
            <w:pPr>
              <w:ind w:left="500"/>
              <w:spacing w:after="0"/>
              <w:rPr>
                <w:sz w:val="20"/>
                <w:szCs w:val="20"/>
                <w:color w:val="auto"/>
              </w:rPr>
            </w:pPr>
            <w:r>
              <w:rPr>
                <w:rFonts w:ascii="Arial" w:cs="Arial" w:eastAsia="Arial" w:hAnsi="Arial"/>
                <w:sz w:val="16"/>
                <w:szCs w:val="16"/>
                <w:color w:val="auto"/>
              </w:rPr>
              <w:t>New York</w:t>
            </w:r>
          </w:p>
        </w:tc>
        <w:tc>
          <w:tcPr>
            <w:tcW w:w="16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w:t>
            </w:r>
          </w:p>
        </w:tc>
        <w:tc>
          <w:tcPr>
            <w:tcW w:w="18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1</w:t>
            </w:r>
          </w:p>
        </w:tc>
      </w:tr>
      <w:tr>
        <w:trPr>
          <w:trHeight w:val="33"/>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412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6"/>
                <w:szCs w:val="16"/>
                <w:color w:val="auto"/>
              </w:rPr>
              <w:t>Oregon</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w:t>
            </w:r>
          </w:p>
        </w:tc>
        <w:tc>
          <w:tcPr>
            <w:tcW w:w="1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r>
      <w:tr>
        <w:trPr>
          <w:trHeight w:val="237"/>
        </w:trPr>
        <w:tc>
          <w:tcPr>
            <w:tcW w:w="4120" w:type="dxa"/>
            <w:vAlign w:val="bottom"/>
            <w:gridSpan w:val="2"/>
          </w:tcPr>
          <w:p>
            <w:pPr>
              <w:ind w:left="500"/>
              <w:spacing w:after="0"/>
              <w:rPr>
                <w:sz w:val="20"/>
                <w:szCs w:val="20"/>
                <w:color w:val="auto"/>
              </w:rPr>
            </w:pPr>
            <w:r>
              <w:rPr>
                <w:rFonts w:ascii="Arial" w:cs="Arial" w:eastAsia="Arial" w:hAnsi="Arial"/>
                <w:sz w:val="16"/>
                <w:szCs w:val="16"/>
                <w:color w:val="auto"/>
              </w:rPr>
              <w:t>Pennsylvania</w:t>
            </w:r>
          </w:p>
        </w:tc>
        <w:tc>
          <w:tcPr>
            <w:tcW w:w="16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960" w:type="dxa"/>
            <w:vAlign w:val="bottom"/>
            <w:gridSpan w:val="3"/>
          </w:tcPr>
          <w:p>
            <w:pPr>
              <w:jc w:val="right"/>
              <w:ind w:right="39"/>
              <w:spacing w:after="0"/>
              <w:rPr>
                <w:sz w:val="20"/>
                <w:szCs w:val="20"/>
                <w:color w:val="auto"/>
              </w:rPr>
            </w:pPr>
            <w:r>
              <w:rPr>
                <w:rFonts w:ascii="Arial" w:cs="Arial" w:eastAsia="Arial" w:hAnsi="Arial"/>
                <w:sz w:val="16"/>
                <w:szCs w:val="16"/>
                <w:b w:val="1"/>
                <w:bCs w:val="1"/>
                <w:color w:val="auto"/>
              </w:rPr>
              <w:t>3</w:t>
            </w:r>
          </w:p>
        </w:tc>
        <w:tc>
          <w:tcPr>
            <w:tcW w:w="100" w:type="dxa"/>
            <w:vAlign w:val="bottom"/>
          </w:tcPr>
          <w:p>
            <w:pPr>
              <w:spacing w:after="0"/>
              <w:rPr>
                <w:sz w:val="20"/>
                <w:szCs w:val="20"/>
                <w:color w:val="auto"/>
              </w:rPr>
            </w:pPr>
          </w:p>
        </w:tc>
        <w:tc>
          <w:tcPr>
            <w:tcW w:w="18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412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6"/>
                <w:szCs w:val="16"/>
                <w:color w:val="auto"/>
              </w:rPr>
              <w:t>South Carolina</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960" w:type="dxa"/>
            <w:vAlign w:val="bottom"/>
            <w:tcBorders>
              <w:bottom w:val="single" w:sz="8" w:color="CCEEFF"/>
            </w:tcBorders>
            <w:gridSpan w:val="3"/>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4120" w:type="dxa"/>
            <w:vAlign w:val="bottom"/>
            <w:gridSpan w:val="2"/>
          </w:tcPr>
          <w:p>
            <w:pPr>
              <w:ind w:left="500"/>
              <w:spacing w:after="0"/>
              <w:rPr>
                <w:sz w:val="20"/>
                <w:szCs w:val="20"/>
                <w:color w:val="auto"/>
              </w:rPr>
            </w:pPr>
            <w:r>
              <w:rPr>
                <w:rFonts w:ascii="Arial" w:cs="Arial" w:eastAsia="Arial" w:hAnsi="Arial"/>
                <w:sz w:val="16"/>
                <w:szCs w:val="16"/>
                <w:color w:val="auto"/>
              </w:rPr>
              <w:t>Tennessee</w:t>
            </w:r>
          </w:p>
        </w:tc>
        <w:tc>
          <w:tcPr>
            <w:tcW w:w="16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w:t>
            </w:r>
          </w:p>
        </w:tc>
        <w:tc>
          <w:tcPr>
            <w:tcW w:w="18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1</w:t>
            </w:r>
          </w:p>
        </w:tc>
      </w:tr>
      <w:tr>
        <w:trPr>
          <w:trHeight w:val="33"/>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412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6"/>
                <w:szCs w:val="16"/>
                <w:color w:val="auto"/>
              </w:rPr>
              <w:t>Texas</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w:t>
            </w:r>
          </w:p>
        </w:tc>
        <w:tc>
          <w:tcPr>
            <w:tcW w:w="1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r>
      <w:tr>
        <w:trPr>
          <w:trHeight w:val="237"/>
        </w:trPr>
        <w:tc>
          <w:tcPr>
            <w:tcW w:w="4120" w:type="dxa"/>
            <w:vAlign w:val="bottom"/>
            <w:gridSpan w:val="2"/>
          </w:tcPr>
          <w:p>
            <w:pPr>
              <w:ind w:left="500"/>
              <w:spacing w:after="0"/>
              <w:rPr>
                <w:sz w:val="20"/>
                <w:szCs w:val="20"/>
                <w:color w:val="auto"/>
              </w:rPr>
            </w:pPr>
            <w:r>
              <w:rPr>
                <w:rFonts w:ascii="Arial" w:cs="Arial" w:eastAsia="Arial" w:hAnsi="Arial"/>
                <w:sz w:val="16"/>
                <w:szCs w:val="16"/>
                <w:color w:val="auto"/>
              </w:rPr>
              <w:t>Utah</w:t>
            </w:r>
          </w:p>
        </w:tc>
        <w:tc>
          <w:tcPr>
            <w:tcW w:w="16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960" w:type="dxa"/>
            <w:vAlign w:val="bottom"/>
            <w:gridSpan w:val="3"/>
          </w:tcPr>
          <w:p>
            <w:pPr>
              <w:jc w:val="right"/>
              <w:ind w:right="39"/>
              <w:spacing w:after="0"/>
              <w:rPr>
                <w:sz w:val="20"/>
                <w:szCs w:val="20"/>
                <w:color w:val="auto"/>
              </w:rPr>
            </w:pPr>
            <w:r>
              <w:rPr>
                <w:rFonts w:ascii="Arial" w:cs="Arial" w:eastAsia="Arial" w:hAnsi="Arial"/>
                <w:sz w:val="16"/>
                <w:szCs w:val="16"/>
                <w:b w:val="1"/>
                <w:bCs w:val="1"/>
                <w:color w:val="auto"/>
              </w:rPr>
              <w:t>1</w:t>
            </w:r>
          </w:p>
        </w:tc>
        <w:tc>
          <w:tcPr>
            <w:tcW w:w="100" w:type="dxa"/>
            <w:vAlign w:val="bottom"/>
          </w:tcPr>
          <w:p>
            <w:pPr>
              <w:spacing w:after="0"/>
              <w:rPr>
                <w:sz w:val="20"/>
                <w:szCs w:val="20"/>
                <w:color w:val="auto"/>
              </w:rPr>
            </w:pPr>
          </w:p>
        </w:tc>
        <w:tc>
          <w:tcPr>
            <w:tcW w:w="18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412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6"/>
                <w:szCs w:val="16"/>
                <w:color w:val="auto"/>
              </w:rPr>
              <w:t>Virginia</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960" w:type="dxa"/>
            <w:vAlign w:val="bottom"/>
            <w:tcBorders>
              <w:bottom w:val="single" w:sz="8" w:color="CCEEFF"/>
            </w:tcBorders>
            <w:gridSpan w:val="3"/>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4120" w:type="dxa"/>
            <w:vAlign w:val="bottom"/>
            <w:gridSpan w:val="2"/>
          </w:tcPr>
          <w:p>
            <w:pPr>
              <w:ind w:left="500"/>
              <w:spacing w:after="0"/>
              <w:rPr>
                <w:sz w:val="20"/>
                <w:szCs w:val="20"/>
                <w:color w:val="auto"/>
              </w:rPr>
            </w:pPr>
            <w:r>
              <w:rPr>
                <w:rFonts w:ascii="Arial" w:cs="Arial" w:eastAsia="Arial" w:hAnsi="Arial"/>
                <w:sz w:val="16"/>
                <w:szCs w:val="16"/>
                <w:color w:val="auto"/>
              </w:rPr>
              <w:t>Washington</w:t>
            </w:r>
          </w:p>
        </w:tc>
        <w:tc>
          <w:tcPr>
            <w:tcW w:w="16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w:t>
            </w:r>
          </w:p>
        </w:tc>
        <w:tc>
          <w:tcPr>
            <w:tcW w:w="18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2</w:t>
            </w:r>
          </w:p>
        </w:tc>
      </w:tr>
      <w:tr>
        <w:trPr>
          <w:trHeight w:val="33"/>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412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6"/>
                <w:szCs w:val="16"/>
                <w:color w:val="auto"/>
              </w:rPr>
              <w:t>Washington D.C.</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960" w:type="dxa"/>
            <w:vAlign w:val="bottom"/>
            <w:tcBorders>
              <w:bottom w:val="single" w:sz="8" w:color="CCEEFF"/>
            </w:tcBorders>
            <w:gridSpan w:val="3"/>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24"/>
        </w:trPr>
        <w:tc>
          <w:tcPr>
            <w:tcW w:w="4120" w:type="dxa"/>
            <w:vAlign w:val="bottom"/>
            <w:gridSpan w:val="2"/>
          </w:tcPr>
          <w:p>
            <w:pPr>
              <w:ind w:left="280"/>
              <w:spacing w:after="0"/>
              <w:rPr>
                <w:sz w:val="20"/>
                <w:szCs w:val="20"/>
                <w:color w:val="auto"/>
              </w:rPr>
            </w:pPr>
            <w:r>
              <w:rPr>
                <w:rFonts w:ascii="Arial" w:cs="Arial" w:eastAsia="Arial" w:hAnsi="Arial"/>
                <w:sz w:val="16"/>
                <w:szCs w:val="16"/>
                <w:b w:val="1"/>
                <w:bCs w:val="1"/>
                <w:color w:val="auto"/>
              </w:rPr>
              <w:t>Canada</w:t>
            </w: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47"/>
        </w:trPr>
        <w:tc>
          <w:tcPr>
            <w:tcW w:w="4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0" w:type="dxa"/>
            <w:vAlign w:val="bottom"/>
          </w:tcPr>
          <w:p>
            <w:pPr>
              <w:spacing w:after="0"/>
              <w:rPr>
                <w:sz w:val="4"/>
                <w:szCs w:val="4"/>
                <w:color w:val="auto"/>
              </w:rPr>
            </w:pPr>
          </w:p>
        </w:tc>
      </w:tr>
      <w:tr>
        <w:trPr>
          <w:trHeight w:val="270"/>
        </w:trPr>
        <w:tc>
          <w:tcPr>
            <w:tcW w:w="412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6"/>
                <w:szCs w:val="16"/>
                <w:color w:val="auto"/>
              </w:rPr>
              <w:t>Ontario</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w:t>
            </w:r>
          </w:p>
        </w:tc>
        <w:tc>
          <w:tcPr>
            <w:tcW w:w="1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17"/>
        </w:trPr>
        <w:tc>
          <w:tcPr>
            <w:tcW w:w="400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 Openings</w:t>
            </w:r>
          </w:p>
        </w:tc>
        <w:tc>
          <w:tcPr>
            <w:tcW w:w="120" w:type="dxa"/>
            <w:vAlign w:val="bottom"/>
          </w:tcPr>
          <w:p>
            <w:pPr>
              <w:spacing w:after="0"/>
              <w:rPr>
                <w:sz w:val="18"/>
                <w:szCs w:val="18"/>
                <w:color w:val="auto"/>
              </w:rPr>
            </w:pP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w:t>
            </w:r>
          </w:p>
        </w:tc>
        <w:tc>
          <w:tcPr>
            <w:tcW w:w="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24</w:t>
            </w:r>
          </w:p>
        </w:tc>
        <w:tc>
          <w:tcPr>
            <w:tcW w:w="100" w:type="dxa"/>
            <w:vAlign w:val="bottom"/>
          </w:tcPr>
          <w:p>
            <w:pPr>
              <w:spacing w:after="0"/>
              <w:rPr>
                <w:sz w:val="18"/>
                <w:szCs w:val="18"/>
                <w:color w:val="auto"/>
              </w:rPr>
            </w:pPr>
          </w:p>
        </w:tc>
        <w:tc>
          <w:tcPr>
            <w:tcW w:w="17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1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16</w:t>
            </w:r>
          </w:p>
        </w:tc>
      </w:tr>
      <w:tr>
        <w:trPr>
          <w:trHeight w:val="33"/>
        </w:trPr>
        <w:tc>
          <w:tcPr>
            <w:tcW w:w="4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91"/>
        </w:trPr>
        <w:tc>
          <w:tcPr>
            <w:tcW w:w="400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2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72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70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0" w:type="dxa"/>
            <w:vAlign w:val="bottom"/>
            <w:tcBorders>
              <w:bottom w:val="single" w:sz="8" w:color="auto"/>
            </w:tcBorders>
            <w:shd w:val="clear" w:color="auto" w:fill="CCEEFF"/>
          </w:tcPr>
          <w:p>
            <w:pPr>
              <w:spacing w:after="0"/>
              <w:rPr>
                <w:sz w:val="24"/>
                <w:szCs w:val="24"/>
                <w:color w:val="auto"/>
              </w:rPr>
            </w:pPr>
          </w:p>
        </w:tc>
      </w:tr>
      <w:tr>
        <w:trPr>
          <w:trHeight w:val="217"/>
        </w:trPr>
        <w:tc>
          <w:tcPr>
            <w:tcW w:w="4120" w:type="dxa"/>
            <w:vAlign w:val="bottom"/>
            <w:gridSpan w:val="2"/>
          </w:tcPr>
          <w:p>
            <w:pPr>
              <w:ind w:left="40"/>
              <w:spacing w:after="0"/>
              <w:rPr>
                <w:sz w:val="20"/>
                <w:szCs w:val="20"/>
                <w:color w:val="auto"/>
              </w:rPr>
            </w:pPr>
            <w:r>
              <w:rPr>
                <w:rFonts w:ascii="Arial" w:cs="Arial" w:eastAsia="Arial" w:hAnsi="Arial"/>
                <w:sz w:val="16"/>
                <w:szCs w:val="16"/>
                <w:b w:val="1"/>
                <w:bCs w:val="1"/>
                <w:color w:val="auto"/>
              </w:rPr>
              <w:t xml:space="preserve">Closures: </w:t>
            </w:r>
            <w:r>
              <w:rPr>
                <w:rFonts w:ascii="Arial" w:cs="Arial" w:eastAsia="Arial" w:hAnsi="Arial"/>
                <w:sz w:val="16"/>
                <w:szCs w:val="16"/>
                <w:color w:val="auto"/>
              </w:rPr>
              <w:t>California</w:t>
            </w:r>
          </w:p>
        </w:tc>
        <w:tc>
          <w:tcPr>
            <w:tcW w:w="1620" w:type="dxa"/>
            <w:vAlign w:val="bottom"/>
          </w:tcPr>
          <w:p>
            <w:pPr>
              <w:jc w:val="right"/>
              <w:spacing w:after="0"/>
              <w:rPr>
                <w:sz w:val="20"/>
                <w:szCs w:val="20"/>
                <w:color w:val="auto"/>
              </w:rPr>
            </w:pPr>
            <w:r>
              <w:rPr>
                <w:rFonts w:ascii="Arial" w:cs="Arial" w:eastAsia="Arial" w:hAnsi="Arial"/>
                <w:sz w:val="16"/>
                <w:szCs w:val="16"/>
                <w:b w:val="1"/>
                <w:bCs w:val="1"/>
                <w:color w:val="auto"/>
              </w:rPr>
              <w:t>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w:t>
            </w: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w:t>
            </w:r>
          </w:p>
        </w:tc>
      </w:tr>
    </w:tbl>
    <w:p>
      <w:pPr>
        <w:spacing w:after="0" w:line="28" w:lineRule="exact"/>
        <w:rPr>
          <w:sz w:val="20"/>
          <w:szCs w:val="20"/>
          <w:color w:val="auto"/>
        </w:rPr>
      </w:pPr>
    </w:p>
    <w:p>
      <w:pPr>
        <w:ind w:left="80" w:hanging="72"/>
        <w:spacing w:after="0"/>
        <w:tabs>
          <w:tab w:leader="none" w:pos="80" w:val="left"/>
        </w:tabs>
        <w:numPr>
          <w:ilvl w:val="0"/>
          <w:numId w:val="10"/>
        </w:numPr>
        <w:rPr>
          <w:rFonts w:ascii="Arial" w:cs="Arial" w:eastAsia="Arial" w:hAnsi="Arial"/>
          <w:sz w:val="9"/>
          <w:szCs w:val="9"/>
          <w:color w:val="auto"/>
        </w:rPr>
      </w:pPr>
      <w:r>
        <w:rPr>
          <w:rFonts w:ascii="Arial" w:cs="Arial" w:eastAsia="Arial" w:hAnsi="Arial"/>
          <w:sz w:val="14"/>
          <w:szCs w:val="14"/>
          <w:color w:val="auto"/>
        </w:rPr>
        <w:t>Other includes Trunk Club clubhouses, Jeffrey boutiques and Last Chance stores.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126" w:right="239" w:bottom="1440" w:gutter="0" w:footer="0" w:header="0"/>
        </w:sectPr>
      </w:pPr>
    </w:p>
    <w:bookmarkStart w:id="12" w:name="page13"/>
    <w:bookmarkEnd w:id="12"/>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lists our U.S. and Canada retail store count and facility square footage by state/province as of January 28, 2017:</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760" w:type="dxa"/>
            <w:vAlign w:val="bottom"/>
            <w:gridSpan w:val="3"/>
          </w:tcPr>
          <w:p>
            <w:pPr>
              <w:ind w:left="160"/>
              <w:spacing w:after="0"/>
              <w:rPr>
                <w:sz w:val="20"/>
                <w:szCs w:val="20"/>
                <w:color w:val="auto"/>
              </w:rPr>
            </w:pPr>
            <w:r>
              <w:rPr>
                <w:rFonts w:ascii="Arial" w:cs="Arial" w:eastAsia="Arial" w:hAnsi="Arial"/>
                <w:sz w:val="16"/>
                <w:szCs w:val="16"/>
                <w:b w:val="1"/>
                <w:bCs w:val="1"/>
                <w:color w:val="auto"/>
              </w:rPr>
              <w:t>Nordstrom Full-Line Stores - U.S.</w:t>
            </w:r>
          </w:p>
        </w:tc>
        <w:tc>
          <w:tcPr>
            <w:tcW w:w="11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43"/>
        </w:trPr>
        <w:tc>
          <w:tcPr>
            <w:tcW w:w="32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Retail stores by channel</w:t>
            </w:r>
          </w:p>
        </w:tc>
        <w:tc>
          <w:tcPr>
            <w:tcW w:w="140" w:type="dxa"/>
            <w:vAlign w:val="bottom"/>
          </w:tcPr>
          <w:p>
            <w:pPr>
              <w:spacing w:after="0"/>
              <w:rPr>
                <w:sz w:val="21"/>
                <w:szCs w:val="21"/>
                <w:color w:val="auto"/>
              </w:rPr>
            </w:pPr>
          </w:p>
        </w:tc>
        <w:tc>
          <w:tcPr>
            <w:tcW w:w="2640" w:type="dxa"/>
            <w:vAlign w:val="bottom"/>
            <w:tcBorders>
              <w:bottom w:val="single" w:sz="8" w:color="auto"/>
            </w:tcBorders>
            <w:gridSpan w:val="2"/>
          </w:tcPr>
          <w:p>
            <w:pPr>
              <w:jc w:val="right"/>
              <w:ind w:right="819"/>
              <w:spacing w:after="0"/>
              <w:rPr>
                <w:sz w:val="20"/>
                <w:szCs w:val="20"/>
                <w:color w:val="auto"/>
              </w:rPr>
            </w:pPr>
            <w:r>
              <w:rPr>
                <w:rFonts w:ascii="Arial" w:cs="Arial" w:eastAsia="Arial" w:hAnsi="Arial"/>
                <w:sz w:val="16"/>
                <w:szCs w:val="16"/>
                <w:b w:val="1"/>
                <w:bCs w:val="1"/>
                <w:color w:val="auto"/>
              </w:rPr>
              <w:t>and Canada</w:t>
            </w:r>
          </w:p>
        </w:tc>
        <w:tc>
          <w:tcPr>
            <w:tcW w:w="120" w:type="dxa"/>
            <w:vAlign w:val="bottom"/>
          </w:tcPr>
          <w:p>
            <w:pPr>
              <w:spacing w:after="0"/>
              <w:rPr>
                <w:sz w:val="21"/>
                <w:szCs w:val="21"/>
                <w:color w:val="auto"/>
              </w:rPr>
            </w:pPr>
          </w:p>
        </w:tc>
        <w:tc>
          <w:tcPr>
            <w:tcW w:w="2620" w:type="dxa"/>
            <w:vAlign w:val="bottom"/>
            <w:tcBorders>
              <w:bottom w:val="single" w:sz="8" w:color="auto"/>
            </w:tcBorders>
            <w:gridSpan w:val="2"/>
          </w:tcPr>
          <w:p>
            <w:pPr>
              <w:jc w:val="right"/>
              <w:ind w:right="239"/>
              <w:spacing w:after="0"/>
              <w:rPr>
                <w:sz w:val="20"/>
                <w:szCs w:val="20"/>
                <w:color w:val="auto"/>
              </w:rPr>
            </w:pPr>
            <w:r>
              <w:rPr>
                <w:rFonts w:ascii="Arial" w:cs="Arial" w:eastAsia="Arial" w:hAnsi="Arial"/>
                <w:sz w:val="16"/>
                <w:szCs w:val="16"/>
                <w:b w:val="1"/>
                <w:bCs w:val="1"/>
                <w:color w:val="auto"/>
              </w:rPr>
              <w:t>Nordstrom Rack and Other</w:t>
            </w:r>
            <w:r>
              <w:rPr>
                <w:rFonts w:ascii="Arial" w:cs="Arial" w:eastAsia="Arial" w:hAnsi="Arial"/>
                <w:sz w:val="21"/>
                <w:szCs w:val="21"/>
                <w:color w:val="auto"/>
                <w:vertAlign w:val="superscript"/>
              </w:rPr>
              <w:t>1</w:t>
            </w:r>
          </w:p>
        </w:tc>
        <w:tc>
          <w:tcPr>
            <w:tcW w:w="100" w:type="dxa"/>
            <w:vAlign w:val="bottom"/>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ind w:right="1019"/>
              <w:spacing w:after="0"/>
              <w:rPr>
                <w:sz w:val="20"/>
                <w:szCs w:val="20"/>
                <w:color w:val="auto"/>
              </w:rPr>
            </w:pPr>
            <w:r>
              <w:rPr>
                <w:rFonts w:ascii="Arial" w:cs="Arial" w:eastAsia="Arial" w:hAnsi="Arial"/>
                <w:sz w:val="16"/>
                <w:szCs w:val="16"/>
                <w:b w:val="1"/>
                <w:bCs w:val="1"/>
                <w:color w:val="auto"/>
              </w:rPr>
              <w:t>Total</w:t>
            </w:r>
          </w:p>
        </w:tc>
      </w:tr>
      <w:tr>
        <w:trPr>
          <w:trHeight w:val="209"/>
        </w:trPr>
        <w:tc>
          <w:tcPr>
            <w:tcW w:w="3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580" w:type="dxa"/>
            <w:vAlign w:val="bottom"/>
            <w:gridSpan w:val="2"/>
          </w:tcPr>
          <w:p>
            <w:pPr>
              <w:ind w:left="260"/>
              <w:spacing w:after="0"/>
              <w:rPr>
                <w:sz w:val="20"/>
                <w:szCs w:val="20"/>
                <w:color w:val="auto"/>
              </w:rPr>
            </w:pPr>
            <w:r>
              <w:rPr>
                <w:rFonts w:ascii="Arial" w:cs="Arial" w:eastAsia="Arial" w:hAnsi="Arial"/>
                <w:sz w:val="16"/>
                <w:szCs w:val="16"/>
                <w:b w:val="1"/>
                <w:bCs w:val="1"/>
                <w:color w:val="auto"/>
              </w:rPr>
              <w:t>Square Footage</w:t>
            </w:r>
          </w:p>
        </w:tc>
        <w:tc>
          <w:tcPr>
            <w:tcW w:w="1180" w:type="dxa"/>
            <w:vAlign w:val="bottom"/>
          </w:tcPr>
          <w:p>
            <w:pPr>
              <w:spacing w:after="0"/>
              <w:rPr>
                <w:sz w:val="18"/>
                <w:szCs w:val="18"/>
                <w:color w:val="auto"/>
              </w:rPr>
            </w:pPr>
          </w:p>
        </w:tc>
        <w:tc>
          <w:tcPr>
            <w:tcW w:w="1540" w:type="dxa"/>
            <w:vAlign w:val="bottom"/>
            <w:gridSpan w:val="2"/>
          </w:tcPr>
          <w:p>
            <w:pPr>
              <w:ind w:left="240"/>
              <w:spacing w:after="0"/>
              <w:rPr>
                <w:sz w:val="20"/>
                <w:szCs w:val="20"/>
                <w:color w:val="auto"/>
              </w:rPr>
            </w:pPr>
            <w:r>
              <w:rPr>
                <w:rFonts w:ascii="Arial" w:cs="Arial" w:eastAsia="Arial" w:hAnsi="Arial"/>
                <w:sz w:val="16"/>
                <w:szCs w:val="16"/>
                <w:b w:val="1"/>
                <w:bCs w:val="1"/>
                <w:color w:val="auto"/>
              </w:rPr>
              <w:t>Square Footage</w:t>
            </w:r>
          </w:p>
        </w:tc>
        <w:tc>
          <w:tcPr>
            <w:tcW w:w="1020" w:type="dxa"/>
            <w:vAlign w:val="bottom"/>
          </w:tcPr>
          <w:p>
            <w:pPr>
              <w:spacing w:after="0"/>
              <w:rPr>
                <w:sz w:val="18"/>
                <w:szCs w:val="18"/>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b w:val="1"/>
                <w:bCs w:val="1"/>
                <w:color w:val="auto"/>
              </w:rPr>
              <w:t>Square Footage</w:t>
            </w:r>
          </w:p>
        </w:tc>
      </w:tr>
      <w:tr>
        <w:trPr>
          <w:trHeight w:val="210"/>
        </w:trPr>
        <w:tc>
          <w:tcPr>
            <w:tcW w:w="3340" w:type="dxa"/>
            <w:vAlign w:val="bottom"/>
            <w:gridSpan w:val="2"/>
          </w:tcPr>
          <w:p>
            <w:pPr>
              <w:ind w:left="40"/>
              <w:spacing w:after="0"/>
              <w:rPr>
                <w:sz w:val="20"/>
                <w:szCs w:val="20"/>
                <w:color w:val="auto"/>
              </w:rPr>
            </w:pPr>
            <w:r>
              <w:rPr>
                <w:rFonts w:ascii="Arial" w:cs="Arial" w:eastAsia="Arial" w:hAnsi="Arial"/>
                <w:sz w:val="16"/>
                <w:szCs w:val="16"/>
                <w:b w:val="1"/>
                <w:bCs w:val="1"/>
                <w:color w:val="auto"/>
              </w:rPr>
              <w:t>State/Province</w:t>
            </w:r>
          </w:p>
        </w:tc>
        <w:tc>
          <w:tcPr>
            <w:tcW w:w="1180" w:type="dxa"/>
            <w:vAlign w:val="bottom"/>
          </w:tcPr>
          <w:p>
            <w:pPr>
              <w:jc w:val="right"/>
              <w:ind w:right="199"/>
              <w:spacing w:after="0"/>
              <w:rPr>
                <w:sz w:val="20"/>
                <w:szCs w:val="20"/>
                <w:color w:val="auto"/>
              </w:rPr>
            </w:pPr>
            <w:r>
              <w:rPr>
                <w:rFonts w:ascii="Arial" w:cs="Arial" w:eastAsia="Arial" w:hAnsi="Arial"/>
                <w:sz w:val="16"/>
                <w:szCs w:val="16"/>
                <w:b w:val="1"/>
                <w:bCs w:val="1"/>
                <w:color w:val="auto"/>
              </w:rPr>
              <w:t>Count</w:t>
            </w:r>
          </w:p>
        </w:tc>
        <w:tc>
          <w:tcPr>
            <w:tcW w:w="158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(000’s)</w:t>
            </w:r>
          </w:p>
        </w:tc>
        <w:tc>
          <w:tcPr>
            <w:tcW w:w="1180" w:type="dxa"/>
            <w:vAlign w:val="bottom"/>
          </w:tcPr>
          <w:p>
            <w:pPr>
              <w:jc w:val="right"/>
              <w:ind w:right="179"/>
              <w:spacing w:after="0"/>
              <w:rPr>
                <w:sz w:val="20"/>
                <w:szCs w:val="20"/>
                <w:color w:val="auto"/>
              </w:rPr>
            </w:pPr>
            <w:r>
              <w:rPr>
                <w:rFonts w:ascii="Arial" w:cs="Arial" w:eastAsia="Arial" w:hAnsi="Arial"/>
                <w:sz w:val="16"/>
                <w:szCs w:val="16"/>
                <w:b w:val="1"/>
                <w:bCs w:val="1"/>
                <w:color w:val="auto"/>
              </w:rPr>
              <w:t>Count</w:t>
            </w:r>
          </w:p>
        </w:tc>
        <w:tc>
          <w:tcPr>
            <w:tcW w:w="154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(000’s)</w:t>
            </w:r>
          </w:p>
        </w:tc>
        <w:tc>
          <w:tcPr>
            <w:tcW w:w="1020" w:type="dxa"/>
            <w:vAlign w:val="bottom"/>
          </w:tcPr>
          <w:p>
            <w:pPr>
              <w:jc w:val="right"/>
              <w:ind w:right="19"/>
              <w:spacing w:after="0"/>
              <w:rPr>
                <w:sz w:val="20"/>
                <w:szCs w:val="20"/>
                <w:color w:val="auto"/>
              </w:rPr>
            </w:pPr>
            <w:r>
              <w:rPr>
                <w:rFonts w:ascii="Arial" w:cs="Arial" w:eastAsia="Arial" w:hAnsi="Arial"/>
                <w:sz w:val="16"/>
                <w:szCs w:val="16"/>
                <w:b w:val="1"/>
                <w:bCs w:val="1"/>
                <w:color w:val="auto"/>
              </w:rPr>
              <w:t>Count</w:t>
            </w:r>
          </w:p>
        </w:tc>
        <w:tc>
          <w:tcPr>
            <w:tcW w:w="1580" w:type="dxa"/>
            <w:vAlign w:val="bottom"/>
          </w:tcPr>
          <w:p>
            <w:pPr>
              <w:jc w:val="right"/>
              <w:ind w:right="19"/>
              <w:spacing w:after="0"/>
              <w:rPr>
                <w:sz w:val="20"/>
                <w:szCs w:val="20"/>
                <w:color w:val="auto"/>
              </w:rPr>
            </w:pPr>
            <w:r>
              <w:rPr>
                <w:rFonts w:ascii="Arial" w:cs="Arial" w:eastAsia="Arial" w:hAnsi="Arial"/>
                <w:sz w:val="16"/>
                <w:szCs w:val="16"/>
                <w:b w:val="1"/>
                <w:bCs w:val="1"/>
                <w:color w:val="auto"/>
              </w:rPr>
              <w:t>(000’s)</w:t>
            </w:r>
          </w:p>
        </w:tc>
      </w:tr>
      <w:tr>
        <w:trPr>
          <w:trHeight w:val="33"/>
        </w:trPr>
        <w:tc>
          <w:tcPr>
            <w:tcW w:w="3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4"/>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U.S.</w:t>
            </w:r>
          </w:p>
        </w:tc>
        <w:tc>
          <w:tcPr>
            <w:tcW w:w="11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r>
      <w:tr>
        <w:trPr>
          <w:trHeight w:val="237"/>
        </w:trPr>
        <w:tc>
          <w:tcPr>
            <w:tcW w:w="3340" w:type="dxa"/>
            <w:vAlign w:val="bottom"/>
            <w:gridSpan w:val="2"/>
          </w:tcPr>
          <w:p>
            <w:pPr>
              <w:ind w:left="280"/>
              <w:spacing w:after="0"/>
              <w:rPr>
                <w:sz w:val="20"/>
                <w:szCs w:val="20"/>
                <w:color w:val="auto"/>
              </w:rPr>
            </w:pPr>
            <w:r>
              <w:rPr>
                <w:rFonts w:ascii="Arial" w:cs="Arial" w:eastAsia="Arial" w:hAnsi="Arial"/>
                <w:sz w:val="16"/>
                <w:szCs w:val="16"/>
                <w:color w:val="auto"/>
              </w:rPr>
              <w:t>Alabama</w:t>
            </w:r>
          </w:p>
        </w:tc>
        <w:tc>
          <w:tcPr>
            <w:tcW w:w="118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5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79"/>
              <w:spacing w:after="0"/>
              <w:rPr>
                <w:sz w:val="20"/>
                <w:szCs w:val="20"/>
                <w:color w:val="auto"/>
              </w:rPr>
            </w:pPr>
            <w:r>
              <w:rPr>
                <w:rFonts w:ascii="Arial" w:cs="Arial" w:eastAsia="Arial" w:hAnsi="Arial"/>
                <w:sz w:val="16"/>
                <w:szCs w:val="16"/>
                <w:color w:val="auto"/>
              </w:rPr>
              <w:t>1</w:t>
            </w: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b w:val="1"/>
                <w:bCs w:val="1"/>
                <w:color w:val="auto"/>
              </w:rPr>
              <w:t>1</w:t>
            </w:r>
          </w:p>
        </w:tc>
        <w:tc>
          <w:tcPr>
            <w:tcW w:w="1580" w:type="dxa"/>
            <w:vAlign w:val="bottom"/>
          </w:tcPr>
          <w:p>
            <w:pPr>
              <w:jc w:val="right"/>
              <w:ind w:right="19"/>
              <w:spacing w:after="0"/>
              <w:rPr>
                <w:sz w:val="20"/>
                <w:szCs w:val="20"/>
                <w:color w:val="auto"/>
              </w:rPr>
            </w:pPr>
            <w:r>
              <w:rPr>
                <w:rFonts w:ascii="Arial" w:cs="Arial" w:eastAsia="Arial" w:hAnsi="Arial"/>
                <w:sz w:val="16"/>
                <w:szCs w:val="16"/>
                <w:b w:val="1"/>
                <w:bCs w:val="1"/>
                <w:color w:val="auto"/>
              </w:rPr>
              <w:t>35</w:t>
            </w:r>
          </w:p>
        </w:tc>
      </w:tr>
      <w:tr>
        <w:trPr>
          <w:trHeight w:val="33"/>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33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Alaska</w:t>
            </w:r>
          </w:p>
        </w:tc>
        <w:tc>
          <w:tcPr>
            <w:tcW w:w="11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1</w:t>
            </w: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97</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1</w:t>
            </w: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w:t>
            </w: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132</w:t>
            </w:r>
          </w:p>
        </w:tc>
      </w:tr>
      <w:tr>
        <w:trPr>
          <w:trHeight w:val="237"/>
        </w:trPr>
        <w:tc>
          <w:tcPr>
            <w:tcW w:w="3340" w:type="dxa"/>
            <w:vAlign w:val="bottom"/>
            <w:gridSpan w:val="2"/>
          </w:tcPr>
          <w:p>
            <w:pPr>
              <w:ind w:left="280"/>
              <w:spacing w:after="0"/>
              <w:rPr>
                <w:sz w:val="20"/>
                <w:szCs w:val="20"/>
                <w:color w:val="auto"/>
              </w:rPr>
            </w:pPr>
            <w:r>
              <w:rPr>
                <w:rFonts w:ascii="Arial" w:cs="Arial" w:eastAsia="Arial" w:hAnsi="Arial"/>
                <w:sz w:val="16"/>
                <w:szCs w:val="16"/>
                <w:color w:val="auto"/>
              </w:rPr>
              <w:t>Arizona</w:t>
            </w:r>
          </w:p>
        </w:tc>
        <w:tc>
          <w:tcPr>
            <w:tcW w:w="1180" w:type="dxa"/>
            <w:vAlign w:val="bottom"/>
          </w:tcPr>
          <w:p>
            <w:pPr>
              <w:jc w:val="right"/>
              <w:ind w:right="199"/>
              <w:spacing w:after="0"/>
              <w:rPr>
                <w:sz w:val="20"/>
                <w:szCs w:val="20"/>
                <w:color w:val="auto"/>
              </w:rPr>
            </w:pPr>
            <w:r>
              <w:rPr>
                <w:rFonts w:ascii="Arial" w:cs="Arial" w:eastAsia="Arial" w:hAnsi="Arial"/>
                <w:sz w:val="16"/>
                <w:szCs w:val="16"/>
                <w:color w:val="auto"/>
              </w:rPr>
              <w:t>2</w:t>
            </w: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384</w:t>
            </w:r>
          </w:p>
        </w:tc>
        <w:tc>
          <w:tcPr>
            <w:tcW w:w="120" w:type="dxa"/>
            <w:vAlign w:val="bottom"/>
          </w:tcPr>
          <w:p>
            <w:pPr>
              <w:spacing w:after="0"/>
              <w:rPr>
                <w:sz w:val="20"/>
                <w:szCs w:val="20"/>
                <w:color w:val="auto"/>
              </w:rPr>
            </w:pPr>
          </w:p>
        </w:tc>
        <w:tc>
          <w:tcPr>
            <w:tcW w:w="1180" w:type="dxa"/>
            <w:vAlign w:val="bottom"/>
          </w:tcPr>
          <w:p>
            <w:pPr>
              <w:jc w:val="right"/>
              <w:ind w:right="179"/>
              <w:spacing w:after="0"/>
              <w:rPr>
                <w:sz w:val="20"/>
                <w:szCs w:val="20"/>
                <w:color w:val="auto"/>
              </w:rPr>
            </w:pPr>
            <w:r>
              <w:rPr>
                <w:rFonts w:ascii="Arial" w:cs="Arial" w:eastAsia="Arial" w:hAnsi="Arial"/>
                <w:sz w:val="16"/>
                <w:szCs w:val="16"/>
                <w:color w:val="auto"/>
              </w:rPr>
              <w:t>8</w:t>
            </w: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287</w:t>
            </w:r>
          </w:p>
        </w:tc>
        <w:tc>
          <w:tcPr>
            <w:tcW w:w="10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b w:val="1"/>
                <w:bCs w:val="1"/>
                <w:color w:val="auto"/>
              </w:rPr>
              <w:t>10</w:t>
            </w:r>
          </w:p>
        </w:tc>
        <w:tc>
          <w:tcPr>
            <w:tcW w:w="1580" w:type="dxa"/>
            <w:vAlign w:val="bottom"/>
          </w:tcPr>
          <w:p>
            <w:pPr>
              <w:jc w:val="right"/>
              <w:ind w:right="19"/>
              <w:spacing w:after="0"/>
              <w:rPr>
                <w:sz w:val="20"/>
                <w:szCs w:val="20"/>
                <w:color w:val="auto"/>
              </w:rPr>
            </w:pPr>
            <w:r>
              <w:rPr>
                <w:rFonts w:ascii="Arial" w:cs="Arial" w:eastAsia="Arial" w:hAnsi="Arial"/>
                <w:sz w:val="16"/>
                <w:szCs w:val="16"/>
                <w:b w:val="1"/>
                <w:bCs w:val="1"/>
                <w:color w:val="auto"/>
              </w:rPr>
              <w:t>671</w:t>
            </w:r>
          </w:p>
        </w:tc>
      </w:tr>
      <w:tr>
        <w:trPr>
          <w:trHeight w:val="33"/>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33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California</w:t>
            </w:r>
            <w:r>
              <w:rPr>
                <w:rFonts w:ascii="Arial" w:cs="Arial" w:eastAsia="Arial" w:hAnsi="Arial"/>
                <w:sz w:val="21"/>
                <w:szCs w:val="21"/>
                <w:color w:val="auto"/>
                <w:vertAlign w:val="superscript"/>
              </w:rPr>
              <w:t>2</w:t>
            </w:r>
          </w:p>
        </w:tc>
        <w:tc>
          <w:tcPr>
            <w:tcW w:w="11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31</w:t>
            </w:r>
          </w:p>
        </w:tc>
        <w:tc>
          <w:tcPr>
            <w:tcW w:w="1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5,328</w:t>
            </w: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50</w:t>
            </w:r>
          </w:p>
        </w:tc>
        <w:tc>
          <w:tcPr>
            <w:tcW w:w="14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1,865</w:t>
            </w: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81</w:t>
            </w:r>
          </w:p>
        </w:tc>
        <w:tc>
          <w:tcPr>
            <w:tcW w:w="158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7,193</w:t>
            </w:r>
          </w:p>
        </w:tc>
      </w:tr>
      <w:tr>
        <w:trPr>
          <w:trHeight w:val="237"/>
        </w:trPr>
        <w:tc>
          <w:tcPr>
            <w:tcW w:w="3340" w:type="dxa"/>
            <w:vAlign w:val="bottom"/>
            <w:gridSpan w:val="2"/>
          </w:tcPr>
          <w:p>
            <w:pPr>
              <w:ind w:left="280"/>
              <w:spacing w:after="0"/>
              <w:rPr>
                <w:sz w:val="20"/>
                <w:szCs w:val="20"/>
                <w:color w:val="auto"/>
              </w:rPr>
            </w:pPr>
            <w:r>
              <w:rPr>
                <w:rFonts w:ascii="Arial" w:cs="Arial" w:eastAsia="Arial" w:hAnsi="Arial"/>
                <w:sz w:val="16"/>
                <w:szCs w:val="16"/>
                <w:color w:val="auto"/>
              </w:rPr>
              <w:t>Colorado</w:t>
            </w:r>
          </w:p>
        </w:tc>
        <w:tc>
          <w:tcPr>
            <w:tcW w:w="1180" w:type="dxa"/>
            <w:vAlign w:val="bottom"/>
          </w:tcPr>
          <w:p>
            <w:pPr>
              <w:jc w:val="right"/>
              <w:ind w:right="199"/>
              <w:spacing w:after="0"/>
              <w:rPr>
                <w:sz w:val="20"/>
                <w:szCs w:val="20"/>
                <w:color w:val="auto"/>
              </w:rPr>
            </w:pPr>
            <w:r>
              <w:rPr>
                <w:rFonts w:ascii="Arial" w:cs="Arial" w:eastAsia="Arial" w:hAnsi="Arial"/>
                <w:sz w:val="16"/>
                <w:szCs w:val="16"/>
                <w:color w:val="auto"/>
              </w:rPr>
              <w:t>3</w:t>
            </w: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559</w:t>
            </w:r>
          </w:p>
        </w:tc>
        <w:tc>
          <w:tcPr>
            <w:tcW w:w="120" w:type="dxa"/>
            <w:vAlign w:val="bottom"/>
          </w:tcPr>
          <w:p>
            <w:pPr>
              <w:spacing w:after="0"/>
              <w:rPr>
                <w:sz w:val="20"/>
                <w:szCs w:val="20"/>
                <w:color w:val="auto"/>
              </w:rPr>
            </w:pPr>
          </w:p>
        </w:tc>
        <w:tc>
          <w:tcPr>
            <w:tcW w:w="1180" w:type="dxa"/>
            <w:vAlign w:val="bottom"/>
          </w:tcPr>
          <w:p>
            <w:pPr>
              <w:jc w:val="right"/>
              <w:ind w:right="179"/>
              <w:spacing w:after="0"/>
              <w:rPr>
                <w:sz w:val="20"/>
                <w:szCs w:val="20"/>
                <w:color w:val="auto"/>
              </w:rPr>
            </w:pPr>
            <w:r>
              <w:rPr>
                <w:rFonts w:ascii="Arial" w:cs="Arial" w:eastAsia="Arial" w:hAnsi="Arial"/>
                <w:sz w:val="16"/>
                <w:szCs w:val="16"/>
                <w:color w:val="auto"/>
              </w:rPr>
              <w:t>6</w:t>
            </w: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213</w:t>
            </w:r>
          </w:p>
        </w:tc>
        <w:tc>
          <w:tcPr>
            <w:tcW w:w="10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b w:val="1"/>
                <w:bCs w:val="1"/>
                <w:color w:val="auto"/>
              </w:rPr>
              <w:t>9</w:t>
            </w:r>
          </w:p>
        </w:tc>
        <w:tc>
          <w:tcPr>
            <w:tcW w:w="1580" w:type="dxa"/>
            <w:vAlign w:val="bottom"/>
          </w:tcPr>
          <w:p>
            <w:pPr>
              <w:jc w:val="right"/>
              <w:ind w:right="19"/>
              <w:spacing w:after="0"/>
              <w:rPr>
                <w:sz w:val="20"/>
                <w:szCs w:val="20"/>
                <w:color w:val="auto"/>
              </w:rPr>
            </w:pPr>
            <w:r>
              <w:rPr>
                <w:rFonts w:ascii="Arial" w:cs="Arial" w:eastAsia="Arial" w:hAnsi="Arial"/>
                <w:sz w:val="16"/>
                <w:szCs w:val="16"/>
                <w:b w:val="1"/>
                <w:bCs w:val="1"/>
                <w:color w:val="auto"/>
              </w:rPr>
              <w:t>772</w:t>
            </w:r>
          </w:p>
        </w:tc>
      </w:tr>
      <w:tr>
        <w:trPr>
          <w:trHeight w:val="33"/>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33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Connecticut</w:t>
            </w:r>
          </w:p>
        </w:tc>
        <w:tc>
          <w:tcPr>
            <w:tcW w:w="11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1</w:t>
            </w: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189</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1</w:t>
            </w: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w:t>
            </w: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225</w:t>
            </w:r>
          </w:p>
        </w:tc>
      </w:tr>
      <w:tr>
        <w:trPr>
          <w:trHeight w:val="237"/>
        </w:trPr>
        <w:tc>
          <w:tcPr>
            <w:tcW w:w="3340" w:type="dxa"/>
            <w:vAlign w:val="bottom"/>
            <w:gridSpan w:val="2"/>
          </w:tcPr>
          <w:p>
            <w:pPr>
              <w:ind w:left="280"/>
              <w:spacing w:after="0"/>
              <w:rPr>
                <w:sz w:val="20"/>
                <w:szCs w:val="20"/>
                <w:color w:val="auto"/>
              </w:rPr>
            </w:pPr>
            <w:r>
              <w:rPr>
                <w:rFonts w:ascii="Arial" w:cs="Arial" w:eastAsia="Arial" w:hAnsi="Arial"/>
                <w:sz w:val="16"/>
                <w:szCs w:val="16"/>
                <w:color w:val="auto"/>
              </w:rPr>
              <w:t>Delaware</w:t>
            </w:r>
          </w:p>
        </w:tc>
        <w:tc>
          <w:tcPr>
            <w:tcW w:w="1180" w:type="dxa"/>
            <w:vAlign w:val="bottom"/>
          </w:tcPr>
          <w:p>
            <w:pPr>
              <w:jc w:val="right"/>
              <w:ind w:right="199"/>
              <w:spacing w:after="0"/>
              <w:rPr>
                <w:sz w:val="20"/>
                <w:szCs w:val="20"/>
                <w:color w:val="auto"/>
              </w:rPr>
            </w:pPr>
            <w:r>
              <w:rPr>
                <w:rFonts w:ascii="Arial" w:cs="Arial" w:eastAsia="Arial" w:hAnsi="Arial"/>
                <w:sz w:val="16"/>
                <w:szCs w:val="16"/>
                <w:color w:val="auto"/>
              </w:rPr>
              <w:t>1</w:t>
            </w: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127</w:t>
            </w:r>
          </w:p>
        </w:tc>
        <w:tc>
          <w:tcPr>
            <w:tcW w:w="120" w:type="dxa"/>
            <w:vAlign w:val="bottom"/>
          </w:tcPr>
          <w:p>
            <w:pPr>
              <w:spacing w:after="0"/>
              <w:rPr>
                <w:sz w:val="20"/>
                <w:szCs w:val="20"/>
                <w:color w:val="auto"/>
              </w:rPr>
            </w:pPr>
          </w:p>
        </w:tc>
        <w:tc>
          <w:tcPr>
            <w:tcW w:w="1180" w:type="dxa"/>
            <w:vAlign w:val="bottom"/>
          </w:tcPr>
          <w:p>
            <w:pPr>
              <w:jc w:val="right"/>
              <w:ind w:right="179"/>
              <w:spacing w:after="0"/>
              <w:rPr>
                <w:sz w:val="20"/>
                <w:szCs w:val="20"/>
                <w:color w:val="auto"/>
              </w:rPr>
            </w:pPr>
            <w:r>
              <w:rPr>
                <w:rFonts w:ascii="Arial" w:cs="Arial" w:eastAsia="Arial" w:hAnsi="Arial"/>
                <w:sz w:val="16"/>
                <w:szCs w:val="16"/>
                <w:color w:val="auto"/>
              </w:rPr>
              <w:t>1</w:t>
            </w: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b w:val="1"/>
                <w:bCs w:val="1"/>
                <w:color w:val="auto"/>
              </w:rPr>
              <w:t>2</w:t>
            </w:r>
          </w:p>
        </w:tc>
        <w:tc>
          <w:tcPr>
            <w:tcW w:w="1580" w:type="dxa"/>
            <w:vAlign w:val="bottom"/>
          </w:tcPr>
          <w:p>
            <w:pPr>
              <w:jc w:val="right"/>
              <w:ind w:right="19"/>
              <w:spacing w:after="0"/>
              <w:rPr>
                <w:sz w:val="20"/>
                <w:szCs w:val="20"/>
                <w:color w:val="auto"/>
              </w:rPr>
            </w:pPr>
            <w:r>
              <w:rPr>
                <w:rFonts w:ascii="Arial" w:cs="Arial" w:eastAsia="Arial" w:hAnsi="Arial"/>
                <w:sz w:val="16"/>
                <w:szCs w:val="16"/>
                <w:b w:val="1"/>
                <w:bCs w:val="1"/>
                <w:color w:val="auto"/>
              </w:rPr>
              <w:t>159</w:t>
            </w:r>
          </w:p>
        </w:tc>
      </w:tr>
      <w:tr>
        <w:trPr>
          <w:trHeight w:val="33"/>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33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Florida</w:t>
            </w:r>
            <w:r>
              <w:rPr>
                <w:rFonts w:ascii="Arial" w:cs="Arial" w:eastAsia="Arial" w:hAnsi="Arial"/>
                <w:sz w:val="21"/>
                <w:szCs w:val="21"/>
                <w:color w:val="auto"/>
                <w:vertAlign w:val="superscript"/>
              </w:rPr>
              <w:t>2</w:t>
            </w:r>
          </w:p>
        </w:tc>
        <w:tc>
          <w:tcPr>
            <w:tcW w:w="11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9</w:t>
            </w:r>
          </w:p>
        </w:tc>
        <w:tc>
          <w:tcPr>
            <w:tcW w:w="1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1,389</w:t>
            </w: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15</w:t>
            </w:r>
          </w:p>
        </w:tc>
        <w:tc>
          <w:tcPr>
            <w:tcW w:w="14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519</w:t>
            </w: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24</w:t>
            </w:r>
          </w:p>
        </w:tc>
        <w:tc>
          <w:tcPr>
            <w:tcW w:w="158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1,908</w:t>
            </w:r>
          </w:p>
        </w:tc>
      </w:tr>
      <w:tr>
        <w:trPr>
          <w:trHeight w:val="237"/>
        </w:trPr>
        <w:tc>
          <w:tcPr>
            <w:tcW w:w="3340" w:type="dxa"/>
            <w:vAlign w:val="bottom"/>
            <w:gridSpan w:val="2"/>
          </w:tcPr>
          <w:p>
            <w:pPr>
              <w:ind w:left="280"/>
              <w:spacing w:after="0"/>
              <w:rPr>
                <w:sz w:val="20"/>
                <w:szCs w:val="20"/>
                <w:color w:val="auto"/>
              </w:rPr>
            </w:pPr>
            <w:r>
              <w:rPr>
                <w:rFonts w:ascii="Arial" w:cs="Arial" w:eastAsia="Arial" w:hAnsi="Arial"/>
                <w:sz w:val="16"/>
                <w:szCs w:val="16"/>
                <w:color w:val="auto"/>
              </w:rPr>
              <w:t>Georgia</w:t>
            </w:r>
          </w:p>
        </w:tc>
        <w:tc>
          <w:tcPr>
            <w:tcW w:w="1180" w:type="dxa"/>
            <w:vAlign w:val="bottom"/>
          </w:tcPr>
          <w:p>
            <w:pPr>
              <w:jc w:val="right"/>
              <w:ind w:right="199"/>
              <w:spacing w:after="0"/>
              <w:rPr>
                <w:sz w:val="20"/>
                <w:szCs w:val="20"/>
                <w:color w:val="auto"/>
              </w:rPr>
            </w:pPr>
            <w:r>
              <w:rPr>
                <w:rFonts w:ascii="Arial" w:cs="Arial" w:eastAsia="Arial" w:hAnsi="Arial"/>
                <w:sz w:val="16"/>
                <w:szCs w:val="16"/>
                <w:color w:val="auto"/>
              </w:rPr>
              <w:t>2</w:t>
            </w: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383</w:t>
            </w:r>
          </w:p>
        </w:tc>
        <w:tc>
          <w:tcPr>
            <w:tcW w:w="120" w:type="dxa"/>
            <w:vAlign w:val="bottom"/>
          </w:tcPr>
          <w:p>
            <w:pPr>
              <w:spacing w:after="0"/>
              <w:rPr>
                <w:sz w:val="20"/>
                <w:szCs w:val="20"/>
                <w:color w:val="auto"/>
              </w:rPr>
            </w:pPr>
          </w:p>
        </w:tc>
        <w:tc>
          <w:tcPr>
            <w:tcW w:w="1180" w:type="dxa"/>
            <w:vAlign w:val="bottom"/>
          </w:tcPr>
          <w:p>
            <w:pPr>
              <w:jc w:val="right"/>
              <w:ind w:right="179"/>
              <w:spacing w:after="0"/>
              <w:rPr>
                <w:sz w:val="20"/>
                <w:szCs w:val="20"/>
                <w:color w:val="auto"/>
              </w:rPr>
            </w:pPr>
            <w:r>
              <w:rPr>
                <w:rFonts w:ascii="Arial" w:cs="Arial" w:eastAsia="Arial" w:hAnsi="Arial"/>
                <w:sz w:val="16"/>
                <w:szCs w:val="16"/>
                <w:color w:val="auto"/>
              </w:rPr>
              <w:t>5</w:t>
            </w: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165</w:t>
            </w:r>
          </w:p>
        </w:tc>
        <w:tc>
          <w:tcPr>
            <w:tcW w:w="10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b w:val="1"/>
                <w:bCs w:val="1"/>
                <w:color w:val="auto"/>
              </w:rPr>
              <w:t>7</w:t>
            </w:r>
          </w:p>
        </w:tc>
        <w:tc>
          <w:tcPr>
            <w:tcW w:w="1580" w:type="dxa"/>
            <w:vAlign w:val="bottom"/>
          </w:tcPr>
          <w:p>
            <w:pPr>
              <w:jc w:val="right"/>
              <w:ind w:right="19"/>
              <w:spacing w:after="0"/>
              <w:rPr>
                <w:sz w:val="20"/>
                <w:szCs w:val="20"/>
                <w:color w:val="auto"/>
              </w:rPr>
            </w:pPr>
            <w:r>
              <w:rPr>
                <w:rFonts w:ascii="Arial" w:cs="Arial" w:eastAsia="Arial" w:hAnsi="Arial"/>
                <w:sz w:val="16"/>
                <w:szCs w:val="16"/>
                <w:b w:val="1"/>
                <w:bCs w:val="1"/>
                <w:color w:val="auto"/>
              </w:rPr>
              <w:t>548</w:t>
            </w:r>
          </w:p>
        </w:tc>
      </w:tr>
      <w:tr>
        <w:trPr>
          <w:trHeight w:val="33"/>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33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Hawaii</w:t>
            </w:r>
          </w:p>
        </w:tc>
        <w:tc>
          <w:tcPr>
            <w:tcW w:w="11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1</w:t>
            </w: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195</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2</w:t>
            </w: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3</w:t>
            </w: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273</w:t>
            </w:r>
          </w:p>
        </w:tc>
      </w:tr>
      <w:tr>
        <w:trPr>
          <w:trHeight w:val="237"/>
        </w:trPr>
        <w:tc>
          <w:tcPr>
            <w:tcW w:w="3340" w:type="dxa"/>
            <w:vAlign w:val="bottom"/>
            <w:gridSpan w:val="2"/>
          </w:tcPr>
          <w:p>
            <w:pPr>
              <w:ind w:left="280"/>
              <w:spacing w:after="0"/>
              <w:rPr>
                <w:sz w:val="20"/>
                <w:szCs w:val="20"/>
                <w:color w:val="auto"/>
              </w:rPr>
            </w:pPr>
            <w:r>
              <w:rPr>
                <w:rFonts w:ascii="Arial" w:cs="Arial" w:eastAsia="Arial" w:hAnsi="Arial"/>
                <w:sz w:val="16"/>
                <w:szCs w:val="16"/>
                <w:color w:val="auto"/>
              </w:rPr>
              <w:t>Idaho</w:t>
            </w:r>
          </w:p>
        </w:tc>
        <w:tc>
          <w:tcPr>
            <w:tcW w:w="118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5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79"/>
              <w:spacing w:after="0"/>
              <w:rPr>
                <w:sz w:val="20"/>
                <w:szCs w:val="20"/>
                <w:color w:val="auto"/>
              </w:rPr>
            </w:pPr>
            <w:r>
              <w:rPr>
                <w:rFonts w:ascii="Arial" w:cs="Arial" w:eastAsia="Arial" w:hAnsi="Arial"/>
                <w:sz w:val="16"/>
                <w:szCs w:val="16"/>
                <w:color w:val="auto"/>
              </w:rPr>
              <w:t>1</w:t>
            </w: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b w:val="1"/>
                <w:bCs w:val="1"/>
                <w:color w:val="auto"/>
              </w:rPr>
              <w:t>1</w:t>
            </w:r>
          </w:p>
        </w:tc>
        <w:tc>
          <w:tcPr>
            <w:tcW w:w="1580" w:type="dxa"/>
            <w:vAlign w:val="bottom"/>
          </w:tcPr>
          <w:p>
            <w:pPr>
              <w:jc w:val="right"/>
              <w:ind w:right="19"/>
              <w:spacing w:after="0"/>
              <w:rPr>
                <w:sz w:val="20"/>
                <w:szCs w:val="20"/>
                <w:color w:val="auto"/>
              </w:rPr>
            </w:pPr>
            <w:r>
              <w:rPr>
                <w:rFonts w:ascii="Arial" w:cs="Arial" w:eastAsia="Arial" w:hAnsi="Arial"/>
                <w:sz w:val="16"/>
                <w:szCs w:val="16"/>
                <w:b w:val="1"/>
                <w:bCs w:val="1"/>
                <w:color w:val="auto"/>
              </w:rPr>
              <w:t>37</w:t>
            </w:r>
          </w:p>
        </w:tc>
      </w:tr>
      <w:tr>
        <w:trPr>
          <w:trHeight w:val="33"/>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33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Illinois</w:t>
            </w:r>
          </w:p>
        </w:tc>
        <w:tc>
          <w:tcPr>
            <w:tcW w:w="11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4</w:t>
            </w: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947</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14</w:t>
            </w: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524</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18</w:t>
            </w: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1,471</w:t>
            </w:r>
          </w:p>
        </w:tc>
      </w:tr>
      <w:tr>
        <w:trPr>
          <w:trHeight w:val="237"/>
        </w:trPr>
        <w:tc>
          <w:tcPr>
            <w:tcW w:w="3340" w:type="dxa"/>
            <w:vAlign w:val="bottom"/>
            <w:gridSpan w:val="2"/>
          </w:tcPr>
          <w:p>
            <w:pPr>
              <w:ind w:left="280"/>
              <w:spacing w:after="0"/>
              <w:rPr>
                <w:sz w:val="20"/>
                <w:szCs w:val="20"/>
                <w:color w:val="auto"/>
              </w:rPr>
            </w:pPr>
            <w:r>
              <w:rPr>
                <w:rFonts w:ascii="Arial" w:cs="Arial" w:eastAsia="Arial" w:hAnsi="Arial"/>
                <w:sz w:val="16"/>
                <w:szCs w:val="16"/>
                <w:color w:val="auto"/>
              </w:rPr>
              <w:t>Indiana</w:t>
            </w:r>
          </w:p>
        </w:tc>
        <w:tc>
          <w:tcPr>
            <w:tcW w:w="1180" w:type="dxa"/>
            <w:vAlign w:val="bottom"/>
          </w:tcPr>
          <w:p>
            <w:pPr>
              <w:jc w:val="right"/>
              <w:ind w:right="199"/>
              <w:spacing w:after="0"/>
              <w:rPr>
                <w:sz w:val="20"/>
                <w:szCs w:val="20"/>
                <w:color w:val="auto"/>
              </w:rPr>
            </w:pPr>
            <w:r>
              <w:rPr>
                <w:rFonts w:ascii="Arial" w:cs="Arial" w:eastAsia="Arial" w:hAnsi="Arial"/>
                <w:sz w:val="16"/>
                <w:szCs w:val="16"/>
                <w:color w:val="auto"/>
              </w:rPr>
              <w:t>1</w:t>
            </w: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134</w:t>
            </w:r>
          </w:p>
        </w:tc>
        <w:tc>
          <w:tcPr>
            <w:tcW w:w="120" w:type="dxa"/>
            <w:vAlign w:val="bottom"/>
          </w:tcPr>
          <w:p>
            <w:pPr>
              <w:spacing w:after="0"/>
              <w:rPr>
                <w:sz w:val="20"/>
                <w:szCs w:val="20"/>
                <w:color w:val="auto"/>
              </w:rPr>
            </w:pPr>
          </w:p>
        </w:tc>
        <w:tc>
          <w:tcPr>
            <w:tcW w:w="1180" w:type="dxa"/>
            <w:vAlign w:val="bottom"/>
          </w:tcPr>
          <w:p>
            <w:pPr>
              <w:jc w:val="right"/>
              <w:ind w:right="179"/>
              <w:spacing w:after="0"/>
              <w:rPr>
                <w:sz w:val="20"/>
                <w:szCs w:val="20"/>
                <w:color w:val="auto"/>
              </w:rPr>
            </w:pPr>
            <w:r>
              <w:rPr>
                <w:rFonts w:ascii="Arial" w:cs="Arial" w:eastAsia="Arial" w:hAnsi="Arial"/>
                <w:sz w:val="16"/>
                <w:szCs w:val="16"/>
                <w:color w:val="auto"/>
              </w:rPr>
              <w:t>1</w:t>
            </w: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b w:val="1"/>
                <w:bCs w:val="1"/>
                <w:color w:val="auto"/>
              </w:rPr>
              <w:t>2</w:t>
            </w:r>
          </w:p>
        </w:tc>
        <w:tc>
          <w:tcPr>
            <w:tcW w:w="1580" w:type="dxa"/>
            <w:vAlign w:val="bottom"/>
          </w:tcPr>
          <w:p>
            <w:pPr>
              <w:jc w:val="right"/>
              <w:ind w:right="19"/>
              <w:spacing w:after="0"/>
              <w:rPr>
                <w:sz w:val="20"/>
                <w:szCs w:val="20"/>
                <w:color w:val="auto"/>
              </w:rPr>
            </w:pPr>
            <w:r>
              <w:rPr>
                <w:rFonts w:ascii="Arial" w:cs="Arial" w:eastAsia="Arial" w:hAnsi="Arial"/>
                <w:sz w:val="16"/>
                <w:szCs w:val="16"/>
                <w:b w:val="1"/>
                <w:bCs w:val="1"/>
                <w:color w:val="auto"/>
              </w:rPr>
              <w:t>169</w:t>
            </w:r>
          </w:p>
        </w:tc>
      </w:tr>
      <w:tr>
        <w:trPr>
          <w:trHeight w:val="33"/>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33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Iowa</w:t>
            </w:r>
          </w:p>
        </w:tc>
        <w:tc>
          <w:tcPr>
            <w:tcW w:w="11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1</w:t>
            </w: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w:t>
            </w: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35</w:t>
            </w:r>
          </w:p>
        </w:tc>
      </w:tr>
      <w:tr>
        <w:trPr>
          <w:trHeight w:val="237"/>
        </w:trPr>
        <w:tc>
          <w:tcPr>
            <w:tcW w:w="3340" w:type="dxa"/>
            <w:vAlign w:val="bottom"/>
            <w:gridSpan w:val="2"/>
          </w:tcPr>
          <w:p>
            <w:pPr>
              <w:ind w:left="280"/>
              <w:spacing w:after="0"/>
              <w:rPr>
                <w:sz w:val="20"/>
                <w:szCs w:val="20"/>
                <w:color w:val="auto"/>
              </w:rPr>
            </w:pPr>
            <w:r>
              <w:rPr>
                <w:rFonts w:ascii="Arial" w:cs="Arial" w:eastAsia="Arial" w:hAnsi="Arial"/>
                <w:sz w:val="16"/>
                <w:szCs w:val="16"/>
                <w:color w:val="auto"/>
              </w:rPr>
              <w:t>Kansas</w:t>
            </w:r>
          </w:p>
        </w:tc>
        <w:tc>
          <w:tcPr>
            <w:tcW w:w="1180" w:type="dxa"/>
            <w:vAlign w:val="bottom"/>
          </w:tcPr>
          <w:p>
            <w:pPr>
              <w:jc w:val="right"/>
              <w:ind w:right="199"/>
              <w:spacing w:after="0"/>
              <w:rPr>
                <w:sz w:val="20"/>
                <w:szCs w:val="20"/>
                <w:color w:val="auto"/>
              </w:rPr>
            </w:pPr>
            <w:r>
              <w:rPr>
                <w:rFonts w:ascii="Arial" w:cs="Arial" w:eastAsia="Arial" w:hAnsi="Arial"/>
                <w:sz w:val="16"/>
                <w:szCs w:val="16"/>
                <w:color w:val="auto"/>
              </w:rPr>
              <w:t>1</w:t>
            </w: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219</w:t>
            </w:r>
          </w:p>
        </w:tc>
        <w:tc>
          <w:tcPr>
            <w:tcW w:w="120" w:type="dxa"/>
            <w:vAlign w:val="bottom"/>
          </w:tcPr>
          <w:p>
            <w:pPr>
              <w:spacing w:after="0"/>
              <w:rPr>
                <w:sz w:val="20"/>
                <w:szCs w:val="20"/>
                <w:color w:val="auto"/>
              </w:rPr>
            </w:pPr>
          </w:p>
        </w:tc>
        <w:tc>
          <w:tcPr>
            <w:tcW w:w="1180" w:type="dxa"/>
            <w:vAlign w:val="bottom"/>
          </w:tcPr>
          <w:p>
            <w:pPr>
              <w:jc w:val="right"/>
              <w:ind w:right="179"/>
              <w:spacing w:after="0"/>
              <w:rPr>
                <w:sz w:val="20"/>
                <w:szCs w:val="20"/>
                <w:color w:val="auto"/>
              </w:rPr>
            </w:pPr>
            <w:r>
              <w:rPr>
                <w:rFonts w:ascii="Arial" w:cs="Arial" w:eastAsia="Arial" w:hAnsi="Arial"/>
                <w:sz w:val="16"/>
                <w:szCs w:val="16"/>
                <w:color w:val="auto"/>
              </w:rPr>
              <w:t>1</w:t>
            </w: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b w:val="1"/>
                <w:bCs w:val="1"/>
                <w:color w:val="auto"/>
              </w:rPr>
              <w:t>2</w:t>
            </w:r>
          </w:p>
        </w:tc>
        <w:tc>
          <w:tcPr>
            <w:tcW w:w="1580" w:type="dxa"/>
            <w:vAlign w:val="bottom"/>
          </w:tcPr>
          <w:p>
            <w:pPr>
              <w:jc w:val="right"/>
              <w:ind w:right="19"/>
              <w:spacing w:after="0"/>
              <w:rPr>
                <w:sz w:val="20"/>
                <w:szCs w:val="20"/>
                <w:color w:val="auto"/>
              </w:rPr>
            </w:pPr>
            <w:r>
              <w:rPr>
                <w:rFonts w:ascii="Arial" w:cs="Arial" w:eastAsia="Arial" w:hAnsi="Arial"/>
                <w:sz w:val="16"/>
                <w:szCs w:val="16"/>
                <w:b w:val="1"/>
                <w:bCs w:val="1"/>
                <w:color w:val="auto"/>
              </w:rPr>
              <w:t>254</w:t>
            </w:r>
          </w:p>
        </w:tc>
      </w:tr>
      <w:tr>
        <w:trPr>
          <w:trHeight w:val="33"/>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33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Kentucky</w:t>
            </w:r>
          </w:p>
        </w:tc>
        <w:tc>
          <w:tcPr>
            <w:tcW w:w="11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1</w:t>
            </w: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w:t>
            </w: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33</w:t>
            </w:r>
          </w:p>
        </w:tc>
      </w:tr>
      <w:tr>
        <w:trPr>
          <w:trHeight w:val="237"/>
        </w:trPr>
        <w:tc>
          <w:tcPr>
            <w:tcW w:w="3340" w:type="dxa"/>
            <w:vAlign w:val="bottom"/>
            <w:gridSpan w:val="2"/>
          </w:tcPr>
          <w:p>
            <w:pPr>
              <w:ind w:left="280"/>
              <w:spacing w:after="0"/>
              <w:rPr>
                <w:sz w:val="20"/>
                <w:szCs w:val="20"/>
                <w:color w:val="auto"/>
              </w:rPr>
            </w:pPr>
            <w:r>
              <w:rPr>
                <w:rFonts w:ascii="Arial" w:cs="Arial" w:eastAsia="Arial" w:hAnsi="Arial"/>
                <w:sz w:val="16"/>
                <w:szCs w:val="16"/>
                <w:color w:val="auto"/>
              </w:rPr>
              <w:t>Louisiana</w:t>
            </w:r>
          </w:p>
        </w:tc>
        <w:tc>
          <w:tcPr>
            <w:tcW w:w="118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5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79"/>
              <w:spacing w:after="0"/>
              <w:rPr>
                <w:sz w:val="20"/>
                <w:szCs w:val="20"/>
                <w:color w:val="auto"/>
              </w:rPr>
            </w:pPr>
            <w:r>
              <w:rPr>
                <w:rFonts w:ascii="Arial" w:cs="Arial" w:eastAsia="Arial" w:hAnsi="Arial"/>
                <w:sz w:val="16"/>
                <w:szCs w:val="16"/>
                <w:color w:val="auto"/>
              </w:rPr>
              <w:t>3</w:t>
            </w: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90</w:t>
            </w:r>
          </w:p>
        </w:tc>
        <w:tc>
          <w:tcPr>
            <w:tcW w:w="10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b w:val="1"/>
                <w:bCs w:val="1"/>
                <w:color w:val="auto"/>
              </w:rPr>
              <w:t>3</w:t>
            </w:r>
          </w:p>
        </w:tc>
        <w:tc>
          <w:tcPr>
            <w:tcW w:w="1580" w:type="dxa"/>
            <w:vAlign w:val="bottom"/>
          </w:tcPr>
          <w:p>
            <w:pPr>
              <w:jc w:val="right"/>
              <w:ind w:right="19"/>
              <w:spacing w:after="0"/>
              <w:rPr>
                <w:sz w:val="20"/>
                <w:szCs w:val="20"/>
                <w:color w:val="auto"/>
              </w:rPr>
            </w:pPr>
            <w:r>
              <w:rPr>
                <w:rFonts w:ascii="Arial" w:cs="Arial" w:eastAsia="Arial" w:hAnsi="Arial"/>
                <w:sz w:val="16"/>
                <w:szCs w:val="16"/>
                <w:b w:val="1"/>
                <w:bCs w:val="1"/>
                <w:color w:val="auto"/>
              </w:rPr>
              <w:t>90</w:t>
            </w:r>
          </w:p>
        </w:tc>
      </w:tr>
      <w:tr>
        <w:trPr>
          <w:trHeight w:val="33"/>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33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Maine</w:t>
            </w:r>
          </w:p>
        </w:tc>
        <w:tc>
          <w:tcPr>
            <w:tcW w:w="11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1</w:t>
            </w: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w:t>
            </w: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30</w:t>
            </w:r>
          </w:p>
        </w:tc>
      </w:tr>
      <w:tr>
        <w:trPr>
          <w:trHeight w:val="237"/>
        </w:trPr>
        <w:tc>
          <w:tcPr>
            <w:tcW w:w="3340" w:type="dxa"/>
            <w:vAlign w:val="bottom"/>
            <w:gridSpan w:val="2"/>
          </w:tcPr>
          <w:p>
            <w:pPr>
              <w:ind w:left="280"/>
              <w:spacing w:after="0"/>
              <w:rPr>
                <w:sz w:val="20"/>
                <w:szCs w:val="20"/>
                <w:color w:val="auto"/>
              </w:rPr>
            </w:pPr>
            <w:r>
              <w:rPr>
                <w:rFonts w:ascii="Arial" w:cs="Arial" w:eastAsia="Arial" w:hAnsi="Arial"/>
                <w:sz w:val="16"/>
                <w:szCs w:val="16"/>
                <w:color w:val="auto"/>
              </w:rPr>
              <w:t>Maryland</w:t>
            </w:r>
          </w:p>
        </w:tc>
        <w:tc>
          <w:tcPr>
            <w:tcW w:w="1180" w:type="dxa"/>
            <w:vAlign w:val="bottom"/>
          </w:tcPr>
          <w:p>
            <w:pPr>
              <w:jc w:val="right"/>
              <w:ind w:right="199"/>
              <w:spacing w:after="0"/>
              <w:rPr>
                <w:sz w:val="20"/>
                <w:szCs w:val="20"/>
                <w:color w:val="auto"/>
              </w:rPr>
            </w:pPr>
            <w:r>
              <w:rPr>
                <w:rFonts w:ascii="Arial" w:cs="Arial" w:eastAsia="Arial" w:hAnsi="Arial"/>
                <w:sz w:val="16"/>
                <w:szCs w:val="16"/>
                <w:color w:val="auto"/>
              </w:rPr>
              <w:t>4</w:t>
            </w: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765</w:t>
            </w:r>
          </w:p>
        </w:tc>
        <w:tc>
          <w:tcPr>
            <w:tcW w:w="120" w:type="dxa"/>
            <w:vAlign w:val="bottom"/>
          </w:tcPr>
          <w:p>
            <w:pPr>
              <w:spacing w:after="0"/>
              <w:rPr>
                <w:sz w:val="20"/>
                <w:szCs w:val="20"/>
                <w:color w:val="auto"/>
              </w:rPr>
            </w:pPr>
          </w:p>
        </w:tc>
        <w:tc>
          <w:tcPr>
            <w:tcW w:w="1180" w:type="dxa"/>
            <w:vAlign w:val="bottom"/>
          </w:tcPr>
          <w:p>
            <w:pPr>
              <w:jc w:val="right"/>
              <w:ind w:right="179"/>
              <w:spacing w:after="0"/>
              <w:rPr>
                <w:sz w:val="20"/>
                <w:szCs w:val="20"/>
                <w:color w:val="auto"/>
              </w:rPr>
            </w:pPr>
            <w:r>
              <w:rPr>
                <w:rFonts w:ascii="Arial" w:cs="Arial" w:eastAsia="Arial" w:hAnsi="Arial"/>
                <w:sz w:val="16"/>
                <w:szCs w:val="16"/>
                <w:color w:val="auto"/>
              </w:rPr>
              <w:t>4</w:t>
            </w: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156</w:t>
            </w:r>
          </w:p>
        </w:tc>
        <w:tc>
          <w:tcPr>
            <w:tcW w:w="10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b w:val="1"/>
                <w:bCs w:val="1"/>
                <w:color w:val="auto"/>
              </w:rPr>
              <w:t>8</w:t>
            </w:r>
          </w:p>
        </w:tc>
        <w:tc>
          <w:tcPr>
            <w:tcW w:w="1580" w:type="dxa"/>
            <w:vAlign w:val="bottom"/>
          </w:tcPr>
          <w:p>
            <w:pPr>
              <w:jc w:val="right"/>
              <w:ind w:right="19"/>
              <w:spacing w:after="0"/>
              <w:rPr>
                <w:sz w:val="20"/>
                <w:szCs w:val="20"/>
                <w:color w:val="auto"/>
              </w:rPr>
            </w:pPr>
            <w:r>
              <w:rPr>
                <w:rFonts w:ascii="Arial" w:cs="Arial" w:eastAsia="Arial" w:hAnsi="Arial"/>
                <w:sz w:val="16"/>
                <w:szCs w:val="16"/>
                <w:b w:val="1"/>
                <w:bCs w:val="1"/>
                <w:color w:val="auto"/>
              </w:rPr>
              <w:t>921</w:t>
            </w:r>
          </w:p>
        </w:tc>
      </w:tr>
      <w:tr>
        <w:trPr>
          <w:trHeight w:val="33"/>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33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Massachusetts</w:t>
            </w:r>
          </w:p>
        </w:tc>
        <w:tc>
          <w:tcPr>
            <w:tcW w:w="11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4</w:t>
            </w: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595</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8</w:t>
            </w: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275</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12</w:t>
            </w: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870</w:t>
            </w:r>
          </w:p>
        </w:tc>
      </w:tr>
      <w:tr>
        <w:trPr>
          <w:trHeight w:val="237"/>
        </w:trPr>
        <w:tc>
          <w:tcPr>
            <w:tcW w:w="3340" w:type="dxa"/>
            <w:vAlign w:val="bottom"/>
            <w:gridSpan w:val="2"/>
          </w:tcPr>
          <w:p>
            <w:pPr>
              <w:ind w:left="280"/>
              <w:spacing w:after="0"/>
              <w:rPr>
                <w:sz w:val="20"/>
                <w:szCs w:val="20"/>
                <w:color w:val="auto"/>
              </w:rPr>
            </w:pPr>
            <w:r>
              <w:rPr>
                <w:rFonts w:ascii="Arial" w:cs="Arial" w:eastAsia="Arial" w:hAnsi="Arial"/>
                <w:sz w:val="16"/>
                <w:szCs w:val="16"/>
                <w:color w:val="auto"/>
              </w:rPr>
              <w:t>Michigan</w:t>
            </w:r>
          </w:p>
        </w:tc>
        <w:tc>
          <w:tcPr>
            <w:tcW w:w="1180" w:type="dxa"/>
            <w:vAlign w:val="bottom"/>
          </w:tcPr>
          <w:p>
            <w:pPr>
              <w:jc w:val="right"/>
              <w:ind w:right="199"/>
              <w:spacing w:after="0"/>
              <w:rPr>
                <w:sz w:val="20"/>
                <w:szCs w:val="20"/>
                <w:color w:val="auto"/>
              </w:rPr>
            </w:pPr>
            <w:r>
              <w:rPr>
                <w:rFonts w:ascii="Arial" w:cs="Arial" w:eastAsia="Arial" w:hAnsi="Arial"/>
                <w:sz w:val="16"/>
                <w:szCs w:val="16"/>
                <w:color w:val="auto"/>
              </w:rPr>
              <w:t>3</w:t>
            </w: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552</w:t>
            </w:r>
          </w:p>
        </w:tc>
        <w:tc>
          <w:tcPr>
            <w:tcW w:w="120" w:type="dxa"/>
            <w:vAlign w:val="bottom"/>
          </w:tcPr>
          <w:p>
            <w:pPr>
              <w:spacing w:after="0"/>
              <w:rPr>
                <w:sz w:val="20"/>
                <w:szCs w:val="20"/>
                <w:color w:val="auto"/>
              </w:rPr>
            </w:pPr>
          </w:p>
        </w:tc>
        <w:tc>
          <w:tcPr>
            <w:tcW w:w="1180" w:type="dxa"/>
            <w:vAlign w:val="bottom"/>
          </w:tcPr>
          <w:p>
            <w:pPr>
              <w:jc w:val="right"/>
              <w:ind w:right="179"/>
              <w:spacing w:after="0"/>
              <w:rPr>
                <w:sz w:val="20"/>
                <w:szCs w:val="20"/>
                <w:color w:val="auto"/>
              </w:rPr>
            </w:pPr>
            <w:r>
              <w:rPr>
                <w:rFonts w:ascii="Arial" w:cs="Arial" w:eastAsia="Arial" w:hAnsi="Arial"/>
                <w:sz w:val="16"/>
                <w:szCs w:val="16"/>
                <w:color w:val="auto"/>
              </w:rPr>
              <w:t>5</w:t>
            </w: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178</w:t>
            </w:r>
          </w:p>
        </w:tc>
        <w:tc>
          <w:tcPr>
            <w:tcW w:w="10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b w:val="1"/>
                <w:bCs w:val="1"/>
                <w:color w:val="auto"/>
              </w:rPr>
              <w:t>8</w:t>
            </w:r>
          </w:p>
        </w:tc>
        <w:tc>
          <w:tcPr>
            <w:tcW w:w="1580" w:type="dxa"/>
            <w:vAlign w:val="bottom"/>
          </w:tcPr>
          <w:p>
            <w:pPr>
              <w:jc w:val="right"/>
              <w:ind w:right="19"/>
              <w:spacing w:after="0"/>
              <w:rPr>
                <w:sz w:val="20"/>
                <w:szCs w:val="20"/>
                <w:color w:val="auto"/>
              </w:rPr>
            </w:pPr>
            <w:r>
              <w:rPr>
                <w:rFonts w:ascii="Arial" w:cs="Arial" w:eastAsia="Arial" w:hAnsi="Arial"/>
                <w:sz w:val="16"/>
                <w:szCs w:val="16"/>
                <w:b w:val="1"/>
                <w:bCs w:val="1"/>
                <w:color w:val="auto"/>
              </w:rPr>
              <w:t>730</w:t>
            </w:r>
          </w:p>
        </w:tc>
      </w:tr>
      <w:tr>
        <w:trPr>
          <w:trHeight w:val="33"/>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33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Minnesota</w:t>
            </w:r>
          </w:p>
        </w:tc>
        <w:tc>
          <w:tcPr>
            <w:tcW w:w="11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2</w:t>
            </w: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380</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3</w:t>
            </w: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108</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5</w:t>
            </w: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488</w:t>
            </w:r>
          </w:p>
        </w:tc>
      </w:tr>
      <w:tr>
        <w:trPr>
          <w:trHeight w:val="237"/>
        </w:trPr>
        <w:tc>
          <w:tcPr>
            <w:tcW w:w="3340" w:type="dxa"/>
            <w:vAlign w:val="bottom"/>
            <w:gridSpan w:val="2"/>
          </w:tcPr>
          <w:p>
            <w:pPr>
              <w:ind w:left="280"/>
              <w:spacing w:after="0"/>
              <w:rPr>
                <w:sz w:val="20"/>
                <w:szCs w:val="20"/>
                <w:color w:val="auto"/>
              </w:rPr>
            </w:pPr>
            <w:r>
              <w:rPr>
                <w:rFonts w:ascii="Arial" w:cs="Arial" w:eastAsia="Arial" w:hAnsi="Arial"/>
                <w:sz w:val="16"/>
                <w:szCs w:val="16"/>
                <w:color w:val="auto"/>
              </w:rPr>
              <w:t>Missouri</w:t>
            </w:r>
          </w:p>
        </w:tc>
        <w:tc>
          <w:tcPr>
            <w:tcW w:w="1180" w:type="dxa"/>
            <w:vAlign w:val="bottom"/>
          </w:tcPr>
          <w:p>
            <w:pPr>
              <w:jc w:val="right"/>
              <w:ind w:right="199"/>
              <w:spacing w:after="0"/>
              <w:rPr>
                <w:sz w:val="20"/>
                <w:szCs w:val="20"/>
                <w:color w:val="auto"/>
              </w:rPr>
            </w:pPr>
            <w:r>
              <w:rPr>
                <w:rFonts w:ascii="Arial" w:cs="Arial" w:eastAsia="Arial" w:hAnsi="Arial"/>
                <w:sz w:val="16"/>
                <w:szCs w:val="16"/>
                <w:color w:val="auto"/>
              </w:rPr>
              <w:t>2</w:t>
            </w: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342</w:t>
            </w:r>
          </w:p>
        </w:tc>
        <w:tc>
          <w:tcPr>
            <w:tcW w:w="120" w:type="dxa"/>
            <w:vAlign w:val="bottom"/>
          </w:tcPr>
          <w:p>
            <w:pPr>
              <w:spacing w:after="0"/>
              <w:rPr>
                <w:sz w:val="20"/>
                <w:szCs w:val="20"/>
                <w:color w:val="auto"/>
              </w:rPr>
            </w:pPr>
          </w:p>
        </w:tc>
        <w:tc>
          <w:tcPr>
            <w:tcW w:w="1180" w:type="dxa"/>
            <w:vAlign w:val="bottom"/>
          </w:tcPr>
          <w:p>
            <w:pPr>
              <w:jc w:val="right"/>
              <w:ind w:right="179"/>
              <w:spacing w:after="0"/>
              <w:rPr>
                <w:sz w:val="20"/>
                <w:szCs w:val="20"/>
                <w:color w:val="auto"/>
              </w:rPr>
            </w:pPr>
            <w:r>
              <w:rPr>
                <w:rFonts w:ascii="Arial" w:cs="Arial" w:eastAsia="Arial" w:hAnsi="Arial"/>
                <w:sz w:val="16"/>
                <w:szCs w:val="16"/>
                <w:color w:val="auto"/>
              </w:rPr>
              <w:t>2</w:t>
            </w: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69</w:t>
            </w:r>
          </w:p>
        </w:tc>
        <w:tc>
          <w:tcPr>
            <w:tcW w:w="10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b w:val="1"/>
                <w:bCs w:val="1"/>
                <w:color w:val="auto"/>
              </w:rPr>
              <w:t>4</w:t>
            </w:r>
          </w:p>
        </w:tc>
        <w:tc>
          <w:tcPr>
            <w:tcW w:w="1580" w:type="dxa"/>
            <w:vAlign w:val="bottom"/>
          </w:tcPr>
          <w:p>
            <w:pPr>
              <w:jc w:val="right"/>
              <w:ind w:right="19"/>
              <w:spacing w:after="0"/>
              <w:rPr>
                <w:sz w:val="20"/>
                <w:szCs w:val="20"/>
                <w:color w:val="auto"/>
              </w:rPr>
            </w:pPr>
            <w:r>
              <w:rPr>
                <w:rFonts w:ascii="Arial" w:cs="Arial" w:eastAsia="Arial" w:hAnsi="Arial"/>
                <w:sz w:val="16"/>
                <w:szCs w:val="16"/>
                <w:b w:val="1"/>
                <w:bCs w:val="1"/>
                <w:color w:val="auto"/>
              </w:rPr>
              <w:t>411</w:t>
            </w:r>
          </w:p>
        </w:tc>
      </w:tr>
      <w:tr>
        <w:trPr>
          <w:trHeight w:val="33"/>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33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Nevada</w:t>
            </w:r>
          </w:p>
        </w:tc>
        <w:tc>
          <w:tcPr>
            <w:tcW w:w="11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1</w:t>
            </w: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207</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3</w:t>
            </w: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101</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4</w:t>
            </w: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308</w:t>
            </w:r>
          </w:p>
        </w:tc>
      </w:tr>
      <w:tr>
        <w:trPr>
          <w:trHeight w:val="237"/>
        </w:trPr>
        <w:tc>
          <w:tcPr>
            <w:tcW w:w="3340" w:type="dxa"/>
            <w:vAlign w:val="bottom"/>
            <w:gridSpan w:val="2"/>
          </w:tcPr>
          <w:p>
            <w:pPr>
              <w:ind w:left="280"/>
              <w:spacing w:after="0"/>
              <w:rPr>
                <w:sz w:val="20"/>
                <w:szCs w:val="20"/>
                <w:color w:val="auto"/>
              </w:rPr>
            </w:pPr>
            <w:r>
              <w:rPr>
                <w:rFonts w:ascii="Arial" w:cs="Arial" w:eastAsia="Arial" w:hAnsi="Arial"/>
                <w:sz w:val="16"/>
                <w:szCs w:val="16"/>
                <w:color w:val="auto"/>
              </w:rPr>
              <w:t>New Jersey</w:t>
            </w:r>
          </w:p>
        </w:tc>
        <w:tc>
          <w:tcPr>
            <w:tcW w:w="1180" w:type="dxa"/>
            <w:vAlign w:val="bottom"/>
          </w:tcPr>
          <w:p>
            <w:pPr>
              <w:jc w:val="right"/>
              <w:ind w:right="199"/>
              <w:spacing w:after="0"/>
              <w:rPr>
                <w:sz w:val="20"/>
                <w:szCs w:val="20"/>
                <w:color w:val="auto"/>
              </w:rPr>
            </w:pPr>
            <w:r>
              <w:rPr>
                <w:rFonts w:ascii="Arial" w:cs="Arial" w:eastAsia="Arial" w:hAnsi="Arial"/>
                <w:sz w:val="16"/>
                <w:szCs w:val="16"/>
                <w:color w:val="auto"/>
              </w:rPr>
              <w:t>5</w:t>
            </w: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991</w:t>
            </w:r>
          </w:p>
        </w:tc>
        <w:tc>
          <w:tcPr>
            <w:tcW w:w="120" w:type="dxa"/>
            <w:vAlign w:val="bottom"/>
          </w:tcPr>
          <w:p>
            <w:pPr>
              <w:spacing w:after="0"/>
              <w:rPr>
                <w:sz w:val="20"/>
                <w:szCs w:val="20"/>
                <w:color w:val="auto"/>
              </w:rPr>
            </w:pPr>
          </w:p>
        </w:tc>
        <w:tc>
          <w:tcPr>
            <w:tcW w:w="1180" w:type="dxa"/>
            <w:vAlign w:val="bottom"/>
          </w:tcPr>
          <w:p>
            <w:pPr>
              <w:jc w:val="right"/>
              <w:ind w:right="179"/>
              <w:spacing w:after="0"/>
              <w:rPr>
                <w:sz w:val="20"/>
                <w:szCs w:val="20"/>
                <w:color w:val="auto"/>
              </w:rPr>
            </w:pPr>
            <w:r>
              <w:rPr>
                <w:rFonts w:ascii="Arial" w:cs="Arial" w:eastAsia="Arial" w:hAnsi="Arial"/>
                <w:sz w:val="16"/>
                <w:szCs w:val="16"/>
                <w:color w:val="auto"/>
              </w:rPr>
              <w:t>7</w:t>
            </w: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248</w:t>
            </w:r>
          </w:p>
        </w:tc>
        <w:tc>
          <w:tcPr>
            <w:tcW w:w="10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b w:val="1"/>
                <w:bCs w:val="1"/>
                <w:color w:val="auto"/>
              </w:rPr>
              <w:t>12</w:t>
            </w:r>
          </w:p>
        </w:tc>
        <w:tc>
          <w:tcPr>
            <w:tcW w:w="1580" w:type="dxa"/>
            <w:vAlign w:val="bottom"/>
          </w:tcPr>
          <w:p>
            <w:pPr>
              <w:jc w:val="right"/>
              <w:ind w:right="19"/>
              <w:spacing w:after="0"/>
              <w:rPr>
                <w:sz w:val="20"/>
                <w:szCs w:val="20"/>
                <w:color w:val="auto"/>
              </w:rPr>
            </w:pPr>
            <w:r>
              <w:rPr>
                <w:rFonts w:ascii="Arial" w:cs="Arial" w:eastAsia="Arial" w:hAnsi="Arial"/>
                <w:sz w:val="16"/>
                <w:szCs w:val="16"/>
                <w:b w:val="1"/>
                <w:bCs w:val="1"/>
                <w:color w:val="auto"/>
              </w:rPr>
              <w:t>1,239</w:t>
            </w:r>
          </w:p>
        </w:tc>
      </w:tr>
      <w:tr>
        <w:trPr>
          <w:trHeight w:val="33"/>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33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New Mexico</w:t>
            </w:r>
          </w:p>
        </w:tc>
        <w:tc>
          <w:tcPr>
            <w:tcW w:w="11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1</w:t>
            </w: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w:t>
            </w: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34</w:t>
            </w:r>
          </w:p>
        </w:tc>
      </w:tr>
      <w:tr>
        <w:trPr>
          <w:trHeight w:val="237"/>
        </w:trPr>
        <w:tc>
          <w:tcPr>
            <w:tcW w:w="3340" w:type="dxa"/>
            <w:vAlign w:val="bottom"/>
            <w:gridSpan w:val="2"/>
          </w:tcPr>
          <w:p>
            <w:pPr>
              <w:ind w:left="280"/>
              <w:spacing w:after="0"/>
              <w:rPr>
                <w:sz w:val="20"/>
                <w:szCs w:val="20"/>
                <w:color w:val="auto"/>
              </w:rPr>
            </w:pPr>
            <w:r>
              <w:rPr>
                <w:rFonts w:ascii="Arial" w:cs="Arial" w:eastAsia="Arial" w:hAnsi="Arial"/>
                <w:sz w:val="16"/>
                <w:szCs w:val="16"/>
                <w:color w:val="auto"/>
              </w:rPr>
              <w:t>New York</w:t>
            </w:r>
          </w:p>
        </w:tc>
        <w:tc>
          <w:tcPr>
            <w:tcW w:w="1180" w:type="dxa"/>
            <w:vAlign w:val="bottom"/>
          </w:tcPr>
          <w:p>
            <w:pPr>
              <w:jc w:val="right"/>
              <w:ind w:right="199"/>
              <w:spacing w:after="0"/>
              <w:rPr>
                <w:sz w:val="20"/>
                <w:szCs w:val="20"/>
                <w:color w:val="auto"/>
              </w:rPr>
            </w:pPr>
            <w:r>
              <w:rPr>
                <w:rFonts w:ascii="Arial" w:cs="Arial" w:eastAsia="Arial" w:hAnsi="Arial"/>
                <w:sz w:val="16"/>
                <w:szCs w:val="16"/>
                <w:color w:val="auto"/>
              </w:rPr>
              <w:t>2</w:t>
            </w: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460</w:t>
            </w:r>
          </w:p>
        </w:tc>
        <w:tc>
          <w:tcPr>
            <w:tcW w:w="120" w:type="dxa"/>
            <w:vAlign w:val="bottom"/>
          </w:tcPr>
          <w:p>
            <w:pPr>
              <w:spacing w:after="0"/>
              <w:rPr>
                <w:sz w:val="20"/>
                <w:szCs w:val="20"/>
                <w:color w:val="auto"/>
              </w:rPr>
            </w:pPr>
          </w:p>
        </w:tc>
        <w:tc>
          <w:tcPr>
            <w:tcW w:w="1180" w:type="dxa"/>
            <w:vAlign w:val="bottom"/>
          </w:tcPr>
          <w:p>
            <w:pPr>
              <w:jc w:val="right"/>
              <w:ind w:right="179"/>
              <w:spacing w:after="0"/>
              <w:rPr>
                <w:sz w:val="20"/>
                <w:szCs w:val="20"/>
                <w:color w:val="auto"/>
              </w:rPr>
            </w:pPr>
            <w:r>
              <w:rPr>
                <w:rFonts w:ascii="Arial" w:cs="Arial" w:eastAsia="Arial" w:hAnsi="Arial"/>
                <w:sz w:val="16"/>
                <w:szCs w:val="16"/>
                <w:color w:val="auto"/>
              </w:rPr>
              <w:t>13</w:t>
            </w: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426</w:t>
            </w:r>
          </w:p>
        </w:tc>
        <w:tc>
          <w:tcPr>
            <w:tcW w:w="10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b w:val="1"/>
                <w:bCs w:val="1"/>
                <w:color w:val="auto"/>
              </w:rPr>
              <w:t>15</w:t>
            </w:r>
          </w:p>
        </w:tc>
        <w:tc>
          <w:tcPr>
            <w:tcW w:w="1580" w:type="dxa"/>
            <w:vAlign w:val="bottom"/>
          </w:tcPr>
          <w:p>
            <w:pPr>
              <w:jc w:val="right"/>
              <w:ind w:right="19"/>
              <w:spacing w:after="0"/>
              <w:rPr>
                <w:sz w:val="20"/>
                <w:szCs w:val="20"/>
                <w:color w:val="auto"/>
              </w:rPr>
            </w:pPr>
            <w:r>
              <w:rPr>
                <w:rFonts w:ascii="Arial" w:cs="Arial" w:eastAsia="Arial" w:hAnsi="Arial"/>
                <w:sz w:val="16"/>
                <w:szCs w:val="16"/>
                <w:b w:val="1"/>
                <w:bCs w:val="1"/>
                <w:color w:val="auto"/>
              </w:rPr>
              <w:t>886</w:t>
            </w:r>
          </w:p>
        </w:tc>
      </w:tr>
      <w:tr>
        <w:trPr>
          <w:trHeight w:val="33"/>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33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North Carolina</w:t>
            </w:r>
          </w:p>
        </w:tc>
        <w:tc>
          <w:tcPr>
            <w:tcW w:w="11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2</w:t>
            </w: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300</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2</w:t>
            </w: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4</w:t>
            </w: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374</w:t>
            </w:r>
          </w:p>
        </w:tc>
      </w:tr>
      <w:tr>
        <w:trPr>
          <w:trHeight w:val="237"/>
        </w:trPr>
        <w:tc>
          <w:tcPr>
            <w:tcW w:w="3340" w:type="dxa"/>
            <w:vAlign w:val="bottom"/>
            <w:gridSpan w:val="2"/>
          </w:tcPr>
          <w:p>
            <w:pPr>
              <w:ind w:left="280"/>
              <w:spacing w:after="0"/>
              <w:rPr>
                <w:sz w:val="20"/>
                <w:szCs w:val="20"/>
                <w:color w:val="auto"/>
              </w:rPr>
            </w:pPr>
            <w:r>
              <w:rPr>
                <w:rFonts w:ascii="Arial" w:cs="Arial" w:eastAsia="Arial" w:hAnsi="Arial"/>
                <w:sz w:val="16"/>
                <w:szCs w:val="16"/>
                <w:color w:val="auto"/>
              </w:rPr>
              <w:t>Ohio</w:t>
            </w:r>
          </w:p>
        </w:tc>
        <w:tc>
          <w:tcPr>
            <w:tcW w:w="1180" w:type="dxa"/>
            <w:vAlign w:val="bottom"/>
          </w:tcPr>
          <w:p>
            <w:pPr>
              <w:jc w:val="right"/>
              <w:ind w:right="199"/>
              <w:spacing w:after="0"/>
              <w:rPr>
                <w:sz w:val="20"/>
                <w:szCs w:val="20"/>
                <w:color w:val="auto"/>
              </w:rPr>
            </w:pPr>
            <w:r>
              <w:rPr>
                <w:rFonts w:ascii="Arial" w:cs="Arial" w:eastAsia="Arial" w:hAnsi="Arial"/>
                <w:sz w:val="16"/>
                <w:szCs w:val="16"/>
                <w:color w:val="auto"/>
              </w:rPr>
              <w:t>3</w:t>
            </w: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549</w:t>
            </w:r>
          </w:p>
        </w:tc>
        <w:tc>
          <w:tcPr>
            <w:tcW w:w="120" w:type="dxa"/>
            <w:vAlign w:val="bottom"/>
          </w:tcPr>
          <w:p>
            <w:pPr>
              <w:spacing w:after="0"/>
              <w:rPr>
                <w:sz w:val="20"/>
                <w:szCs w:val="20"/>
                <w:color w:val="auto"/>
              </w:rPr>
            </w:pPr>
          </w:p>
        </w:tc>
        <w:tc>
          <w:tcPr>
            <w:tcW w:w="1180" w:type="dxa"/>
            <w:vAlign w:val="bottom"/>
          </w:tcPr>
          <w:p>
            <w:pPr>
              <w:jc w:val="right"/>
              <w:ind w:right="179"/>
              <w:spacing w:after="0"/>
              <w:rPr>
                <w:sz w:val="20"/>
                <w:szCs w:val="20"/>
                <w:color w:val="auto"/>
              </w:rPr>
            </w:pPr>
            <w:r>
              <w:rPr>
                <w:rFonts w:ascii="Arial" w:cs="Arial" w:eastAsia="Arial" w:hAnsi="Arial"/>
                <w:sz w:val="16"/>
                <w:szCs w:val="16"/>
                <w:color w:val="auto"/>
              </w:rPr>
              <w:t>6</w:t>
            </w: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224</w:t>
            </w:r>
          </w:p>
        </w:tc>
        <w:tc>
          <w:tcPr>
            <w:tcW w:w="10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b w:val="1"/>
                <w:bCs w:val="1"/>
                <w:color w:val="auto"/>
              </w:rPr>
              <w:t>9</w:t>
            </w:r>
          </w:p>
        </w:tc>
        <w:tc>
          <w:tcPr>
            <w:tcW w:w="1580" w:type="dxa"/>
            <w:vAlign w:val="bottom"/>
          </w:tcPr>
          <w:p>
            <w:pPr>
              <w:jc w:val="right"/>
              <w:ind w:right="19"/>
              <w:spacing w:after="0"/>
              <w:rPr>
                <w:sz w:val="20"/>
                <w:szCs w:val="20"/>
                <w:color w:val="auto"/>
              </w:rPr>
            </w:pPr>
            <w:r>
              <w:rPr>
                <w:rFonts w:ascii="Arial" w:cs="Arial" w:eastAsia="Arial" w:hAnsi="Arial"/>
                <w:sz w:val="16"/>
                <w:szCs w:val="16"/>
                <w:b w:val="1"/>
                <w:bCs w:val="1"/>
                <w:color w:val="auto"/>
              </w:rPr>
              <w:t>773</w:t>
            </w:r>
          </w:p>
        </w:tc>
      </w:tr>
      <w:tr>
        <w:trPr>
          <w:trHeight w:val="33"/>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33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Oklahoma</w:t>
            </w:r>
          </w:p>
        </w:tc>
        <w:tc>
          <w:tcPr>
            <w:tcW w:w="11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2</w:t>
            </w: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67</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w:t>
            </w: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67</w:t>
            </w:r>
          </w:p>
        </w:tc>
      </w:tr>
      <w:tr>
        <w:trPr>
          <w:trHeight w:val="237"/>
        </w:trPr>
        <w:tc>
          <w:tcPr>
            <w:tcW w:w="3340" w:type="dxa"/>
            <w:vAlign w:val="bottom"/>
            <w:gridSpan w:val="2"/>
          </w:tcPr>
          <w:p>
            <w:pPr>
              <w:ind w:left="280"/>
              <w:spacing w:after="0"/>
              <w:rPr>
                <w:sz w:val="20"/>
                <w:szCs w:val="20"/>
                <w:color w:val="auto"/>
              </w:rPr>
            </w:pPr>
            <w:r>
              <w:rPr>
                <w:rFonts w:ascii="Arial" w:cs="Arial" w:eastAsia="Arial" w:hAnsi="Arial"/>
                <w:sz w:val="16"/>
                <w:szCs w:val="16"/>
                <w:color w:val="auto"/>
              </w:rPr>
              <w:t>Oregon</w:t>
            </w:r>
          </w:p>
        </w:tc>
        <w:tc>
          <w:tcPr>
            <w:tcW w:w="1180" w:type="dxa"/>
            <w:vAlign w:val="bottom"/>
          </w:tcPr>
          <w:p>
            <w:pPr>
              <w:jc w:val="right"/>
              <w:ind w:right="199"/>
              <w:spacing w:after="0"/>
              <w:rPr>
                <w:sz w:val="20"/>
                <w:szCs w:val="20"/>
                <w:color w:val="auto"/>
              </w:rPr>
            </w:pPr>
            <w:r>
              <w:rPr>
                <w:rFonts w:ascii="Arial" w:cs="Arial" w:eastAsia="Arial" w:hAnsi="Arial"/>
                <w:sz w:val="16"/>
                <w:szCs w:val="16"/>
                <w:color w:val="auto"/>
              </w:rPr>
              <w:t>4</w:t>
            </w: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555</w:t>
            </w:r>
          </w:p>
        </w:tc>
        <w:tc>
          <w:tcPr>
            <w:tcW w:w="120" w:type="dxa"/>
            <w:vAlign w:val="bottom"/>
          </w:tcPr>
          <w:p>
            <w:pPr>
              <w:spacing w:after="0"/>
              <w:rPr>
                <w:sz w:val="20"/>
                <w:szCs w:val="20"/>
                <w:color w:val="auto"/>
              </w:rPr>
            </w:pPr>
          </w:p>
        </w:tc>
        <w:tc>
          <w:tcPr>
            <w:tcW w:w="1180" w:type="dxa"/>
            <w:vAlign w:val="bottom"/>
          </w:tcPr>
          <w:p>
            <w:pPr>
              <w:jc w:val="right"/>
              <w:ind w:right="179"/>
              <w:spacing w:after="0"/>
              <w:rPr>
                <w:sz w:val="20"/>
                <w:szCs w:val="20"/>
                <w:color w:val="auto"/>
              </w:rPr>
            </w:pPr>
            <w:r>
              <w:rPr>
                <w:rFonts w:ascii="Arial" w:cs="Arial" w:eastAsia="Arial" w:hAnsi="Arial"/>
                <w:sz w:val="16"/>
                <w:szCs w:val="16"/>
                <w:color w:val="auto"/>
              </w:rPr>
              <w:t>5</w:t>
            </w: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190</w:t>
            </w:r>
          </w:p>
        </w:tc>
        <w:tc>
          <w:tcPr>
            <w:tcW w:w="10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b w:val="1"/>
                <w:bCs w:val="1"/>
                <w:color w:val="auto"/>
              </w:rPr>
              <w:t>9</w:t>
            </w:r>
          </w:p>
        </w:tc>
        <w:tc>
          <w:tcPr>
            <w:tcW w:w="1580" w:type="dxa"/>
            <w:vAlign w:val="bottom"/>
          </w:tcPr>
          <w:p>
            <w:pPr>
              <w:jc w:val="right"/>
              <w:ind w:right="19"/>
              <w:spacing w:after="0"/>
              <w:rPr>
                <w:sz w:val="20"/>
                <w:szCs w:val="20"/>
                <w:color w:val="auto"/>
              </w:rPr>
            </w:pPr>
            <w:r>
              <w:rPr>
                <w:rFonts w:ascii="Arial" w:cs="Arial" w:eastAsia="Arial" w:hAnsi="Arial"/>
                <w:sz w:val="16"/>
                <w:szCs w:val="16"/>
                <w:b w:val="1"/>
                <w:bCs w:val="1"/>
                <w:color w:val="auto"/>
              </w:rPr>
              <w:t>745</w:t>
            </w:r>
          </w:p>
        </w:tc>
      </w:tr>
      <w:tr>
        <w:trPr>
          <w:trHeight w:val="33"/>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33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Pennsylvania</w:t>
            </w:r>
          </w:p>
        </w:tc>
        <w:tc>
          <w:tcPr>
            <w:tcW w:w="11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2</w:t>
            </w: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381</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6</w:t>
            </w: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214</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8</w:t>
            </w: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595</w:t>
            </w:r>
          </w:p>
        </w:tc>
      </w:tr>
      <w:tr>
        <w:trPr>
          <w:trHeight w:val="237"/>
        </w:trPr>
        <w:tc>
          <w:tcPr>
            <w:tcW w:w="3340" w:type="dxa"/>
            <w:vAlign w:val="bottom"/>
            <w:gridSpan w:val="2"/>
          </w:tcPr>
          <w:p>
            <w:pPr>
              <w:ind w:left="280"/>
              <w:spacing w:after="0"/>
              <w:rPr>
                <w:sz w:val="20"/>
                <w:szCs w:val="20"/>
                <w:color w:val="auto"/>
              </w:rPr>
            </w:pPr>
            <w:r>
              <w:rPr>
                <w:rFonts w:ascii="Arial" w:cs="Arial" w:eastAsia="Arial" w:hAnsi="Arial"/>
                <w:sz w:val="16"/>
                <w:szCs w:val="16"/>
                <w:color w:val="auto"/>
              </w:rPr>
              <w:t>Puerto Rico</w:t>
            </w:r>
          </w:p>
        </w:tc>
        <w:tc>
          <w:tcPr>
            <w:tcW w:w="1180" w:type="dxa"/>
            <w:vAlign w:val="bottom"/>
          </w:tcPr>
          <w:p>
            <w:pPr>
              <w:jc w:val="right"/>
              <w:ind w:right="199"/>
              <w:spacing w:after="0"/>
              <w:rPr>
                <w:sz w:val="20"/>
                <w:szCs w:val="20"/>
                <w:color w:val="auto"/>
              </w:rPr>
            </w:pPr>
            <w:r>
              <w:rPr>
                <w:rFonts w:ascii="Arial" w:cs="Arial" w:eastAsia="Arial" w:hAnsi="Arial"/>
                <w:sz w:val="16"/>
                <w:szCs w:val="16"/>
                <w:color w:val="auto"/>
              </w:rPr>
              <w:t>1</w:t>
            </w: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143</w:t>
            </w:r>
          </w:p>
        </w:tc>
        <w:tc>
          <w:tcPr>
            <w:tcW w:w="120" w:type="dxa"/>
            <w:vAlign w:val="bottom"/>
          </w:tcPr>
          <w:p>
            <w:pPr>
              <w:spacing w:after="0"/>
              <w:rPr>
                <w:sz w:val="20"/>
                <w:szCs w:val="20"/>
                <w:color w:val="auto"/>
              </w:rPr>
            </w:pPr>
          </w:p>
        </w:tc>
        <w:tc>
          <w:tcPr>
            <w:tcW w:w="11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5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9"/>
              <w:spacing w:after="0"/>
              <w:rPr>
                <w:sz w:val="20"/>
                <w:szCs w:val="20"/>
                <w:color w:val="auto"/>
              </w:rPr>
            </w:pPr>
            <w:r>
              <w:rPr>
                <w:rFonts w:ascii="Arial" w:cs="Arial" w:eastAsia="Arial" w:hAnsi="Arial"/>
                <w:sz w:val="16"/>
                <w:szCs w:val="16"/>
                <w:b w:val="1"/>
                <w:bCs w:val="1"/>
                <w:color w:val="auto"/>
              </w:rPr>
              <w:t>1</w:t>
            </w:r>
          </w:p>
        </w:tc>
        <w:tc>
          <w:tcPr>
            <w:tcW w:w="1580" w:type="dxa"/>
            <w:vAlign w:val="bottom"/>
          </w:tcPr>
          <w:p>
            <w:pPr>
              <w:jc w:val="right"/>
              <w:ind w:right="19"/>
              <w:spacing w:after="0"/>
              <w:rPr>
                <w:sz w:val="20"/>
                <w:szCs w:val="20"/>
                <w:color w:val="auto"/>
              </w:rPr>
            </w:pPr>
            <w:r>
              <w:rPr>
                <w:rFonts w:ascii="Arial" w:cs="Arial" w:eastAsia="Arial" w:hAnsi="Arial"/>
                <w:sz w:val="16"/>
                <w:szCs w:val="16"/>
                <w:b w:val="1"/>
                <w:bCs w:val="1"/>
                <w:color w:val="auto"/>
              </w:rPr>
              <w:t>143</w:t>
            </w:r>
          </w:p>
        </w:tc>
      </w:tr>
      <w:tr>
        <w:trPr>
          <w:trHeight w:val="33"/>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33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Rhode Island</w:t>
            </w:r>
          </w:p>
        </w:tc>
        <w:tc>
          <w:tcPr>
            <w:tcW w:w="11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1</w:t>
            </w: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206</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1</w:t>
            </w: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w:t>
            </w: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244</w:t>
            </w:r>
          </w:p>
        </w:tc>
      </w:tr>
      <w:tr>
        <w:trPr>
          <w:trHeight w:val="237"/>
        </w:trPr>
        <w:tc>
          <w:tcPr>
            <w:tcW w:w="3340" w:type="dxa"/>
            <w:vAlign w:val="bottom"/>
            <w:gridSpan w:val="2"/>
          </w:tcPr>
          <w:p>
            <w:pPr>
              <w:ind w:left="280"/>
              <w:spacing w:after="0"/>
              <w:rPr>
                <w:sz w:val="20"/>
                <w:szCs w:val="20"/>
                <w:color w:val="auto"/>
              </w:rPr>
            </w:pPr>
            <w:r>
              <w:rPr>
                <w:rFonts w:ascii="Arial" w:cs="Arial" w:eastAsia="Arial" w:hAnsi="Arial"/>
                <w:sz w:val="16"/>
                <w:szCs w:val="16"/>
                <w:color w:val="auto"/>
              </w:rPr>
              <w:t>South Carolina</w:t>
            </w:r>
          </w:p>
        </w:tc>
        <w:tc>
          <w:tcPr>
            <w:tcW w:w="118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5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79"/>
              <w:spacing w:after="0"/>
              <w:rPr>
                <w:sz w:val="20"/>
                <w:szCs w:val="20"/>
                <w:color w:val="auto"/>
              </w:rPr>
            </w:pPr>
            <w:r>
              <w:rPr>
                <w:rFonts w:ascii="Arial" w:cs="Arial" w:eastAsia="Arial" w:hAnsi="Arial"/>
                <w:sz w:val="16"/>
                <w:szCs w:val="16"/>
                <w:color w:val="auto"/>
              </w:rPr>
              <w:t>4</w:t>
            </w: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104</w:t>
            </w:r>
          </w:p>
        </w:tc>
        <w:tc>
          <w:tcPr>
            <w:tcW w:w="10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b w:val="1"/>
                <w:bCs w:val="1"/>
                <w:color w:val="auto"/>
              </w:rPr>
              <w:t>4</w:t>
            </w:r>
          </w:p>
        </w:tc>
        <w:tc>
          <w:tcPr>
            <w:tcW w:w="1580" w:type="dxa"/>
            <w:vAlign w:val="bottom"/>
          </w:tcPr>
          <w:p>
            <w:pPr>
              <w:jc w:val="right"/>
              <w:ind w:right="19"/>
              <w:spacing w:after="0"/>
              <w:rPr>
                <w:sz w:val="20"/>
                <w:szCs w:val="20"/>
                <w:color w:val="auto"/>
              </w:rPr>
            </w:pPr>
            <w:r>
              <w:rPr>
                <w:rFonts w:ascii="Arial" w:cs="Arial" w:eastAsia="Arial" w:hAnsi="Arial"/>
                <w:sz w:val="16"/>
                <w:szCs w:val="16"/>
                <w:b w:val="1"/>
                <w:bCs w:val="1"/>
                <w:color w:val="auto"/>
              </w:rPr>
              <w:t>104</w:t>
            </w:r>
          </w:p>
        </w:tc>
      </w:tr>
      <w:tr>
        <w:trPr>
          <w:trHeight w:val="33"/>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33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Tennessee</w:t>
            </w:r>
          </w:p>
        </w:tc>
        <w:tc>
          <w:tcPr>
            <w:tcW w:w="11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1</w:t>
            </w: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145</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1</w:t>
            </w: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w:t>
            </w: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181</w:t>
            </w:r>
          </w:p>
        </w:tc>
      </w:tr>
      <w:tr>
        <w:trPr>
          <w:trHeight w:val="270"/>
        </w:trPr>
        <w:tc>
          <w:tcPr>
            <w:tcW w:w="3340" w:type="dxa"/>
            <w:vAlign w:val="bottom"/>
            <w:gridSpan w:val="2"/>
          </w:tcPr>
          <w:p>
            <w:pPr>
              <w:ind w:left="280"/>
              <w:spacing w:after="0"/>
              <w:rPr>
                <w:sz w:val="20"/>
                <w:szCs w:val="20"/>
                <w:color w:val="auto"/>
              </w:rPr>
            </w:pPr>
            <w:r>
              <w:rPr>
                <w:rFonts w:ascii="Arial" w:cs="Arial" w:eastAsia="Arial" w:hAnsi="Arial"/>
                <w:sz w:val="16"/>
                <w:szCs w:val="16"/>
                <w:color w:val="auto"/>
              </w:rPr>
              <w:t>Texas</w:t>
            </w:r>
            <w:r>
              <w:rPr>
                <w:rFonts w:ascii="Arial" w:cs="Arial" w:eastAsia="Arial" w:hAnsi="Arial"/>
                <w:sz w:val="21"/>
                <w:szCs w:val="21"/>
                <w:color w:val="auto"/>
                <w:vertAlign w:val="superscript"/>
              </w:rPr>
              <w:t>2</w:t>
            </w:r>
          </w:p>
        </w:tc>
        <w:tc>
          <w:tcPr>
            <w:tcW w:w="1180" w:type="dxa"/>
            <w:vAlign w:val="bottom"/>
          </w:tcPr>
          <w:p>
            <w:pPr>
              <w:jc w:val="right"/>
              <w:ind w:right="199"/>
              <w:spacing w:after="0"/>
              <w:rPr>
                <w:sz w:val="20"/>
                <w:szCs w:val="20"/>
                <w:color w:val="auto"/>
              </w:rPr>
            </w:pPr>
            <w:r>
              <w:rPr>
                <w:rFonts w:ascii="Arial" w:cs="Arial" w:eastAsia="Arial" w:hAnsi="Arial"/>
                <w:sz w:val="16"/>
                <w:szCs w:val="16"/>
                <w:color w:val="auto"/>
              </w:rPr>
              <w:t>9</w:t>
            </w: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1,562</w:t>
            </w:r>
          </w:p>
        </w:tc>
        <w:tc>
          <w:tcPr>
            <w:tcW w:w="120" w:type="dxa"/>
            <w:vAlign w:val="bottom"/>
          </w:tcPr>
          <w:p>
            <w:pPr>
              <w:spacing w:after="0"/>
              <w:rPr>
                <w:sz w:val="23"/>
                <w:szCs w:val="23"/>
                <w:color w:val="auto"/>
              </w:rPr>
            </w:pPr>
          </w:p>
        </w:tc>
        <w:tc>
          <w:tcPr>
            <w:tcW w:w="1180" w:type="dxa"/>
            <w:vAlign w:val="bottom"/>
          </w:tcPr>
          <w:p>
            <w:pPr>
              <w:jc w:val="right"/>
              <w:ind w:right="179"/>
              <w:spacing w:after="0"/>
              <w:rPr>
                <w:sz w:val="20"/>
                <w:szCs w:val="20"/>
                <w:color w:val="auto"/>
              </w:rPr>
            </w:pPr>
            <w:r>
              <w:rPr>
                <w:rFonts w:ascii="Arial" w:cs="Arial" w:eastAsia="Arial" w:hAnsi="Arial"/>
                <w:sz w:val="16"/>
                <w:szCs w:val="16"/>
                <w:color w:val="auto"/>
              </w:rPr>
              <w:t>16</w:t>
            </w: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540</w:t>
            </w:r>
          </w:p>
        </w:tc>
        <w:tc>
          <w:tcPr>
            <w:tcW w:w="100" w:type="dxa"/>
            <w:vAlign w:val="bottom"/>
          </w:tcPr>
          <w:p>
            <w:pPr>
              <w:spacing w:after="0"/>
              <w:rPr>
                <w:sz w:val="23"/>
                <w:szCs w:val="23"/>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b w:val="1"/>
                <w:bCs w:val="1"/>
                <w:color w:val="auto"/>
              </w:rPr>
              <w:t>25</w:t>
            </w:r>
          </w:p>
        </w:tc>
        <w:tc>
          <w:tcPr>
            <w:tcW w:w="1580" w:type="dxa"/>
            <w:vAlign w:val="bottom"/>
          </w:tcPr>
          <w:p>
            <w:pPr>
              <w:jc w:val="right"/>
              <w:ind w:right="19"/>
              <w:spacing w:after="0"/>
              <w:rPr>
                <w:sz w:val="20"/>
                <w:szCs w:val="20"/>
                <w:color w:val="auto"/>
              </w:rPr>
            </w:pPr>
            <w:r>
              <w:rPr>
                <w:rFonts w:ascii="Arial" w:cs="Arial" w:eastAsia="Arial" w:hAnsi="Arial"/>
                <w:sz w:val="16"/>
                <w:szCs w:val="16"/>
                <w:b w:val="1"/>
                <w:bCs w:val="1"/>
                <w:color w:val="auto"/>
              </w:rPr>
              <w:t>2,102</w:t>
            </w:r>
          </w:p>
        </w:tc>
      </w:tr>
      <w:tr>
        <w:trPr>
          <w:trHeight w:val="250"/>
        </w:trPr>
        <w:tc>
          <w:tcPr>
            <w:tcW w:w="33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Utah</w:t>
            </w:r>
          </w:p>
        </w:tc>
        <w:tc>
          <w:tcPr>
            <w:tcW w:w="11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2</w:t>
            </w: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277</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4</w:t>
            </w: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126</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6</w:t>
            </w: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403</w:t>
            </w:r>
          </w:p>
        </w:tc>
      </w:tr>
      <w:tr>
        <w:trPr>
          <w:trHeight w:val="237"/>
        </w:trPr>
        <w:tc>
          <w:tcPr>
            <w:tcW w:w="3340" w:type="dxa"/>
            <w:vAlign w:val="bottom"/>
            <w:gridSpan w:val="2"/>
          </w:tcPr>
          <w:p>
            <w:pPr>
              <w:ind w:left="280"/>
              <w:spacing w:after="0"/>
              <w:rPr>
                <w:sz w:val="20"/>
                <w:szCs w:val="20"/>
                <w:color w:val="auto"/>
              </w:rPr>
            </w:pPr>
            <w:r>
              <w:rPr>
                <w:rFonts w:ascii="Arial" w:cs="Arial" w:eastAsia="Arial" w:hAnsi="Arial"/>
                <w:sz w:val="16"/>
                <w:szCs w:val="16"/>
                <w:color w:val="auto"/>
              </w:rPr>
              <w:t>Virginia</w:t>
            </w:r>
          </w:p>
        </w:tc>
        <w:tc>
          <w:tcPr>
            <w:tcW w:w="1180" w:type="dxa"/>
            <w:vAlign w:val="bottom"/>
          </w:tcPr>
          <w:p>
            <w:pPr>
              <w:jc w:val="right"/>
              <w:ind w:right="199"/>
              <w:spacing w:after="0"/>
              <w:rPr>
                <w:sz w:val="20"/>
                <w:szCs w:val="20"/>
                <w:color w:val="auto"/>
              </w:rPr>
            </w:pPr>
            <w:r>
              <w:rPr>
                <w:rFonts w:ascii="Arial" w:cs="Arial" w:eastAsia="Arial" w:hAnsi="Arial"/>
                <w:sz w:val="16"/>
                <w:szCs w:val="16"/>
                <w:color w:val="auto"/>
              </w:rPr>
              <w:t>5</w:t>
            </w: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894</w:t>
            </w:r>
          </w:p>
        </w:tc>
        <w:tc>
          <w:tcPr>
            <w:tcW w:w="120" w:type="dxa"/>
            <w:vAlign w:val="bottom"/>
          </w:tcPr>
          <w:p>
            <w:pPr>
              <w:spacing w:after="0"/>
              <w:rPr>
                <w:sz w:val="20"/>
                <w:szCs w:val="20"/>
                <w:color w:val="auto"/>
              </w:rPr>
            </w:pPr>
          </w:p>
        </w:tc>
        <w:tc>
          <w:tcPr>
            <w:tcW w:w="1180" w:type="dxa"/>
            <w:vAlign w:val="bottom"/>
          </w:tcPr>
          <w:p>
            <w:pPr>
              <w:jc w:val="right"/>
              <w:ind w:right="179"/>
              <w:spacing w:after="0"/>
              <w:rPr>
                <w:sz w:val="20"/>
                <w:szCs w:val="20"/>
                <w:color w:val="auto"/>
              </w:rPr>
            </w:pPr>
            <w:r>
              <w:rPr>
                <w:rFonts w:ascii="Arial" w:cs="Arial" w:eastAsia="Arial" w:hAnsi="Arial"/>
                <w:sz w:val="16"/>
                <w:szCs w:val="16"/>
                <w:color w:val="auto"/>
              </w:rPr>
              <w:t>7</w:t>
            </w: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268</w:t>
            </w:r>
          </w:p>
        </w:tc>
        <w:tc>
          <w:tcPr>
            <w:tcW w:w="10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b w:val="1"/>
                <w:bCs w:val="1"/>
                <w:color w:val="auto"/>
              </w:rPr>
              <w:t>12</w:t>
            </w:r>
          </w:p>
        </w:tc>
        <w:tc>
          <w:tcPr>
            <w:tcW w:w="1580" w:type="dxa"/>
            <w:vAlign w:val="bottom"/>
          </w:tcPr>
          <w:p>
            <w:pPr>
              <w:jc w:val="right"/>
              <w:ind w:right="19"/>
              <w:spacing w:after="0"/>
              <w:rPr>
                <w:sz w:val="20"/>
                <w:szCs w:val="20"/>
                <w:color w:val="auto"/>
              </w:rPr>
            </w:pPr>
            <w:r>
              <w:rPr>
                <w:rFonts w:ascii="Arial" w:cs="Arial" w:eastAsia="Arial" w:hAnsi="Arial"/>
                <w:sz w:val="16"/>
                <w:szCs w:val="16"/>
                <w:b w:val="1"/>
                <w:bCs w:val="1"/>
                <w:color w:val="auto"/>
              </w:rPr>
              <w:t>1,162</w:t>
            </w:r>
          </w:p>
        </w:tc>
      </w:tr>
      <w:tr>
        <w:trPr>
          <w:trHeight w:val="33"/>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33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Washington</w:t>
            </w:r>
          </w:p>
        </w:tc>
        <w:tc>
          <w:tcPr>
            <w:tcW w:w="11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7</w:t>
            </w: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1,392</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7</w:t>
            </w: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276</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14</w:t>
            </w: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1,668</w:t>
            </w:r>
          </w:p>
        </w:tc>
      </w:tr>
      <w:tr>
        <w:trPr>
          <w:trHeight w:val="237"/>
        </w:trPr>
        <w:tc>
          <w:tcPr>
            <w:tcW w:w="3340" w:type="dxa"/>
            <w:vAlign w:val="bottom"/>
            <w:gridSpan w:val="2"/>
          </w:tcPr>
          <w:p>
            <w:pPr>
              <w:ind w:left="280"/>
              <w:spacing w:after="0"/>
              <w:rPr>
                <w:sz w:val="20"/>
                <w:szCs w:val="20"/>
                <w:color w:val="auto"/>
              </w:rPr>
            </w:pPr>
            <w:r>
              <w:rPr>
                <w:rFonts w:ascii="Arial" w:cs="Arial" w:eastAsia="Arial" w:hAnsi="Arial"/>
                <w:sz w:val="16"/>
                <w:szCs w:val="16"/>
                <w:color w:val="auto"/>
              </w:rPr>
              <w:t>Washington D.C.</w:t>
            </w:r>
          </w:p>
        </w:tc>
        <w:tc>
          <w:tcPr>
            <w:tcW w:w="118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5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79"/>
              <w:spacing w:after="0"/>
              <w:rPr>
                <w:sz w:val="20"/>
                <w:szCs w:val="20"/>
                <w:color w:val="auto"/>
              </w:rPr>
            </w:pPr>
            <w:r>
              <w:rPr>
                <w:rFonts w:ascii="Arial" w:cs="Arial" w:eastAsia="Arial" w:hAnsi="Arial"/>
                <w:sz w:val="16"/>
                <w:szCs w:val="16"/>
                <w:color w:val="auto"/>
              </w:rPr>
              <w:t>4</w:t>
            </w: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120</w:t>
            </w:r>
          </w:p>
        </w:tc>
        <w:tc>
          <w:tcPr>
            <w:tcW w:w="10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b w:val="1"/>
                <w:bCs w:val="1"/>
                <w:color w:val="auto"/>
              </w:rPr>
              <w:t>4</w:t>
            </w:r>
          </w:p>
        </w:tc>
        <w:tc>
          <w:tcPr>
            <w:tcW w:w="1580" w:type="dxa"/>
            <w:vAlign w:val="bottom"/>
          </w:tcPr>
          <w:p>
            <w:pPr>
              <w:jc w:val="right"/>
              <w:ind w:right="19"/>
              <w:spacing w:after="0"/>
              <w:rPr>
                <w:sz w:val="20"/>
                <w:szCs w:val="20"/>
                <w:color w:val="auto"/>
              </w:rPr>
            </w:pPr>
            <w:r>
              <w:rPr>
                <w:rFonts w:ascii="Arial" w:cs="Arial" w:eastAsia="Arial" w:hAnsi="Arial"/>
                <w:sz w:val="16"/>
                <w:szCs w:val="16"/>
                <w:b w:val="1"/>
                <w:bCs w:val="1"/>
                <w:color w:val="auto"/>
              </w:rPr>
              <w:t>120</w:t>
            </w:r>
          </w:p>
        </w:tc>
      </w:tr>
      <w:tr>
        <w:trPr>
          <w:trHeight w:val="33"/>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33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Wisconsin</w:t>
            </w:r>
          </w:p>
        </w:tc>
        <w:tc>
          <w:tcPr>
            <w:tcW w:w="11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1</w:t>
            </w: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150</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2</w:t>
            </w: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67</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3</w:t>
            </w: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217</w:t>
            </w:r>
          </w:p>
        </w:tc>
      </w:tr>
      <w:tr>
        <w:trPr>
          <w:trHeight w:val="224"/>
        </w:trPr>
        <w:tc>
          <w:tcPr>
            <w:tcW w:w="3340" w:type="dxa"/>
            <w:vAlign w:val="bottom"/>
            <w:gridSpan w:val="2"/>
          </w:tcPr>
          <w:p>
            <w:pPr>
              <w:ind w:left="40"/>
              <w:spacing w:after="0"/>
              <w:rPr>
                <w:sz w:val="20"/>
                <w:szCs w:val="20"/>
                <w:color w:val="auto"/>
              </w:rPr>
            </w:pPr>
            <w:r>
              <w:rPr>
                <w:rFonts w:ascii="Arial" w:cs="Arial" w:eastAsia="Arial" w:hAnsi="Arial"/>
                <w:sz w:val="16"/>
                <w:szCs w:val="16"/>
                <w:b w:val="1"/>
                <w:bCs w:val="1"/>
                <w:color w:val="auto"/>
              </w:rPr>
              <w:t>Canada</w:t>
            </w:r>
          </w:p>
        </w:tc>
        <w:tc>
          <w:tcPr>
            <w:tcW w:w="1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47"/>
        </w:trPr>
        <w:tc>
          <w:tcPr>
            <w:tcW w:w="3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580" w:type="dxa"/>
            <w:vAlign w:val="bottom"/>
          </w:tcPr>
          <w:p>
            <w:pPr>
              <w:spacing w:after="0"/>
              <w:rPr>
                <w:sz w:val="4"/>
                <w:szCs w:val="4"/>
                <w:color w:val="auto"/>
              </w:rPr>
            </w:pPr>
          </w:p>
        </w:tc>
      </w:tr>
      <w:tr>
        <w:trPr>
          <w:trHeight w:val="250"/>
        </w:trPr>
        <w:tc>
          <w:tcPr>
            <w:tcW w:w="33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Alberta</w:t>
            </w:r>
          </w:p>
        </w:tc>
        <w:tc>
          <w:tcPr>
            <w:tcW w:w="11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1</w:t>
            </w: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142</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w:t>
            </w: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142</w:t>
            </w:r>
          </w:p>
        </w:tc>
      </w:tr>
      <w:tr>
        <w:trPr>
          <w:trHeight w:val="237"/>
        </w:trPr>
        <w:tc>
          <w:tcPr>
            <w:tcW w:w="3340" w:type="dxa"/>
            <w:vAlign w:val="bottom"/>
            <w:gridSpan w:val="2"/>
          </w:tcPr>
          <w:p>
            <w:pPr>
              <w:ind w:left="280"/>
              <w:spacing w:after="0"/>
              <w:rPr>
                <w:sz w:val="20"/>
                <w:szCs w:val="20"/>
                <w:color w:val="auto"/>
              </w:rPr>
            </w:pPr>
            <w:r>
              <w:rPr>
                <w:rFonts w:ascii="Arial" w:cs="Arial" w:eastAsia="Arial" w:hAnsi="Arial"/>
                <w:sz w:val="16"/>
                <w:szCs w:val="16"/>
                <w:color w:val="auto"/>
              </w:rPr>
              <w:t>British Columbia</w:t>
            </w:r>
          </w:p>
        </w:tc>
        <w:tc>
          <w:tcPr>
            <w:tcW w:w="1180" w:type="dxa"/>
            <w:vAlign w:val="bottom"/>
          </w:tcPr>
          <w:p>
            <w:pPr>
              <w:jc w:val="right"/>
              <w:ind w:right="199"/>
              <w:spacing w:after="0"/>
              <w:rPr>
                <w:sz w:val="20"/>
                <w:szCs w:val="20"/>
                <w:color w:val="auto"/>
              </w:rPr>
            </w:pPr>
            <w:r>
              <w:rPr>
                <w:rFonts w:ascii="Arial" w:cs="Arial" w:eastAsia="Arial" w:hAnsi="Arial"/>
                <w:sz w:val="16"/>
                <w:szCs w:val="16"/>
                <w:color w:val="auto"/>
              </w:rPr>
              <w:t>1</w:t>
            </w: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231</w:t>
            </w:r>
          </w:p>
        </w:tc>
        <w:tc>
          <w:tcPr>
            <w:tcW w:w="120" w:type="dxa"/>
            <w:vAlign w:val="bottom"/>
          </w:tcPr>
          <w:p>
            <w:pPr>
              <w:spacing w:after="0"/>
              <w:rPr>
                <w:sz w:val="20"/>
                <w:szCs w:val="20"/>
                <w:color w:val="auto"/>
              </w:rPr>
            </w:pPr>
          </w:p>
        </w:tc>
        <w:tc>
          <w:tcPr>
            <w:tcW w:w="11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5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9"/>
              <w:spacing w:after="0"/>
              <w:rPr>
                <w:sz w:val="20"/>
                <w:szCs w:val="20"/>
                <w:color w:val="auto"/>
              </w:rPr>
            </w:pPr>
            <w:r>
              <w:rPr>
                <w:rFonts w:ascii="Arial" w:cs="Arial" w:eastAsia="Arial" w:hAnsi="Arial"/>
                <w:sz w:val="16"/>
                <w:szCs w:val="16"/>
                <w:b w:val="1"/>
                <w:bCs w:val="1"/>
                <w:color w:val="auto"/>
              </w:rPr>
              <w:t>1</w:t>
            </w:r>
          </w:p>
        </w:tc>
        <w:tc>
          <w:tcPr>
            <w:tcW w:w="1580" w:type="dxa"/>
            <w:vAlign w:val="bottom"/>
          </w:tcPr>
          <w:p>
            <w:pPr>
              <w:jc w:val="right"/>
              <w:ind w:right="19"/>
              <w:spacing w:after="0"/>
              <w:rPr>
                <w:sz w:val="20"/>
                <w:szCs w:val="20"/>
                <w:color w:val="auto"/>
              </w:rPr>
            </w:pPr>
            <w:r>
              <w:rPr>
                <w:rFonts w:ascii="Arial" w:cs="Arial" w:eastAsia="Arial" w:hAnsi="Arial"/>
                <w:sz w:val="16"/>
                <w:szCs w:val="16"/>
                <w:b w:val="1"/>
                <w:bCs w:val="1"/>
                <w:color w:val="auto"/>
              </w:rPr>
              <w:t>231</w:t>
            </w:r>
          </w:p>
        </w:tc>
      </w:tr>
      <w:tr>
        <w:trPr>
          <w:trHeight w:val="33"/>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33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Ontario</w:t>
            </w:r>
          </w:p>
        </w:tc>
        <w:tc>
          <w:tcPr>
            <w:tcW w:w="11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3</w:t>
            </w: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599</w:t>
            </w:r>
          </w:p>
        </w:tc>
        <w:tc>
          <w:tcPr>
            <w:tcW w:w="1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3</w:t>
            </w: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599</w:t>
            </w:r>
          </w:p>
        </w:tc>
      </w:tr>
      <w:tr>
        <w:trPr>
          <w:trHeight w:val="217"/>
        </w:trPr>
        <w:tc>
          <w:tcPr>
            <w:tcW w:w="320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w:t>
            </w:r>
          </w:p>
        </w:tc>
        <w:tc>
          <w:tcPr>
            <w:tcW w:w="140" w:type="dxa"/>
            <w:vAlign w:val="bottom"/>
          </w:tcPr>
          <w:p>
            <w:pPr>
              <w:spacing w:after="0"/>
              <w:rPr>
                <w:sz w:val="18"/>
                <w:szCs w:val="18"/>
                <w:color w:val="auto"/>
              </w:rPr>
            </w:pPr>
          </w:p>
        </w:tc>
        <w:tc>
          <w:tcPr>
            <w:tcW w:w="11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123</w:t>
            </w:r>
          </w:p>
        </w:tc>
        <w:tc>
          <w:tcPr>
            <w:tcW w:w="14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21,769</w:t>
            </w:r>
          </w:p>
        </w:tc>
        <w:tc>
          <w:tcPr>
            <w:tcW w:w="120" w:type="dxa"/>
            <w:vAlign w:val="bottom"/>
          </w:tcPr>
          <w:p>
            <w:pPr>
              <w:spacing w:after="0"/>
              <w:rPr>
                <w:sz w:val="18"/>
                <w:szCs w:val="18"/>
                <w:color w:val="auto"/>
              </w:rPr>
            </w:pPr>
          </w:p>
        </w:tc>
        <w:tc>
          <w:tcPr>
            <w:tcW w:w="118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226</w:t>
            </w:r>
          </w:p>
        </w:tc>
        <w:tc>
          <w:tcPr>
            <w:tcW w:w="14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8,023</w:t>
            </w:r>
          </w:p>
        </w:tc>
        <w:tc>
          <w:tcPr>
            <w:tcW w:w="100" w:type="dxa"/>
            <w:vAlign w:val="bottom"/>
          </w:tcPr>
          <w:p>
            <w:pPr>
              <w:spacing w:after="0"/>
              <w:rPr>
                <w:sz w:val="18"/>
                <w:szCs w:val="18"/>
                <w:color w:val="auto"/>
              </w:rPr>
            </w:pPr>
          </w:p>
        </w:tc>
        <w:tc>
          <w:tcPr>
            <w:tcW w:w="10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349</w:t>
            </w:r>
          </w:p>
        </w:tc>
        <w:tc>
          <w:tcPr>
            <w:tcW w:w="15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29,792</w:t>
            </w:r>
          </w:p>
        </w:tc>
      </w:tr>
    </w:tbl>
    <w:p>
      <w:pPr>
        <w:spacing w:after="0" w:line="28" w:lineRule="exact"/>
        <w:rPr>
          <w:sz w:val="20"/>
          <w:szCs w:val="20"/>
          <w:color w:val="auto"/>
        </w:rPr>
      </w:pPr>
    </w:p>
    <w:p>
      <w:pPr>
        <w:ind w:left="80" w:hanging="72"/>
        <w:spacing w:after="0"/>
        <w:tabs>
          <w:tab w:leader="none" w:pos="80" w:val="left"/>
        </w:tabs>
        <w:numPr>
          <w:ilvl w:val="0"/>
          <w:numId w:val="11"/>
        </w:numPr>
        <w:rPr>
          <w:rFonts w:ascii="Arial" w:cs="Arial" w:eastAsia="Arial" w:hAnsi="Arial"/>
          <w:sz w:val="9"/>
          <w:szCs w:val="9"/>
          <w:color w:val="auto"/>
        </w:rPr>
      </w:pPr>
      <w:r>
        <w:rPr>
          <w:rFonts w:ascii="Arial" w:cs="Arial" w:eastAsia="Arial" w:hAnsi="Arial"/>
          <w:sz w:val="14"/>
          <w:szCs w:val="14"/>
          <w:color w:val="auto"/>
        </w:rPr>
        <w:t>Other includes seven Trunk Club clubhouses, two Jeffrey boutiques and two Last Chance stores.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80" w:hanging="72"/>
        <w:spacing w:after="0"/>
        <w:tabs>
          <w:tab w:leader="none" w:pos="80" w:val="left"/>
        </w:tabs>
        <w:numPr>
          <w:ilvl w:val="0"/>
          <w:numId w:val="12"/>
        </w:numPr>
        <w:rPr>
          <w:rFonts w:ascii="Arial" w:cs="Arial" w:eastAsia="Arial" w:hAnsi="Arial"/>
          <w:sz w:val="9"/>
          <w:szCs w:val="9"/>
          <w:color w:val="auto"/>
        </w:rPr>
      </w:pPr>
      <w:r>
        <w:rPr>
          <w:rFonts w:ascii="Arial" w:cs="Arial" w:eastAsia="Arial" w:hAnsi="Arial"/>
          <w:sz w:val="14"/>
          <w:szCs w:val="14"/>
          <w:color w:val="auto"/>
        </w:rPr>
        <w:t>California, Texas and Florida had the highest square footage, with a combined 11,203 square feet, representing 38% of the total Company square footage.</w:t>
      </w:r>
    </w:p>
    <w:p>
      <w:pPr>
        <w:sectPr>
          <w:pgSz w:w="11900" w:h="16838" w:orient="portrait"/>
          <w:cols w:equalWidth="0" w:num="1">
            <w:col w:w="11420"/>
          </w:cols>
          <w:pgMar w:left="240" w:top="126" w:right="239" w:bottom="6" w:gutter="0" w:footer="0" w:header="0"/>
        </w:sectPr>
      </w:pPr>
    </w:p>
    <w:p>
      <w:pPr>
        <w:spacing w:after="0" w:line="200" w:lineRule="exact"/>
        <w:rPr>
          <w:sz w:val="20"/>
          <w:szCs w:val="20"/>
          <w:color w:val="auto"/>
        </w:rPr>
      </w:pPr>
    </w:p>
    <w:p>
      <w:pPr>
        <w:spacing w:after="0" w:line="203" w:lineRule="exact"/>
        <w:rPr>
          <w:sz w:val="20"/>
          <w:szCs w:val="20"/>
          <w:color w:val="auto"/>
        </w:rPr>
      </w:pPr>
    </w:p>
    <w:p>
      <w:pPr>
        <w:ind w:left="9580"/>
        <w:spacing w:after="0"/>
        <w:rPr>
          <w:sz w:val="20"/>
          <w:szCs w:val="20"/>
          <w:color w:val="auto"/>
        </w:rPr>
      </w:pPr>
      <w:r>
        <w:rPr>
          <w:rFonts w:ascii="Arial" w:cs="Arial" w:eastAsia="Arial" w:hAnsi="Arial"/>
          <w:sz w:val="11"/>
          <w:szCs w:val="11"/>
          <w:color w:val="auto"/>
        </w:rPr>
        <w:t xml:space="preserve">Nordstrom, Inc. and subsidiaries </w:t>
      </w:r>
      <w:r>
        <w:rPr>
          <w:rFonts w:ascii="Arial" w:cs="Arial" w:eastAsia="Arial" w:hAnsi="Arial"/>
          <w:sz w:val="14"/>
          <w:szCs w:val="14"/>
          <w:color w:val="auto"/>
        </w:rPr>
        <w:t>13</w:t>
      </w:r>
    </w:p>
    <w:p>
      <w:pPr>
        <w:sectPr>
          <w:pgSz w:w="11900" w:h="16838" w:orient="portrait"/>
          <w:cols w:equalWidth="0" w:num="1">
            <w:col w:w="11420"/>
          </w:cols>
          <w:pgMar w:left="240" w:top="126" w:right="239" w:bottom="6" w:gutter="0" w:footer="0" w:header="0"/>
          <w:type w:val="continuous"/>
        </w:sectPr>
      </w:pPr>
    </w:p>
    <w:bookmarkStart w:id="13" w:name="page14"/>
    <w:bookmarkEnd w:id="13"/>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Our headquarters are located in Seattle, Washington, where our offices consist of both leased and owned space. We also lease a facility in Centennial, Colorado.</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For use by our Retail segment, we have:</w:t>
      </w:r>
    </w:p>
    <w:p>
      <w:pPr>
        <w:spacing w:after="0" w:line="117" w:lineRule="exact"/>
        <w:rPr>
          <w:sz w:val="20"/>
          <w:szCs w:val="20"/>
          <w:color w:val="auto"/>
        </w:rPr>
      </w:pPr>
    </w:p>
    <w:p>
      <w:pPr>
        <w:ind w:left="66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six owned merchandise distribution centers (Portland, Oregon; Dubuque, Iowa; Ontario, California; Newark, California; Upper Marlboro, Maryland and Gainesville, Florida),</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two owned fulfillment centers (Cedar Rapids, Iowa and Elizabethtown, Pennsylvania),</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one leased fulfillment center (San Bernardino, California)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three leased administrative offices (Chicago, Illinois; Los Angeles, California and New York City, New York).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For use by our Credit segment, we have:</w:t>
      </w:r>
    </w:p>
    <w:p>
      <w:pPr>
        <w:spacing w:after="0" w:line="117"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two leased office buildings (Centennial, Colorado and Scottsdale, Arizona).</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3. Legal Proceedings.</w:t>
      </w:r>
    </w:p>
    <w:p>
      <w:pPr>
        <w:spacing w:after="0" w:line="16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are subject from time to time to various claims and lawsuits arising in the ordinary course of business, including lawsuits alleging violations of state and/or federal wage and hour and other employment laws, privacy and other consumer-based claims. Some of these lawsuits include certified classes of litigants, or purport or may be determined to be class or collective actions and seek substantial damages or injunctive relief, or both, and some may remain unresolved for several years. We believe the recorded reserves in our Consolidated Financial Statements are adequate in light of the probable and estimable liabilities. As of the date of this report, we do not believe any currently identified claim, proceeding or litigation, either alone or in the aggregate, will have a material impact on our results of operations, financial position or cash flows. Since these matters are subject to inherent uncertainties, our view of them may change in the future.</w:t>
      </w:r>
    </w:p>
    <w:p>
      <w:pPr>
        <w:spacing w:after="0" w:line="13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 Mine Safety Disclosures.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340"/>
          </w:cols>
          <w:pgMar w:left="240" w:top="126" w:right="319" w:bottom="1440" w:gutter="0" w:footer="0" w:header="0"/>
        </w:sectPr>
      </w:pPr>
    </w:p>
    <w:bookmarkStart w:id="14" w:name="page15"/>
    <w:bookmarkEnd w:id="14"/>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II</w:t>
      </w:r>
    </w:p>
    <w:p>
      <w:pPr>
        <w:spacing w:after="0" w:line="166" w:lineRule="exact"/>
        <w:rPr>
          <w:sz w:val="20"/>
          <w:szCs w:val="20"/>
          <w:color w:val="auto"/>
        </w:rPr>
      </w:pPr>
    </w:p>
    <w:p>
      <w:pPr>
        <w:jc w:val="center"/>
        <w:ind w:right="200"/>
        <w:spacing w:after="0"/>
        <w:rPr>
          <w:sz w:val="20"/>
          <w:szCs w:val="20"/>
          <w:color w:val="auto"/>
        </w:rPr>
      </w:pPr>
      <w:r>
        <w:rPr>
          <w:rFonts w:ascii="Arial" w:cs="Arial" w:eastAsia="Arial" w:hAnsi="Arial"/>
          <w:sz w:val="19"/>
          <w:szCs w:val="19"/>
          <w:b w:val="1"/>
          <w:bCs w:val="1"/>
          <w:color w:val="auto"/>
        </w:rPr>
        <w:t>Item 5. Market for Registrant’s Common Equity, Related Shareholder Matters and Issuer Purchases of Equity Securities.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SHAREHOLDER AND DIVIDEND INFORMATION</w:t>
      </w:r>
    </w:p>
    <w:p>
      <w:pPr>
        <w:spacing w:after="0" w:line="2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Our common stock, without par value, is traded on the New York Stock Exchange under the symbol “JWN.” The approximate number of holders of common stock as of March 7, 2017 was 219,000 based upon the number of registered and beneficial shareholders and the number of employee shareholders in the Nordstrom 401(k) Plan. On this date we had 166,851,252 shares of common stock outstanding.</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The high and low prices of our common stock and dividends declared for each quarter of 2016 and 2015 are presented in the table below:</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80" w:type="dxa"/>
            <w:vAlign w:val="bottom"/>
            <w:gridSpan w:val="3"/>
          </w:tcPr>
          <w:p>
            <w:pPr>
              <w:ind w:left="500"/>
              <w:spacing w:after="0"/>
              <w:rPr>
                <w:sz w:val="20"/>
                <w:szCs w:val="20"/>
                <w:color w:val="auto"/>
              </w:rPr>
            </w:pPr>
            <w:r>
              <w:rPr>
                <w:rFonts w:ascii="Arial" w:cs="Arial" w:eastAsia="Arial" w:hAnsi="Arial"/>
                <w:sz w:val="16"/>
                <w:szCs w:val="16"/>
                <w:b w:val="1"/>
                <w:bCs w:val="1"/>
                <w:color w:val="auto"/>
              </w:rPr>
              <w:t>Common Stock Price</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33"/>
        </w:trPr>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Borders>
              <w:bottom w:val="single" w:sz="8" w:color="auto"/>
            </w:tcBorders>
            <w:gridSpan w:val="3"/>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3060" w:type="dxa"/>
            <w:vAlign w:val="bottom"/>
            <w:gridSpan w:val="3"/>
          </w:tcPr>
          <w:p>
            <w:pPr>
              <w:spacing w:after="0"/>
              <w:rPr>
                <w:sz w:val="2"/>
                <w:szCs w:val="2"/>
                <w:color w:val="auto"/>
              </w:rPr>
            </w:pPr>
          </w:p>
        </w:tc>
      </w:tr>
      <w:tr>
        <w:trPr>
          <w:trHeight w:val="231"/>
        </w:trPr>
        <w:tc>
          <w:tcPr>
            <w:tcW w:w="1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20" w:type="dxa"/>
            <w:vAlign w:val="bottom"/>
            <w:gridSpan w:val="3"/>
          </w:tcPr>
          <w:p>
            <w:pPr>
              <w:jc w:val="right"/>
              <w:ind w:right="200"/>
              <w:spacing w:after="0"/>
              <w:rPr>
                <w:sz w:val="20"/>
                <w:szCs w:val="20"/>
                <w:color w:val="auto"/>
              </w:rPr>
            </w:pPr>
            <w:r>
              <w:rPr>
                <w:rFonts w:ascii="Arial" w:cs="Arial" w:eastAsia="Arial" w:hAnsi="Arial"/>
                <w:sz w:val="16"/>
                <w:szCs w:val="16"/>
                <w:b w:val="1"/>
                <w:bCs w:val="1"/>
                <w:color w:val="auto"/>
              </w:rPr>
              <w:t>2016</w:t>
            </w: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900" w:type="dxa"/>
            <w:vAlign w:val="bottom"/>
            <w:gridSpan w:val="3"/>
          </w:tcPr>
          <w:p>
            <w:pPr>
              <w:jc w:val="right"/>
              <w:ind w:right="129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3060" w:type="dxa"/>
            <w:vAlign w:val="bottom"/>
            <w:gridSpan w:val="3"/>
          </w:tcPr>
          <w:p>
            <w:pPr>
              <w:ind w:left="840"/>
              <w:spacing w:after="0"/>
              <w:rPr>
                <w:sz w:val="20"/>
                <w:szCs w:val="20"/>
                <w:color w:val="auto"/>
              </w:rPr>
            </w:pPr>
            <w:r>
              <w:rPr>
                <w:rFonts w:ascii="Arial" w:cs="Arial" w:eastAsia="Arial" w:hAnsi="Arial"/>
                <w:sz w:val="16"/>
                <w:szCs w:val="16"/>
                <w:b w:val="1"/>
                <w:bCs w:val="1"/>
                <w:color w:val="auto"/>
              </w:rPr>
              <w:t>Dividends per Share</w:t>
            </w:r>
          </w:p>
        </w:tc>
      </w:tr>
      <w:tr>
        <w:trPr>
          <w:trHeight w:val="33"/>
        </w:trPr>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Borders>
              <w:bottom w:val="single" w:sz="8" w:color="auto"/>
            </w:tcBorders>
            <w:gridSpan w:val="3"/>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1"/>
        </w:trPr>
        <w:tc>
          <w:tcPr>
            <w:tcW w:w="1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20" w:type="dxa"/>
            <w:vAlign w:val="bottom"/>
            <w:gridSpan w:val="3"/>
          </w:tcPr>
          <w:p>
            <w:pPr>
              <w:jc w:val="center"/>
              <w:ind w:right="420"/>
              <w:spacing w:after="0"/>
              <w:rPr>
                <w:sz w:val="20"/>
                <w:szCs w:val="20"/>
                <w:color w:val="auto"/>
              </w:rPr>
            </w:pPr>
            <w:r>
              <w:rPr>
                <w:rFonts w:ascii="Arial" w:cs="Arial" w:eastAsia="Arial" w:hAnsi="Arial"/>
                <w:sz w:val="16"/>
                <w:szCs w:val="16"/>
                <w:b w:val="1"/>
                <w:bCs w:val="1"/>
                <w:color w:val="auto"/>
                <w:w w:val="95"/>
              </w:rPr>
              <w:t>High</w:t>
            </w:r>
          </w:p>
        </w:tc>
        <w:tc>
          <w:tcPr>
            <w:tcW w:w="130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3"/>
              </w:rPr>
              <w:t>Low</w:t>
            </w:r>
          </w:p>
        </w:tc>
        <w:tc>
          <w:tcPr>
            <w:tcW w:w="1180" w:type="dxa"/>
            <w:vAlign w:val="bottom"/>
          </w:tcPr>
          <w:p>
            <w:pPr>
              <w:jc w:val="center"/>
              <w:ind w:left="239"/>
              <w:spacing w:after="0"/>
              <w:rPr>
                <w:sz w:val="20"/>
                <w:szCs w:val="20"/>
                <w:color w:val="auto"/>
              </w:rPr>
            </w:pPr>
            <w:r>
              <w:rPr>
                <w:rFonts w:ascii="Arial" w:cs="Arial" w:eastAsia="Arial" w:hAnsi="Arial"/>
                <w:sz w:val="16"/>
                <w:szCs w:val="16"/>
                <w:b w:val="1"/>
                <w:bCs w:val="1"/>
                <w:color w:val="auto"/>
                <w:w w:val="95"/>
              </w:rPr>
              <w:t>High</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3"/>
              </w:rPr>
              <w:t>Low</w:t>
            </w: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w w:val="89"/>
              </w:rPr>
              <w:t>2016</w:t>
            </w:r>
          </w:p>
        </w:tc>
        <w:tc>
          <w:tcPr>
            <w:tcW w:w="10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w w:val="89"/>
              </w:rPr>
              <w:t>2015</w:t>
            </w:r>
          </w:p>
        </w:tc>
      </w:tr>
      <w:tr>
        <w:trPr>
          <w:trHeight w:val="33"/>
        </w:trPr>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0"/>
        </w:trPr>
        <w:tc>
          <w:tcPr>
            <w:tcW w:w="19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1st Quarter</w:t>
            </w:r>
          </w:p>
        </w:tc>
        <w:tc>
          <w:tcPr>
            <w:tcW w:w="1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b w:val="1"/>
                <w:bCs w:val="1"/>
                <w:color w:val="auto"/>
                <w:w w:val="93"/>
              </w:rPr>
              <w:t>$59.37</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center"/>
              <w:ind w:right="219"/>
              <w:spacing w:after="0"/>
              <w:rPr>
                <w:sz w:val="20"/>
                <w:szCs w:val="20"/>
                <w:color w:val="auto"/>
              </w:rPr>
            </w:pPr>
            <w:r>
              <w:rPr>
                <w:rFonts w:ascii="Arial" w:cs="Arial" w:eastAsia="Arial" w:hAnsi="Arial"/>
                <w:sz w:val="16"/>
                <w:szCs w:val="16"/>
                <w:b w:val="1"/>
                <w:bCs w:val="1"/>
                <w:color w:val="auto"/>
                <w:w w:val="89"/>
              </w:rPr>
              <w:t>$46.65</w:t>
            </w:r>
          </w:p>
        </w:tc>
        <w:tc>
          <w:tcPr>
            <w:tcW w:w="1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center"/>
              <w:ind w:left="219"/>
              <w:spacing w:after="0"/>
              <w:rPr>
                <w:sz w:val="20"/>
                <w:szCs w:val="20"/>
                <w:color w:val="auto"/>
              </w:rPr>
            </w:pPr>
            <w:r>
              <w:rPr>
                <w:rFonts w:ascii="Arial" w:cs="Arial" w:eastAsia="Arial" w:hAnsi="Arial"/>
                <w:sz w:val="16"/>
                <w:szCs w:val="16"/>
                <w:color w:val="auto"/>
                <w:w w:val="89"/>
              </w:rPr>
              <w:t>$83.16</w:t>
            </w:r>
          </w:p>
        </w:tc>
        <w:tc>
          <w:tcPr>
            <w:tcW w:w="1900" w:type="dxa"/>
            <w:vAlign w:val="bottom"/>
            <w:tcBorders>
              <w:bottom w:val="single" w:sz="8" w:color="CCEEFF"/>
            </w:tcBorders>
            <w:gridSpan w:val="3"/>
            <w:shd w:val="clear" w:color="auto" w:fill="CCEEFF"/>
          </w:tcPr>
          <w:p>
            <w:pPr>
              <w:jc w:val="center"/>
              <w:ind w:left="339"/>
              <w:spacing w:after="0"/>
              <w:rPr>
                <w:sz w:val="20"/>
                <w:szCs w:val="20"/>
                <w:color w:val="auto"/>
              </w:rPr>
            </w:pPr>
            <w:r>
              <w:rPr>
                <w:rFonts w:ascii="Arial" w:cs="Arial" w:eastAsia="Arial" w:hAnsi="Arial"/>
                <w:sz w:val="16"/>
                <w:szCs w:val="16"/>
                <w:color w:val="auto"/>
                <w:w w:val="89"/>
              </w:rPr>
              <w:t>$74.51</w:t>
            </w: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b w:val="1"/>
                <w:bCs w:val="1"/>
                <w:color w:val="auto"/>
                <w:w w:val="89"/>
              </w:rPr>
              <w:t>$0.37</w:t>
            </w: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$0.37</w:t>
            </w:r>
          </w:p>
        </w:tc>
      </w:tr>
      <w:tr>
        <w:trPr>
          <w:trHeight w:val="237"/>
        </w:trPr>
        <w:tc>
          <w:tcPr>
            <w:tcW w:w="1960" w:type="dxa"/>
            <w:vAlign w:val="bottom"/>
            <w:gridSpan w:val="2"/>
          </w:tcPr>
          <w:p>
            <w:pPr>
              <w:ind w:left="180"/>
              <w:spacing w:after="0"/>
              <w:rPr>
                <w:sz w:val="20"/>
                <w:szCs w:val="20"/>
                <w:color w:val="auto"/>
              </w:rPr>
            </w:pPr>
            <w:r>
              <w:rPr>
                <w:rFonts w:ascii="Arial" w:cs="Arial" w:eastAsia="Arial" w:hAnsi="Arial"/>
                <w:sz w:val="16"/>
                <w:szCs w:val="16"/>
                <w:color w:val="auto"/>
              </w:rPr>
              <w:t>2nd Quarter</w:t>
            </w:r>
          </w:p>
        </w:tc>
        <w:tc>
          <w:tcPr>
            <w:tcW w:w="1500" w:type="dxa"/>
            <w:vAlign w:val="bottom"/>
          </w:tcPr>
          <w:p>
            <w:pPr>
              <w:jc w:val="center"/>
              <w:spacing w:after="0"/>
              <w:rPr>
                <w:sz w:val="20"/>
                <w:szCs w:val="20"/>
                <w:color w:val="auto"/>
              </w:rPr>
            </w:pPr>
            <w:r>
              <w:rPr>
                <w:rFonts w:ascii="Arial" w:cs="Arial" w:eastAsia="Arial" w:hAnsi="Arial"/>
                <w:sz w:val="16"/>
                <w:szCs w:val="16"/>
                <w:b w:val="1"/>
                <w:bCs w:val="1"/>
                <w:color w:val="auto"/>
                <w:w w:val="93"/>
              </w:rPr>
              <w:t>$51.74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center"/>
              <w:ind w:right="219"/>
              <w:spacing w:after="0"/>
              <w:rPr>
                <w:sz w:val="20"/>
                <w:szCs w:val="20"/>
                <w:color w:val="auto"/>
              </w:rPr>
            </w:pPr>
            <w:r>
              <w:rPr>
                <w:rFonts w:ascii="Arial" w:cs="Arial" w:eastAsia="Arial" w:hAnsi="Arial"/>
                <w:sz w:val="16"/>
                <w:szCs w:val="16"/>
                <w:b w:val="1"/>
                <w:bCs w:val="1"/>
                <w:color w:val="auto"/>
                <w:w w:val="89"/>
              </w:rPr>
              <w:t>$35.01</w:t>
            </w:r>
          </w:p>
        </w:tc>
        <w:tc>
          <w:tcPr>
            <w:tcW w:w="120" w:type="dxa"/>
            <w:vAlign w:val="bottom"/>
          </w:tcPr>
          <w:p>
            <w:pPr>
              <w:spacing w:after="0"/>
              <w:rPr>
                <w:sz w:val="20"/>
                <w:szCs w:val="20"/>
                <w:color w:val="auto"/>
              </w:rPr>
            </w:pPr>
          </w:p>
        </w:tc>
        <w:tc>
          <w:tcPr>
            <w:tcW w:w="1180" w:type="dxa"/>
            <w:vAlign w:val="bottom"/>
          </w:tcPr>
          <w:p>
            <w:pPr>
              <w:jc w:val="center"/>
              <w:ind w:left="219"/>
              <w:spacing w:after="0"/>
              <w:rPr>
                <w:sz w:val="20"/>
                <w:szCs w:val="20"/>
                <w:color w:val="auto"/>
              </w:rPr>
            </w:pPr>
            <w:r>
              <w:rPr>
                <w:rFonts w:ascii="Arial" w:cs="Arial" w:eastAsia="Arial" w:hAnsi="Arial"/>
                <w:sz w:val="16"/>
                <w:szCs w:val="16"/>
                <w:color w:val="auto"/>
                <w:w w:val="89"/>
              </w:rPr>
              <w:t>$80.23</w:t>
            </w:r>
          </w:p>
        </w:tc>
        <w:tc>
          <w:tcPr>
            <w:tcW w:w="1900" w:type="dxa"/>
            <w:vAlign w:val="bottom"/>
            <w:gridSpan w:val="3"/>
          </w:tcPr>
          <w:p>
            <w:pPr>
              <w:jc w:val="center"/>
              <w:ind w:left="339"/>
              <w:spacing w:after="0"/>
              <w:rPr>
                <w:sz w:val="20"/>
                <w:szCs w:val="20"/>
                <w:color w:val="auto"/>
              </w:rPr>
            </w:pPr>
            <w:r>
              <w:rPr>
                <w:rFonts w:ascii="Arial" w:cs="Arial" w:eastAsia="Arial" w:hAnsi="Arial"/>
                <w:sz w:val="16"/>
                <w:szCs w:val="16"/>
                <w:color w:val="auto"/>
                <w:w w:val="89"/>
              </w:rPr>
              <w:t>$72.01</w:t>
            </w:r>
          </w:p>
        </w:tc>
        <w:tc>
          <w:tcPr>
            <w:tcW w:w="10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w w:val="89"/>
              </w:rPr>
              <w:t>$0.37</w:t>
            </w:r>
          </w:p>
        </w:tc>
        <w:tc>
          <w:tcPr>
            <w:tcW w:w="10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6"/>
                <w:szCs w:val="16"/>
                <w:color w:val="auto"/>
                <w:w w:val="89"/>
              </w:rPr>
              <w:t>$0.37</w:t>
            </w:r>
          </w:p>
        </w:tc>
      </w:tr>
      <w:tr>
        <w:trPr>
          <w:trHeight w:val="33"/>
        </w:trPr>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19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3rd Quarter</w:t>
            </w:r>
          </w:p>
        </w:tc>
        <w:tc>
          <w:tcPr>
            <w:tcW w:w="1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b w:val="1"/>
                <w:bCs w:val="1"/>
                <w:color w:val="auto"/>
                <w:w w:val="93"/>
              </w:rPr>
              <w:t>$55.23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center"/>
              <w:ind w:right="219"/>
              <w:spacing w:after="0"/>
              <w:rPr>
                <w:sz w:val="20"/>
                <w:szCs w:val="20"/>
                <w:color w:val="auto"/>
              </w:rPr>
            </w:pPr>
            <w:r>
              <w:rPr>
                <w:rFonts w:ascii="Arial" w:cs="Arial" w:eastAsia="Arial" w:hAnsi="Arial"/>
                <w:sz w:val="16"/>
                <w:szCs w:val="16"/>
                <w:b w:val="1"/>
                <w:bCs w:val="1"/>
                <w:color w:val="auto"/>
                <w:w w:val="89"/>
              </w:rPr>
              <w:t>$39.05</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center"/>
              <w:ind w:left="219"/>
              <w:spacing w:after="0"/>
              <w:rPr>
                <w:sz w:val="20"/>
                <w:szCs w:val="20"/>
                <w:color w:val="auto"/>
              </w:rPr>
            </w:pPr>
            <w:r>
              <w:rPr>
                <w:rFonts w:ascii="Arial" w:cs="Arial" w:eastAsia="Arial" w:hAnsi="Arial"/>
                <w:sz w:val="16"/>
                <w:szCs w:val="16"/>
                <w:color w:val="auto"/>
                <w:w w:val="89"/>
              </w:rPr>
              <w:t>$79.98</w:t>
            </w:r>
          </w:p>
        </w:tc>
        <w:tc>
          <w:tcPr>
            <w:tcW w:w="1900" w:type="dxa"/>
            <w:vAlign w:val="bottom"/>
            <w:tcBorders>
              <w:bottom w:val="single" w:sz="8" w:color="CCEEFF"/>
            </w:tcBorders>
            <w:gridSpan w:val="3"/>
            <w:shd w:val="clear" w:color="auto" w:fill="CCEEFF"/>
          </w:tcPr>
          <w:p>
            <w:pPr>
              <w:jc w:val="center"/>
              <w:ind w:left="339"/>
              <w:spacing w:after="0"/>
              <w:rPr>
                <w:sz w:val="20"/>
                <w:szCs w:val="20"/>
                <w:color w:val="auto"/>
              </w:rPr>
            </w:pPr>
            <w:r>
              <w:rPr>
                <w:rFonts w:ascii="Arial" w:cs="Arial" w:eastAsia="Arial" w:hAnsi="Arial"/>
                <w:sz w:val="16"/>
                <w:szCs w:val="16"/>
                <w:color w:val="auto"/>
                <w:w w:val="89"/>
              </w:rPr>
              <w:t>$63.73</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b w:val="1"/>
                <w:bCs w:val="1"/>
                <w:color w:val="auto"/>
                <w:w w:val="89"/>
              </w:rPr>
              <w:t>$0.37</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$5.22</w:t>
            </w:r>
          </w:p>
        </w:tc>
      </w:tr>
      <w:tr>
        <w:trPr>
          <w:trHeight w:val="237"/>
        </w:trPr>
        <w:tc>
          <w:tcPr>
            <w:tcW w:w="1960" w:type="dxa"/>
            <w:vAlign w:val="bottom"/>
            <w:gridSpan w:val="2"/>
          </w:tcPr>
          <w:p>
            <w:pPr>
              <w:ind w:left="180"/>
              <w:spacing w:after="0"/>
              <w:rPr>
                <w:sz w:val="20"/>
                <w:szCs w:val="20"/>
                <w:color w:val="auto"/>
              </w:rPr>
            </w:pPr>
            <w:r>
              <w:rPr>
                <w:rFonts w:ascii="Arial" w:cs="Arial" w:eastAsia="Arial" w:hAnsi="Arial"/>
                <w:sz w:val="16"/>
                <w:szCs w:val="16"/>
                <w:color w:val="auto"/>
              </w:rPr>
              <w:t>4th Quarter</w:t>
            </w:r>
          </w:p>
        </w:tc>
        <w:tc>
          <w:tcPr>
            <w:tcW w:w="1500" w:type="dxa"/>
            <w:vAlign w:val="bottom"/>
          </w:tcPr>
          <w:p>
            <w:pPr>
              <w:jc w:val="center"/>
              <w:spacing w:after="0"/>
              <w:rPr>
                <w:sz w:val="20"/>
                <w:szCs w:val="20"/>
                <w:color w:val="auto"/>
              </w:rPr>
            </w:pPr>
            <w:r>
              <w:rPr>
                <w:rFonts w:ascii="Arial" w:cs="Arial" w:eastAsia="Arial" w:hAnsi="Arial"/>
                <w:sz w:val="16"/>
                <w:szCs w:val="16"/>
                <w:b w:val="1"/>
                <w:bCs w:val="1"/>
                <w:color w:val="auto"/>
                <w:w w:val="93"/>
              </w:rPr>
              <w:t>$62.82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center"/>
              <w:ind w:right="219"/>
              <w:spacing w:after="0"/>
              <w:rPr>
                <w:sz w:val="20"/>
                <w:szCs w:val="20"/>
                <w:color w:val="auto"/>
              </w:rPr>
            </w:pPr>
            <w:r>
              <w:rPr>
                <w:rFonts w:ascii="Arial" w:cs="Arial" w:eastAsia="Arial" w:hAnsi="Arial"/>
                <w:sz w:val="16"/>
                <w:szCs w:val="16"/>
                <w:b w:val="1"/>
                <w:bCs w:val="1"/>
                <w:color w:val="auto"/>
                <w:w w:val="89"/>
              </w:rPr>
              <w:t>$42.32</w:t>
            </w:r>
          </w:p>
        </w:tc>
        <w:tc>
          <w:tcPr>
            <w:tcW w:w="120" w:type="dxa"/>
            <w:vAlign w:val="bottom"/>
          </w:tcPr>
          <w:p>
            <w:pPr>
              <w:spacing w:after="0"/>
              <w:rPr>
                <w:sz w:val="20"/>
                <w:szCs w:val="20"/>
                <w:color w:val="auto"/>
              </w:rPr>
            </w:pPr>
          </w:p>
        </w:tc>
        <w:tc>
          <w:tcPr>
            <w:tcW w:w="1180" w:type="dxa"/>
            <w:vAlign w:val="bottom"/>
          </w:tcPr>
          <w:p>
            <w:pPr>
              <w:jc w:val="center"/>
              <w:ind w:left="219"/>
              <w:spacing w:after="0"/>
              <w:rPr>
                <w:sz w:val="20"/>
                <w:szCs w:val="20"/>
                <w:color w:val="auto"/>
              </w:rPr>
            </w:pPr>
            <w:r>
              <w:rPr>
                <w:rFonts w:ascii="Arial" w:cs="Arial" w:eastAsia="Arial" w:hAnsi="Arial"/>
                <w:sz w:val="16"/>
                <w:szCs w:val="16"/>
                <w:color w:val="auto"/>
                <w:w w:val="89"/>
              </w:rPr>
              <w:t>$67.27</w:t>
            </w:r>
          </w:p>
        </w:tc>
        <w:tc>
          <w:tcPr>
            <w:tcW w:w="1900" w:type="dxa"/>
            <w:vAlign w:val="bottom"/>
            <w:gridSpan w:val="3"/>
          </w:tcPr>
          <w:p>
            <w:pPr>
              <w:jc w:val="center"/>
              <w:ind w:left="339"/>
              <w:spacing w:after="0"/>
              <w:rPr>
                <w:sz w:val="20"/>
                <w:szCs w:val="20"/>
                <w:color w:val="auto"/>
              </w:rPr>
            </w:pPr>
            <w:r>
              <w:rPr>
                <w:rFonts w:ascii="Arial" w:cs="Arial" w:eastAsia="Arial" w:hAnsi="Arial"/>
                <w:sz w:val="16"/>
                <w:szCs w:val="16"/>
                <w:color w:val="auto"/>
                <w:w w:val="89"/>
              </w:rPr>
              <w:t>$44.49</w:t>
            </w:r>
          </w:p>
        </w:tc>
        <w:tc>
          <w:tcPr>
            <w:tcW w:w="10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w w:val="89"/>
              </w:rPr>
              <w:t>$0.37</w:t>
            </w:r>
          </w:p>
        </w:tc>
        <w:tc>
          <w:tcPr>
            <w:tcW w:w="10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6"/>
                <w:szCs w:val="16"/>
                <w:color w:val="auto"/>
                <w:w w:val="89"/>
              </w:rPr>
              <w:t>$0.37</w:t>
            </w:r>
          </w:p>
        </w:tc>
      </w:tr>
      <w:tr>
        <w:trPr>
          <w:trHeight w:val="33"/>
        </w:trPr>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19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Full Year</w:t>
            </w:r>
          </w:p>
        </w:tc>
        <w:tc>
          <w:tcPr>
            <w:tcW w:w="1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b w:val="1"/>
                <w:bCs w:val="1"/>
                <w:color w:val="auto"/>
                <w:w w:val="93"/>
              </w:rPr>
              <w:t>$62.82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center"/>
              <w:ind w:right="219"/>
              <w:spacing w:after="0"/>
              <w:rPr>
                <w:sz w:val="20"/>
                <w:szCs w:val="20"/>
                <w:color w:val="auto"/>
              </w:rPr>
            </w:pPr>
            <w:r>
              <w:rPr>
                <w:rFonts w:ascii="Arial" w:cs="Arial" w:eastAsia="Arial" w:hAnsi="Arial"/>
                <w:sz w:val="16"/>
                <w:szCs w:val="16"/>
                <w:b w:val="1"/>
                <w:bCs w:val="1"/>
                <w:color w:val="auto"/>
                <w:w w:val="89"/>
              </w:rPr>
              <w:t>$35.01</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center"/>
              <w:ind w:left="219"/>
              <w:spacing w:after="0"/>
              <w:rPr>
                <w:sz w:val="20"/>
                <w:szCs w:val="20"/>
                <w:color w:val="auto"/>
              </w:rPr>
            </w:pPr>
            <w:r>
              <w:rPr>
                <w:rFonts w:ascii="Arial" w:cs="Arial" w:eastAsia="Arial" w:hAnsi="Arial"/>
                <w:sz w:val="16"/>
                <w:szCs w:val="16"/>
                <w:color w:val="auto"/>
                <w:w w:val="89"/>
              </w:rPr>
              <w:t>$83.16</w:t>
            </w:r>
          </w:p>
        </w:tc>
        <w:tc>
          <w:tcPr>
            <w:tcW w:w="1900" w:type="dxa"/>
            <w:vAlign w:val="bottom"/>
            <w:tcBorders>
              <w:bottom w:val="single" w:sz="8" w:color="CCEEFF"/>
            </w:tcBorders>
            <w:gridSpan w:val="3"/>
            <w:shd w:val="clear" w:color="auto" w:fill="CCEEFF"/>
          </w:tcPr>
          <w:p>
            <w:pPr>
              <w:jc w:val="center"/>
              <w:ind w:left="339"/>
              <w:spacing w:after="0"/>
              <w:rPr>
                <w:sz w:val="20"/>
                <w:szCs w:val="20"/>
                <w:color w:val="auto"/>
              </w:rPr>
            </w:pPr>
            <w:r>
              <w:rPr>
                <w:rFonts w:ascii="Arial" w:cs="Arial" w:eastAsia="Arial" w:hAnsi="Arial"/>
                <w:sz w:val="16"/>
                <w:szCs w:val="16"/>
                <w:color w:val="auto"/>
                <w:w w:val="89"/>
              </w:rPr>
              <w:t>$44.49</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b w:val="1"/>
                <w:bCs w:val="1"/>
                <w:color w:val="auto"/>
                <w:w w:val="89"/>
              </w:rPr>
              <w:t>$1.48</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$6.33</w:t>
            </w:r>
          </w:p>
        </w:tc>
      </w:tr>
      <w:tr>
        <w:trPr>
          <w:trHeight w:val="20"/>
        </w:trPr>
        <w:tc>
          <w:tcPr>
            <w:tcW w:w="1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and share amounts in millions, except per share amounts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fourth quarter share repurchases: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64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460" w:type="dxa"/>
            <w:vAlign w:val="bottom"/>
          </w:tcPr>
          <w:p>
            <w:pPr>
              <w:jc w:val="right"/>
              <w:ind w:right="359"/>
              <w:spacing w:after="0"/>
              <w:rPr>
                <w:sz w:val="20"/>
                <w:szCs w:val="20"/>
                <w:color w:val="auto"/>
              </w:rPr>
            </w:pPr>
            <w:r>
              <w:rPr>
                <w:rFonts w:ascii="Arial" w:cs="Arial" w:eastAsia="Arial" w:hAnsi="Arial"/>
                <w:sz w:val="16"/>
                <w:szCs w:val="16"/>
                <w:b w:val="1"/>
                <w:bCs w:val="1"/>
                <w:color w:val="auto"/>
              </w:rPr>
              <w:t>Total Number of Shares</w:t>
            </w:r>
          </w:p>
        </w:tc>
        <w:tc>
          <w:tcPr>
            <w:tcW w:w="2380" w:type="dxa"/>
            <w:vAlign w:val="bottom"/>
          </w:tcPr>
          <w:p>
            <w:pPr>
              <w:jc w:val="right"/>
              <w:ind w:right="19"/>
              <w:spacing w:after="0"/>
              <w:rPr>
                <w:sz w:val="20"/>
                <w:szCs w:val="20"/>
                <w:color w:val="auto"/>
              </w:rPr>
            </w:pPr>
            <w:r>
              <w:rPr>
                <w:rFonts w:ascii="Arial" w:cs="Arial" w:eastAsia="Arial" w:hAnsi="Arial"/>
                <w:sz w:val="16"/>
                <w:szCs w:val="16"/>
                <w:b w:val="1"/>
                <w:bCs w:val="1"/>
                <w:color w:val="auto"/>
              </w:rPr>
              <w:t>Approximate Dollar Value</w:t>
            </w:r>
          </w:p>
        </w:tc>
      </w:tr>
      <w:tr>
        <w:trPr>
          <w:trHeight w:val="203"/>
        </w:trPr>
        <w:tc>
          <w:tcPr>
            <w:tcW w:w="2640" w:type="dxa"/>
            <w:vAlign w:val="bottom"/>
          </w:tcPr>
          <w:p>
            <w:pPr>
              <w:spacing w:after="0"/>
              <w:rPr>
                <w:sz w:val="17"/>
                <w:szCs w:val="17"/>
                <w:color w:val="auto"/>
              </w:rPr>
            </w:pPr>
          </w:p>
        </w:tc>
        <w:tc>
          <w:tcPr>
            <w:tcW w:w="2460" w:type="dxa"/>
            <w:vAlign w:val="bottom"/>
          </w:tcPr>
          <w:p>
            <w:pPr>
              <w:jc w:val="right"/>
              <w:ind w:right="319"/>
              <w:spacing w:after="0"/>
              <w:rPr>
                <w:sz w:val="20"/>
                <w:szCs w:val="20"/>
                <w:color w:val="auto"/>
              </w:rPr>
            </w:pPr>
            <w:r>
              <w:rPr>
                <w:rFonts w:ascii="Arial" w:cs="Arial" w:eastAsia="Arial" w:hAnsi="Arial"/>
                <w:sz w:val="16"/>
                <w:szCs w:val="16"/>
                <w:b w:val="1"/>
                <w:bCs w:val="1"/>
                <w:color w:val="auto"/>
              </w:rPr>
              <w:t>Total Number</w:t>
            </w:r>
          </w:p>
        </w:tc>
        <w:tc>
          <w:tcPr>
            <w:tcW w:w="1480" w:type="dxa"/>
            <w:vAlign w:val="bottom"/>
          </w:tcPr>
          <w:p>
            <w:pPr>
              <w:jc w:val="right"/>
              <w:ind w:right="299"/>
              <w:spacing w:after="0"/>
              <w:rPr>
                <w:sz w:val="20"/>
                <w:szCs w:val="20"/>
                <w:color w:val="auto"/>
              </w:rPr>
            </w:pPr>
            <w:r>
              <w:rPr>
                <w:rFonts w:ascii="Arial" w:cs="Arial" w:eastAsia="Arial" w:hAnsi="Arial"/>
                <w:sz w:val="16"/>
                <w:szCs w:val="16"/>
                <w:b w:val="1"/>
                <w:bCs w:val="1"/>
                <w:color w:val="auto"/>
              </w:rPr>
              <w:t>Average</w:t>
            </w:r>
          </w:p>
        </w:tc>
        <w:tc>
          <w:tcPr>
            <w:tcW w:w="2460" w:type="dxa"/>
            <w:vAlign w:val="bottom"/>
          </w:tcPr>
          <w:p>
            <w:pPr>
              <w:jc w:val="right"/>
              <w:ind w:right="359"/>
              <w:spacing w:after="0"/>
              <w:rPr>
                <w:sz w:val="20"/>
                <w:szCs w:val="20"/>
                <w:color w:val="auto"/>
              </w:rPr>
            </w:pPr>
            <w:r>
              <w:rPr>
                <w:rFonts w:ascii="Arial" w:cs="Arial" w:eastAsia="Arial" w:hAnsi="Arial"/>
                <w:sz w:val="16"/>
                <w:szCs w:val="16"/>
                <w:b w:val="1"/>
                <w:bCs w:val="1"/>
                <w:color w:val="auto"/>
              </w:rPr>
              <w:t>Purchased as Part of</w:t>
            </w:r>
          </w:p>
        </w:tc>
        <w:tc>
          <w:tcPr>
            <w:tcW w:w="2380" w:type="dxa"/>
            <w:vAlign w:val="bottom"/>
          </w:tcPr>
          <w:p>
            <w:pPr>
              <w:jc w:val="right"/>
              <w:ind w:right="19"/>
              <w:spacing w:after="0"/>
              <w:rPr>
                <w:sz w:val="20"/>
                <w:szCs w:val="20"/>
                <w:color w:val="auto"/>
              </w:rPr>
            </w:pPr>
            <w:r>
              <w:rPr>
                <w:rFonts w:ascii="Arial" w:cs="Arial" w:eastAsia="Arial" w:hAnsi="Arial"/>
                <w:sz w:val="16"/>
                <w:szCs w:val="16"/>
                <w:b w:val="1"/>
                <w:bCs w:val="1"/>
                <w:color w:val="auto"/>
              </w:rPr>
              <w:t>of Shares that May</w:t>
            </w:r>
          </w:p>
        </w:tc>
      </w:tr>
      <w:tr>
        <w:trPr>
          <w:trHeight w:val="203"/>
        </w:trPr>
        <w:tc>
          <w:tcPr>
            <w:tcW w:w="2640" w:type="dxa"/>
            <w:vAlign w:val="bottom"/>
          </w:tcPr>
          <w:p>
            <w:pPr>
              <w:spacing w:after="0"/>
              <w:rPr>
                <w:sz w:val="17"/>
                <w:szCs w:val="17"/>
                <w:color w:val="auto"/>
              </w:rPr>
            </w:pPr>
          </w:p>
        </w:tc>
        <w:tc>
          <w:tcPr>
            <w:tcW w:w="2460" w:type="dxa"/>
            <w:vAlign w:val="bottom"/>
          </w:tcPr>
          <w:p>
            <w:pPr>
              <w:jc w:val="right"/>
              <w:ind w:right="319"/>
              <w:spacing w:after="0"/>
              <w:rPr>
                <w:sz w:val="20"/>
                <w:szCs w:val="20"/>
                <w:color w:val="auto"/>
              </w:rPr>
            </w:pPr>
            <w:r>
              <w:rPr>
                <w:rFonts w:ascii="Arial" w:cs="Arial" w:eastAsia="Arial" w:hAnsi="Arial"/>
                <w:sz w:val="16"/>
                <w:szCs w:val="16"/>
                <w:b w:val="1"/>
                <w:bCs w:val="1"/>
                <w:color w:val="auto"/>
              </w:rPr>
              <w:t>of Shares</w:t>
            </w:r>
          </w:p>
        </w:tc>
        <w:tc>
          <w:tcPr>
            <w:tcW w:w="1480" w:type="dxa"/>
            <w:vAlign w:val="bottom"/>
          </w:tcPr>
          <w:p>
            <w:pPr>
              <w:jc w:val="right"/>
              <w:ind w:right="299"/>
              <w:spacing w:after="0"/>
              <w:rPr>
                <w:sz w:val="20"/>
                <w:szCs w:val="20"/>
                <w:color w:val="auto"/>
              </w:rPr>
            </w:pPr>
            <w:r>
              <w:rPr>
                <w:rFonts w:ascii="Arial" w:cs="Arial" w:eastAsia="Arial" w:hAnsi="Arial"/>
                <w:sz w:val="16"/>
                <w:szCs w:val="16"/>
                <w:b w:val="1"/>
                <w:bCs w:val="1"/>
                <w:color w:val="auto"/>
              </w:rPr>
              <w:t>Price Paid</w:t>
            </w:r>
          </w:p>
        </w:tc>
        <w:tc>
          <w:tcPr>
            <w:tcW w:w="2460" w:type="dxa"/>
            <w:vAlign w:val="bottom"/>
          </w:tcPr>
          <w:p>
            <w:pPr>
              <w:jc w:val="right"/>
              <w:ind w:right="359"/>
              <w:spacing w:after="0"/>
              <w:rPr>
                <w:sz w:val="20"/>
                <w:szCs w:val="20"/>
                <w:color w:val="auto"/>
              </w:rPr>
            </w:pPr>
            <w:r>
              <w:rPr>
                <w:rFonts w:ascii="Arial" w:cs="Arial" w:eastAsia="Arial" w:hAnsi="Arial"/>
                <w:sz w:val="16"/>
                <w:szCs w:val="16"/>
                <w:b w:val="1"/>
                <w:bCs w:val="1"/>
                <w:color w:val="auto"/>
              </w:rPr>
              <w:t>Publicly Announced</w:t>
            </w:r>
          </w:p>
        </w:tc>
        <w:tc>
          <w:tcPr>
            <w:tcW w:w="2380" w:type="dxa"/>
            <w:vAlign w:val="bottom"/>
          </w:tcPr>
          <w:p>
            <w:pPr>
              <w:jc w:val="right"/>
              <w:ind w:right="19"/>
              <w:spacing w:after="0"/>
              <w:rPr>
                <w:sz w:val="20"/>
                <w:szCs w:val="20"/>
                <w:color w:val="auto"/>
              </w:rPr>
            </w:pPr>
            <w:r>
              <w:rPr>
                <w:rFonts w:ascii="Arial" w:cs="Arial" w:eastAsia="Arial" w:hAnsi="Arial"/>
                <w:sz w:val="16"/>
                <w:szCs w:val="16"/>
                <w:b w:val="1"/>
                <w:bCs w:val="1"/>
                <w:color w:val="auto"/>
              </w:rPr>
              <w:t>Yet Be Purchased Under</w:t>
            </w:r>
          </w:p>
        </w:tc>
      </w:tr>
      <w:tr>
        <w:trPr>
          <w:trHeight w:val="210"/>
        </w:trPr>
        <w:tc>
          <w:tcPr>
            <w:tcW w:w="2640" w:type="dxa"/>
            <w:vAlign w:val="bottom"/>
          </w:tcPr>
          <w:p>
            <w:pPr>
              <w:spacing w:after="0"/>
              <w:rPr>
                <w:sz w:val="18"/>
                <w:szCs w:val="18"/>
                <w:color w:val="auto"/>
              </w:rPr>
            </w:pPr>
          </w:p>
        </w:tc>
        <w:tc>
          <w:tcPr>
            <w:tcW w:w="2460" w:type="dxa"/>
            <w:vAlign w:val="bottom"/>
          </w:tcPr>
          <w:p>
            <w:pPr>
              <w:jc w:val="right"/>
              <w:ind w:right="319"/>
              <w:spacing w:after="0"/>
              <w:rPr>
                <w:sz w:val="20"/>
                <w:szCs w:val="20"/>
                <w:color w:val="auto"/>
              </w:rPr>
            </w:pPr>
            <w:r>
              <w:rPr>
                <w:rFonts w:ascii="Arial" w:cs="Arial" w:eastAsia="Arial" w:hAnsi="Arial"/>
                <w:sz w:val="16"/>
                <w:szCs w:val="16"/>
                <w:b w:val="1"/>
                <w:bCs w:val="1"/>
                <w:color w:val="auto"/>
              </w:rPr>
              <w:t>Purchased</w:t>
            </w:r>
          </w:p>
        </w:tc>
        <w:tc>
          <w:tcPr>
            <w:tcW w:w="1480" w:type="dxa"/>
            <w:vAlign w:val="bottom"/>
          </w:tcPr>
          <w:p>
            <w:pPr>
              <w:jc w:val="right"/>
              <w:ind w:right="299"/>
              <w:spacing w:after="0"/>
              <w:rPr>
                <w:sz w:val="20"/>
                <w:szCs w:val="20"/>
                <w:color w:val="auto"/>
              </w:rPr>
            </w:pPr>
            <w:r>
              <w:rPr>
                <w:rFonts w:ascii="Arial" w:cs="Arial" w:eastAsia="Arial" w:hAnsi="Arial"/>
                <w:sz w:val="16"/>
                <w:szCs w:val="16"/>
                <w:b w:val="1"/>
                <w:bCs w:val="1"/>
                <w:color w:val="auto"/>
              </w:rPr>
              <w:t>Per Share</w:t>
            </w:r>
          </w:p>
        </w:tc>
        <w:tc>
          <w:tcPr>
            <w:tcW w:w="2460" w:type="dxa"/>
            <w:vAlign w:val="bottom"/>
          </w:tcPr>
          <w:p>
            <w:pPr>
              <w:jc w:val="right"/>
              <w:ind w:right="359"/>
              <w:spacing w:after="0"/>
              <w:rPr>
                <w:sz w:val="20"/>
                <w:szCs w:val="20"/>
                <w:color w:val="auto"/>
              </w:rPr>
            </w:pPr>
            <w:r>
              <w:rPr>
                <w:rFonts w:ascii="Arial" w:cs="Arial" w:eastAsia="Arial" w:hAnsi="Arial"/>
                <w:sz w:val="16"/>
                <w:szCs w:val="16"/>
                <w:b w:val="1"/>
                <w:bCs w:val="1"/>
                <w:color w:val="auto"/>
              </w:rPr>
              <w:t>Plans or Programs</w:t>
            </w:r>
          </w:p>
        </w:tc>
        <w:tc>
          <w:tcPr>
            <w:tcW w:w="2380" w:type="dxa"/>
            <w:vAlign w:val="bottom"/>
          </w:tcPr>
          <w:p>
            <w:pPr>
              <w:jc w:val="right"/>
              <w:ind w:right="19"/>
              <w:spacing w:after="0"/>
              <w:rPr>
                <w:sz w:val="20"/>
                <w:szCs w:val="20"/>
                <w:color w:val="auto"/>
              </w:rPr>
            </w:pPr>
            <w:r>
              <w:rPr>
                <w:rFonts w:ascii="Arial" w:cs="Arial" w:eastAsia="Arial" w:hAnsi="Arial"/>
                <w:sz w:val="16"/>
                <w:szCs w:val="16"/>
                <w:b w:val="1"/>
                <w:bCs w:val="1"/>
                <w:color w:val="auto"/>
              </w:rPr>
              <w:t>the Plans or Programs</w:t>
            </w:r>
          </w:p>
        </w:tc>
      </w:tr>
      <w:tr>
        <w:trPr>
          <w:trHeight w:val="33"/>
        </w:trPr>
        <w:tc>
          <w:tcPr>
            <w:tcW w:w="264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r>
      <w:tr>
        <w:trPr>
          <w:trHeight w:val="213"/>
        </w:trPr>
        <w:tc>
          <w:tcPr>
            <w:tcW w:w="26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November 2016</w:t>
            </w:r>
          </w:p>
        </w:tc>
        <w:tc>
          <w:tcPr>
            <w:tcW w:w="24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r>
      <w:tr>
        <w:trPr>
          <w:trHeight w:val="203"/>
        </w:trPr>
        <w:tc>
          <w:tcPr>
            <w:tcW w:w="2640" w:type="dxa"/>
            <w:vAlign w:val="bottom"/>
            <w:shd w:val="clear" w:color="auto" w:fill="CCEEFF"/>
          </w:tcPr>
          <w:p>
            <w:pPr>
              <w:ind w:left="40"/>
              <w:spacing w:after="0"/>
              <w:rPr>
                <w:sz w:val="20"/>
                <w:szCs w:val="20"/>
                <w:color w:val="auto"/>
              </w:rPr>
            </w:pPr>
            <w:r>
              <w:rPr>
                <w:rFonts w:ascii="Arial" w:cs="Arial" w:eastAsia="Arial" w:hAnsi="Arial"/>
                <w:sz w:val="16"/>
                <w:szCs w:val="16"/>
                <w:color w:val="auto"/>
              </w:rPr>
              <w:t>(October 30, 2016 to</w:t>
            </w:r>
          </w:p>
        </w:tc>
        <w:tc>
          <w:tcPr>
            <w:tcW w:w="24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2460" w:type="dxa"/>
            <w:vAlign w:val="bottom"/>
            <w:shd w:val="clear" w:color="auto" w:fill="CCEEFF"/>
          </w:tcPr>
          <w:p>
            <w:pPr>
              <w:spacing w:after="0"/>
              <w:rPr>
                <w:sz w:val="17"/>
                <w:szCs w:val="17"/>
                <w:color w:val="auto"/>
              </w:rPr>
            </w:pPr>
          </w:p>
        </w:tc>
        <w:tc>
          <w:tcPr>
            <w:tcW w:w="2380" w:type="dxa"/>
            <w:vAlign w:val="bottom"/>
            <w:shd w:val="clear" w:color="auto" w:fill="CCEEFF"/>
          </w:tcPr>
          <w:p>
            <w:pPr>
              <w:spacing w:after="0"/>
              <w:rPr>
                <w:sz w:val="17"/>
                <w:szCs w:val="17"/>
                <w:color w:val="auto"/>
              </w:rPr>
            </w:pPr>
          </w:p>
        </w:tc>
      </w:tr>
      <w:tr>
        <w:trPr>
          <w:trHeight w:val="219"/>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November 26, 2016)</w:t>
            </w:r>
          </w:p>
        </w:tc>
        <w:tc>
          <w:tcPr>
            <w:tcW w:w="246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rPr>
              <w:t>0.2</w:t>
            </w:r>
          </w:p>
        </w:tc>
        <w:tc>
          <w:tcPr>
            <w:tcW w:w="148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rPr>
              <w:t>$51.11</w:t>
            </w:r>
          </w:p>
        </w:tc>
        <w:tc>
          <w:tcPr>
            <w:tcW w:w="246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rPr>
              <w:t>0.2</w:t>
            </w:r>
          </w:p>
        </w:tc>
        <w:tc>
          <w:tcPr>
            <w:tcW w:w="2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$708</w:t>
            </w:r>
          </w:p>
        </w:tc>
      </w:tr>
      <w:tr>
        <w:trPr>
          <w:trHeight w:val="220"/>
        </w:trPr>
        <w:tc>
          <w:tcPr>
            <w:tcW w:w="2640" w:type="dxa"/>
            <w:vAlign w:val="bottom"/>
          </w:tcPr>
          <w:p>
            <w:pPr>
              <w:ind w:left="40"/>
              <w:spacing w:after="0"/>
              <w:rPr>
                <w:sz w:val="20"/>
                <w:szCs w:val="20"/>
                <w:color w:val="auto"/>
              </w:rPr>
            </w:pPr>
            <w:r>
              <w:rPr>
                <w:rFonts w:ascii="Arial" w:cs="Arial" w:eastAsia="Arial" w:hAnsi="Arial"/>
                <w:sz w:val="16"/>
                <w:szCs w:val="16"/>
                <w:color w:val="auto"/>
              </w:rPr>
              <w:t>December 2016</w:t>
            </w:r>
          </w:p>
        </w:tc>
        <w:tc>
          <w:tcPr>
            <w:tcW w:w="24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2380" w:type="dxa"/>
            <w:vAlign w:val="bottom"/>
          </w:tcPr>
          <w:p>
            <w:pPr>
              <w:spacing w:after="0"/>
              <w:rPr>
                <w:sz w:val="19"/>
                <w:szCs w:val="19"/>
                <w:color w:val="auto"/>
              </w:rPr>
            </w:pPr>
          </w:p>
        </w:tc>
      </w:tr>
      <w:tr>
        <w:trPr>
          <w:trHeight w:val="203"/>
        </w:trPr>
        <w:tc>
          <w:tcPr>
            <w:tcW w:w="2640" w:type="dxa"/>
            <w:vAlign w:val="bottom"/>
          </w:tcPr>
          <w:p>
            <w:pPr>
              <w:ind w:left="40"/>
              <w:spacing w:after="0"/>
              <w:rPr>
                <w:sz w:val="20"/>
                <w:szCs w:val="20"/>
                <w:color w:val="auto"/>
              </w:rPr>
            </w:pPr>
            <w:r>
              <w:rPr>
                <w:rFonts w:ascii="Arial" w:cs="Arial" w:eastAsia="Arial" w:hAnsi="Arial"/>
                <w:sz w:val="16"/>
                <w:szCs w:val="16"/>
                <w:color w:val="auto"/>
              </w:rPr>
              <w:t>(November 27, 2016 to</w:t>
            </w:r>
          </w:p>
        </w:tc>
        <w:tc>
          <w:tcPr>
            <w:tcW w:w="24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2380" w:type="dxa"/>
            <w:vAlign w:val="bottom"/>
          </w:tcPr>
          <w:p>
            <w:pPr>
              <w:spacing w:after="0"/>
              <w:rPr>
                <w:sz w:val="17"/>
                <w:szCs w:val="17"/>
                <w:color w:val="auto"/>
              </w:rPr>
            </w:pPr>
          </w:p>
        </w:tc>
      </w:tr>
      <w:tr>
        <w:trPr>
          <w:trHeight w:val="206"/>
        </w:trPr>
        <w:tc>
          <w:tcPr>
            <w:tcW w:w="2640" w:type="dxa"/>
            <w:vAlign w:val="bottom"/>
          </w:tcPr>
          <w:p>
            <w:pPr>
              <w:ind w:left="40"/>
              <w:spacing w:after="0"/>
              <w:rPr>
                <w:sz w:val="20"/>
                <w:szCs w:val="20"/>
                <w:color w:val="auto"/>
              </w:rPr>
            </w:pPr>
            <w:r>
              <w:rPr>
                <w:rFonts w:ascii="Arial" w:cs="Arial" w:eastAsia="Arial" w:hAnsi="Arial"/>
                <w:sz w:val="16"/>
                <w:szCs w:val="16"/>
                <w:color w:val="auto"/>
              </w:rPr>
              <w:t>December 31, 2016)</w:t>
            </w:r>
          </w:p>
        </w:tc>
        <w:tc>
          <w:tcPr>
            <w:tcW w:w="2460" w:type="dxa"/>
            <w:vAlign w:val="bottom"/>
          </w:tcPr>
          <w:p>
            <w:pPr>
              <w:jc w:val="right"/>
              <w:ind w:right="319"/>
              <w:spacing w:after="0"/>
              <w:rPr>
                <w:sz w:val="20"/>
                <w:szCs w:val="20"/>
                <w:color w:val="auto"/>
              </w:rPr>
            </w:pPr>
            <w:r>
              <w:rPr>
                <w:rFonts w:ascii="Arial" w:cs="Arial" w:eastAsia="Arial" w:hAnsi="Arial"/>
                <w:sz w:val="16"/>
                <w:szCs w:val="16"/>
                <w:color w:val="auto"/>
              </w:rPr>
              <w:t>1.6</w:t>
            </w:r>
          </w:p>
        </w:tc>
        <w:tc>
          <w:tcPr>
            <w:tcW w:w="1480" w:type="dxa"/>
            <w:vAlign w:val="bottom"/>
          </w:tcPr>
          <w:p>
            <w:pPr>
              <w:jc w:val="right"/>
              <w:ind w:right="299"/>
              <w:spacing w:after="0"/>
              <w:rPr>
                <w:sz w:val="20"/>
                <w:szCs w:val="20"/>
                <w:color w:val="auto"/>
              </w:rPr>
            </w:pPr>
            <w:r>
              <w:rPr>
                <w:rFonts w:ascii="Arial" w:cs="Arial" w:eastAsia="Arial" w:hAnsi="Arial"/>
                <w:sz w:val="16"/>
                <w:szCs w:val="16"/>
                <w:color w:val="auto"/>
              </w:rPr>
              <w:t>$50.71</w:t>
            </w:r>
          </w:p>
        </w:tc>
        <w:tc>
          <w:tcPr>
            <w:tcW w:w="2460" w:type="dxa"/>
            <w:vAlign w:val="bottom"/>
          </w:tcPr>
          <w:p>
            <w:pPr>
              <w:jc w:val="right"/>
              <w:ind w:right="359"/>
              <w:spacing w:after="0"/>
              <w:rPr>
                <w:sz w:val="20"/>
                <w:szCs w:val="20"/>
                <w:color w:val="auto"/>
              </w:rPr>
            </w:pPr>
            <w:r>
              <w:rPr>
                <w:rFonts w:ascii="Arial" w:cs="Arial" w:eastAsia="Arial" w:hAnsi="Arial"/>
                <w:sz w:val="16"/>
                <w:szCs w:val="16"/>
                <w:color w:val="auto"/>
              </w:rPr>
              <w:t>1.6</w:t>
            </w:r>
          </w:p>
        </w:tc>
        <w:tc>
          <w:tcPr>
            <w:tcW w:w="2380" w:type="dxa"/>
            <w:vAlign w:val="bottom"/>
          </w:tcPr>
          <w:p>
            <w:pPr>
              <w:jc w:val="right"/>
              <w:ind w:right="19"/>
              <w:spacing w:after="0"/>
              <w:rPr>
                <w:sz w:val="20"/>
                <w:szCs w:val="20"/>
                <w:color w:val="auto"/>
              </w:rPr>
            </w:pPr>
            <w:r>
              <w:rPr>
                <w:rFonts w:ascii="Arial" w:cs="Arial" w:eastAsia="Arial" w:hAnsi="Arial"/>
                <w:sz w:val="16"/>
                <w:szCs w:val="16"/>
                <w:color w:val="auto"/>
              </w:rPr>
              <w:t>$629</w:t>
            </w:r>
          </w:p>
        </w:tc>
      </w:tr>
      <w:tr>
        <w:trPr>
          <w:trHeight w:val="33"/>
        </w:trPr>
        <w:tc>
          <w:tcPr>
            <w:tcW w:w="264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2380" w:type="dxa"/>
            <w:vAlign w:val="bottom"/>
          </w:tcPr>
          <w:p>
            <w:pPr>
              <w:spacing w:after="0"/>
              <w:rPr>
                <w:sz w:val="2"/>
                <w:szCs w:val="2"/>
                <w:color w:val="auto"/>
              </w:rPr>
            </w:pPr>
          </w:p>
        </w:tc>
      </w:tr>
      <w:tr>
        <w:trPr>
          <w:trHeight w:val="220"/>
        </w:trPr>
        <w:tc>
          <w:tcPr>
            <w:tcW w:w="2640" w:type="dxa"/>
            <w:vAlign w:val="bottom"/>
            <w:shd w:val="clear" w:color="auto" w:fill="CCEEFF"/>
          </w:tcPr>
          <w:p>
            <w:pPr>
              <w:ind w:left="40"/>
              <w:spacing w:after="0"/>
              <w:rPr>
                <w:sz w:val="20"/>
                <w:szCs w:val="20"/>
                <w:color w:val="auto"/>
              </w:rPr>
            </w:pPr>
            <w:r>
              <w:rPr>
                <w:rFonts w:ascii="Arial" w:cs="Arial" w:eastAsia="Arial" w:hAnsi="Arial"/>
                <w:sz w:val="16"/>
                <w:szCs w:val="16"/>
                <w:color w:val="auto"/>
              </w:rPr>
              <w:t>January 2017</w:t>
            </w:r>
          </w:p>
        </w:tc>
        <w:tc>
          <w:tcPr>
            <w:tcW w:w="24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2460" w:type="dxa"/>
            <w:vAlign w:val="bottom"/>
            <w:shd w:val="clear" w:color="auto" w:fill="CCEEFF"/>
          </w:tcPr>
          <w:p>
            <w:pPr>
              <w:spacing w:after="0"/>
              <w:rPr>
                <w:sz w:val="19"/>
                <w:szCs w:val="19"/>
                <w:color w:val="auto"/>
              </w:rPr>
            </w:pPr>
          </w:p>
        </w:tc>
        <w:tc>
          <w:tcPr>
            <w:tcW w:w="2380" w:type="dxa"/>
            <w:vAlign w:val="bottom"/>
            <w:shd w:val="clear" w:color="auto" w:fill="CCEEFF"/>
          </w:tcPr>
          <w:p>
            <w:pPr>
              <w:spacing w:after="0"/>
              <w:rPr>
                <w:sz w:val="19"/>
                <w:szCs w:val="19"/>
                <w:color w:val="auto"/>
              </w:rPr>
            </w:pPr>
          </w:p>
        </w:tc>
      </w:tr>
      <w:tr>
        <w:trPr>
          <w:trHeight w:val="203"/>
        </w:trPr>
        <w:tc>
          <w:tcPr>
            <w:tcW w:w="2640" w:type="dxa"/>
            <w:vAlign w:val="bottom"/>
            <w:shd w:val="clear" w:color="auto" w:fill="CCEEFF"/>
          </w:tcPr>
          <w:p>
            <w:pPr>
              <w:ind w:left="40"/>
              <w:spacing w:after="0"/>
              <w:rPr>
                <w:sz w:val="20"/>
                <w:szCs w:val="20"/>
                <w:color w:val="auto"/>
              </w:rPr>
            </w:pPr>
            <w:r>
              <w:rPr>
                <w:rFonts w:ascii="Arial" w:cs="Arial" w:eastAsia="Arial" w:hAnsi="Arial"/>
                <w:sz w:val="16"/>
                <w:szCs w:val="16"/>
                <w:color w:val="auto"/>
              </w:rPr>
              <w:t>(January 1, 2017 to</w:t>
            </w:r>
          </w:p>
        </w:tc>
        <w:tc>
          <w:tcPr>
            <w:tcW w:w="24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2460" w:type="dxa"/>
            <w:vAlign w:val="bottom"/>
            <w:shd w:val="clear" w:color="auto" w:fill="CCEEFF"/>
          </w:tcPr>
          <w:p>
            <w:pPr>
              <w:spacing w:after="0"/>
              <w:rPr>
                <w:sz w:val="17"/>
                <w:szCs w:val="17"/>
                <w:color w:val="auto"/>
              </w:rPr>
            </w:pPr>
          </w:p>
        </w:tc>
        <w:tc>
          <w:tcPr>
            <w:tcW w:w="2380" w:type="dxa"/>
            <w:vAlign w:val="bottom"/>
            <w:shd w:val="clear" w:color="auto" w:fill="CCEEFF"/>
          </w:tcPr>
          <w:p>
            <w:pPr>
              <w:spacing w:after="0"/>
              <w:rPr>
                <w:sz w:val="17"/>
                <w:szCs w:val="17"/>
                <w:color w:val="auto"/>
              </w:rPr>
            </w:pPr>
          </w:p>
        </w:tc>
      </w:tr>
      <w:tr>
        <w:trPr>
          <w:trHeight w:val="244"/>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January 28, 2017)</w:t>
            </w:r>
          </w:p>
        </w:tc>
        <w:tc>
          <w:tcPr>
            <w:tcW w:w="246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rPr>
              <w:t>2.2</w:t>
            </w:r>
          </w:p>
        </w:tc>
        <w:tc>
          <w:tcPr>
            <w:tcW w:w="148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rPr>
              <w:t>$45.20</w:t>
            </w:r>
          </w:p>
        </w:tc>
        <w:tc>
          <w:tcPr>
            <w:tcW w:w="246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rPr>
              <w:t>2.2</w:t>
            </w:r>
          </w:p>
        </w:tc>
        <w:tc>
          <w:tcPr>
            <w:tcW w:w="2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$529</w:t>
            </w:r>
          </w:p>
        </w:tc>
      </w:tr>
      <w:tr>
        <w:trPr>
          <w:trHeight w:val="231"/>
        </w:trPr>
        <w:tc>
          <w:tcPr>
            <w:tcW w:w="264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w:t>
            </w:r>
          </w:p>
        </w:tc>
        <w:tc>
          <w:tcPr>
            <w:tcW w:w="2460" w:type="dxa"/>
            <w:vAlign w:val="bottom"/>
            <w:tcBorders>
              <w:top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4.0</w:t>
            </w:r>
          </w:p>
        </w:tc>
        <w:tc>
          <w:tcPr>
            <w:tcW w:w="1480" w:type="dxa"/>
            <w:vAlign w:val="bottom"/>
            <w:tcBorders>
              <w:top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$47.99</w:t>
            </w:r>
          </w:p>
        </w:tc>
        <w:tc>
          <w:tcPr>
            <w:tcW w:w="2460" w:type="dxa"/>
            <w:vAlign w:val="bottom"/>
            <w:tcBorders>
              <w:top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4.0</w:t>
            </w:r>
          </w:p>
        </w:tc>
        <w:tc>
          <w:tcPr>
            <w:tcW w:w="2380" w:type="dxa"/>
            <w:vAlign w:val="bottom"/>
            <w:tcBorders>
              <w:top w:val="single" w:sz="8" w:color="auto"/>
            </w:tcBorders>
          </w:tcPr>
          <w:p>
            <w:pPr>
              <w:spacing w:after="0"/>
              <w:rPr>
                <w:sz w:val="20"/>
                <w:szCs w:val="20"/>
                <w:color w:val="auto"/>
              </w:rPr>
            </w:pPr>
          </w:p>
        </w:tc>
      </w:tr>
      <w:tr>
        <w:trPr>
          <w:trHeight w:val="33"/>
        </w:trPr>
        <w:tc>
          <w:tcPr>
            <w:tcW w:w="264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Our October 1, 2015 Board authorized share repurchase program, which had $529 of remaining capacity as of January 28, 2017, expired on March 1, 2017. There was $409 of unused capacity upon program expiration. In February 2017, our Board of Directors authorized an additional program to repurchase up to $500 of our outstanding common stock, through August 31, 2018. The actual number, price, manner and timing of future share repurchases, if any, will be subject to market and economic conditions and applicable SEC rules.</w:t>
      </w:r>
    </w:p>
    <w:p>
      <w:pPr>
        <w:spacing w:after="0" w:line="381" w:lineRule="exact"/>
        <w:rPr>
          <w:sz w:val="20"/>
          <w:szCs w:val="20"/>
          <w:color w:val="auto"/>
        </w:rPr>
      </w:pPr>
    </w:p>
    <w:p>
      <w:pPr>
        <w:jc w:val="right"/>
        <w:spacing w:after="0"/>
        <w:rPr>
          <w:sz w:val="20"/>
          <w:szCs w:val="20"/>
          <w:color w:val="auto"/>
        </w:rPr>
      </w:pPr>
      <w:r>
        <w:rPr>
          <w:rFonts w:ascii="Arial" w:cs="Arial" w:eastAsia="Arial" w:hAnsi="Arial"/>
          <w:sz w:val="13"/>
          <w:szCs w:val="13"/>
          <w:color w:val="auto"/>
        </w:rPr>
        <w:t xml:space="preserve">Nordstrom, Inc. and subsidiaries </w:t>
      </w:r>
      <w:r>
        <w:rPr>
          <w:rFonts w:ascii="Arial" w:cs="Arial" w:eastAsia="Arial" w:hAnsi="Arial"/>
          <w:sz w:val="16"/>
          <w:szCs w:val="16"/>
          <w:color w:val="auto"/>
        </w:rPr>
        <w:t>15</w:t>
      </w:r>
    </w:p>
    <w:p>
      <w:pPr>
        <w:sectPr>
          <w:pgSz w:w="11900" w:h="16838" w:orient="portrait"/>
          <w:cols w:equalWidth="0" w:num="1">
            <w:col w:w="11420"/>
          </w:cols>
          <w:pgMar w:left="240" w:top="126" w:right="239" w:bottom="1440" w:gutter="0" w:footer="0" w:header="0"/>
        </w:sectPr>
      </w:pPr>
    </w:p>
    <w:bookmarkStart w:id="15" w:name="page16"/>
    <w:bookmarkEnd w:id="15"/>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PRICE PERFORMANCE</w:t>
      </w:r>
    </w:p>
    <w:p>
      <w:pPr>
        <w:spacing w:after="0" w:line="2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following graph compares the cumulative total return of Nordstrom common stock, Standard &amp; Poor’s Retail Index (“S&amp;P Retail”) and Standard &amp; Poor’s 500 Index (“S&amp;P 500”) for each of the last five fiscal years, ending January 28, 2017. The Retail Index is composed of 33 retail companies, including Nordstrom, representing an industry group of the S&amp;P 500. The following graph assumes an initial investment of $100 each in Nordstrom common stock, the S&amp;P Retail and the S&amp;P 500 on January 28, 2012 and assumes reinvestment of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198120</wp:posOffset>
            </wp:positionV>
            <wp:extent cx="5848985" cy="4845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848985" cy="4845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820" w:type="dxa"/>
            <w:vAlign w:val="bottom"/>
          </w:tcPr>
          <w:p>
            <w:pPr>
              <w:ind w:left="40"/>
              <w:spacing w:after="0"/>
              <w:rPr>
                <w:sz w:val="20"/>
                <w:szCs w:val="20"/>
                <w:color w:val="auto"/>
              </w:rPr>
            </w:pPr>
            <w:r>
              <w:rPr>
                <w:rFonts w:ascii="Arial" w:cs="Arial" w:eastAsia="Arial" w:hAnsi="Arial"/>
                <w:sz w:val="16"/>
                <w:szCs w:val="16"/>
                <w:b w:val="1"/>
                <w:bCs w:val="1"/>
                <w:color w:val="auto"/>
              </w:rPr>
              <w:t>End of fiscal year</w:t>
            </w:r>
          </w:p>
        </w:tc>
        <w:tc>
          <w:tcPr>
            <w:tcW w:w="1660" w:type="dxa"/>
            <w:vAlign w:val="bottom"/>
          </w:tcPr>
          <w:p>
            <w:pPr>
              <w:jc w:val="right"/>
              <w:ind w:right="499"/>
              <w:spacing w:after="0"/>
              <w:rPr>
                <w:sz w:val="20"/>
                <w:szCs w:val="20"/>
                <w:color w:val="auto"/>
              </w:rPr>
            </w:pPr>
            <w:r>
              <w:rPr>
                <w:rFonts w:ascii="Arial" w:cs="Arial" w:eastAsia="Arial" w:hAnsi="Arial"/>
                <w:sz w:val="16"/>
                <w:szCs w:val="16"/>
                <w:b w:val="1"/>
                <w:bCs w:val="1"/>
                <w:color w:val="auto"/>
              </w:rPr>
              <w:t>2011</w:t>
            </w:r>
          </w:p>
        </w:tc>
        <w:tc>
          <w:tcPr>
            <w:tcW w:w="1500" w:type="dxa"/>
            <w:vAlign w:val="bottom"/>
          </w:tcPr>
          <w:p>
            <w:pPr>
              <w:jc w:val="right"/>
              <w:ind w:right="499"/>
              <w:spacing w:after="0"/>
              <w:rPr>
                <w:sz w:val="20"/>
                <w:szCs w:val="20"/>
                <w:color w:val="auto"/>
              </w:rPr>
            </w:pPr>
            <w:r>
              <w:rPr>
                <w:rFonts w:ascii="Arial" w:cs="Arial" w:eastAsia="Arial" w:hAnsi="Arial"/>
                <w:sz w:val="16"/>
                <w:szCs w:val="16"/>
                <w:b w:val="1"/>
                <w:bCs w:val="1"/>
                <w:color w:val="auto"/>
              </w:rPr>
              <w:t>2012</w:t>
            </w:r>
          </w:p>
        </w:tc>
        <w:tc>
          <w:tcPr>
            <w:tcW w:w="1500" w:type="dxa"/>
            <w:vAlign w:val="bottom"/>
          </w:tcPr>
          <w:p>
            <w:pPr>
              <w:jc w:val="right"/>
              <w:ind w:right="499"/>
              <w:spacing w:after="0"/>
              <w:rPr>
                <w:sz w:val="20"/>
                <w:szCs w:val="20"/>
                <w:color w:val="auto"/>
              </w:rPr>
            </w:pPr>
            <w:r>
              <w:rPr>
                <w:rFonts w:ascii="Arial" w:cs="Arial" w:eastAsia="Arial" w:hAnsi="Arial"/>
                <w:sz w:val="16"/>
                <w:szCs w:val="16"/>
                <w:b w:val="1"/>
                <w:bCs w:val="1"/>
                <w:color w:val="auto"/>
              </w:rPr>
              <w:t>2013</w:t>
            </w:r>
          </w:p>
        </w:tc>
        <w:tc>
          <w:tcPr>
            <w:tcW w:w="1480" w:type="dxa"/>
            <w:vAlign w:val="bottom"/>
          </w:tcPr>
          <w:p>
            <w:pPr>
              <w:jc w:val="right"/>
              <w:ind w:right="479"/>
              <w:spacing w:after="0"/>
              <w:rPr>
                <w:sz w:val="20"/>
                <w:szCs w:val="20"/>
                <w:color w:val="auto"/>
              </w:rPr>
            </w:pPr>
            <w:r>
              <w:rPr>
                <w:rFonts w:ascii="Arial" w:cs="Arial" w:eastAsia="Arial" w:hAnsi="Arial"/>
                <w:sz w:val="16"/>
                <w:szCs w:val="16"/>
                <w:b w:val="1"/>
                <w:bCs w:val="1"/>
                <w:color w:val="auto"/>
              </w:rPr>
              <w:t>2014</w:t>
            </w:r>
          </w:p>
        </w:tc>
        <w:tc>
          <w:tcPr>
            <w:tcW w:w="1460" w:type="dxa"/>
            <w:vAlign w:val="bottom"/>
          </w:tcPr>
          <w:p>
            <w:pPr>
              <w:jc w:val="right"/>
              <w:ind w:right="479"/>
              <w:spacing w:after="0"/>
              <w:rPr>
                <w:sz w:val="20"/>
                <w:szCs w:val="20"/>
                <w:color w:val="auto"/>
              </w:rPr>
            </w:pPr>
            <w:r>
              <w:rPr>
                <w:rFonts w:ascii="Arial" w:cs="Arial" w:eastAsia="Arial" w:hAnsi="Arial"/>
                <w:sz w:val="16"/>
                <w:szCs w:val="16"/>
                <w:b w:val="1"/>
                <w:bCs w:val="1"/>
                <w:color w:val="auto"/>
              </w:rPr>
              <w:t>2015</w:t>
            </w:r>
          </w:p>
        </w:tc>
        <w:tc>
          <w:tcPr>
            <w:tcW w:w="1000" w:type="dxa"/>
            <w:vAlign w:val="bottom"/>
          </w:tcPr>
          <w:p>
            <w:pPr>
              <w:jc w:val="right"/>
              <w:ind w:right="19"/>
              <w:spacing w:after="0"/>
              <w:rPr>
                <w:sz w:val="20"/>
                <w:szCs w:val="20"/>
                <w:color w:val="auto"/>
              </w:rPr>
            </w:pPr>
            <w:r>
              <w:rPr>
                <w:rFonts w:ascii="Arial" w:cs="Arial" w:eastAsia="Arial" w:hAnsi="Arial"/>
                <w:sz w:val="16"/>
                <w:szCs w:val="16"/>
                <w:b w:val="1"/>
                <w:bCs w:val="1"/>
                <w:color w:val="auto"/>
              </w:rPr>
              <w:t>2016</w:t>
            </w:r>
          </w:p>
        </w:tc>
      </w:tr>
      <w:tr>
        <w:trPr>
          <w:trHeight w:val="33"/>
        </w:trPr>
        <w:tc>
          <w:tcPr>
            <w:tcW w:w="28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2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Nordstrom common stock</w:t>
            </w:r>
          </w:p>
        </w:tc>
        <w:tc>
          <w:tcPr>
            <w:tcW w:w="1660" w:type="dxa"/>
            <w:vAlign w:val="bottom"/>
            <w:tcBorders>
              <w:bottom w:val="single" w:sz="8" w:color="CCEEFF"/>
            </w:tcBorders>
            <w:shd w:val="clear" w:color="auto" w:fill="CCEEFF"/>
          </w:tcPr>
          <w:p>
            <w:pPr>
              <w:jc w:val="right"/>
              <w:ind w:right="499"/>
              <w:spacing w:after="0"/>
              <w:rPr>
                <w:sz w:val="20"/>
                <w:szCs w:val="20"/>
                <w:color w:val="auto"/>
              </w:rPr>
            </w:pPr>
            <w:r>
              <w:rPr>
                <w:rFonts w:ascii="Arial" w:cs="Arial" w:eastAsia="Arial" w:hAnsi="Arial"/>
                <w:sz w:val="16"/>
                <w:szCs w:val="16"/>
                <w:color w:val="auto"/>
              </w:rPr>
              <w:t>100</w:t>
            </w:r>
          </w:p>
        </w:tc>
        <w:tc>
          <w:tcPr>
            <w:tcW w:w="1500" w:type="dxa"/>
            <w:vAlign w:val="bottom"/>
            <w:tcBorders>
              <w:bottom w:val="single" w:sz="8" w:color="CCEEFF"/>
            </w:tcBorders>
            <w:shd w:val="clear" w:color="auto" w:fill="CCEEFF"/>
          </w:tcPr>
          <w:p>
            <w:pPr>
              <w:jc w:val="right"/>
              <w:ind w:right="499"/>
              <w:spacing w:after="0"/>
              <w:rPr>
                <w:sz w:val="20"/>
                <w:szCs w:val="20"/>
                <w:color w:val="auto"/>
              </w:rPr>
            </w:pPr>
            <w:r>
              <w:rPr>
                <w:rFonts w:ascii="Arial" w:cs="Arial" w:eastAsia="Arial" w:hAnsi="Arial"/>
                <w:sz w:val="16"/>
                <w:szCs w:val="16"/>
                <w:color w:val="auto"/>
              </w:rPr>
              <w:t>116</w:t>
            </w:r>
          </w:p>
        </w:tc>
        <w:tc>
          <w:tcPr>
            <w:tcW w:w="1500" w:type="dxa"/>
            <w:vAlign w:val="bottom"/>
            <w:tcBorders>
              <w:bottom w:val="single" w:sz="8" w:color="CCEEFF"/>
            </w:tcBorders>
            <w:shd w:val="clear" w:color="auto" w:fill="CCEEFF"/>
          </w:tcPr>
          <w:p>
            <w:pPr>
              <w:jc w:val="right"/>
              <w:ind w:right="499"/>
              <w:spacing w:after="0"/>
              <w:rPr>
                <w:sz w:val="20"/>
                <w:szCs w:val="20"/>
                <w:color w:val="auto"/>
              </w:rPr>
            </w:pPr>
            <w:r>
              <w:rPr>
                <w:rFonts w:ascii="Arial" w:cs="Arial" w:eastAsia="Arial" w:hAnsi="Arial"/>
                <w:sz w:val="16"/>
                <w:szCs w:val="16"/>
                <w:color w:val="auto"/>
              </w:rPr>
              <w:t>123</w:t>
            </w:r>
          </w:p>
        </w:tc>
        <w:tc>
          <w:tcPr>
            <w:tcW w:w="148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color w:val="auto"/>
              </w:rPr>
              <w:t>166</w:t>
            </w:r>
          </w:p>
        </w:tc>
        <w:tc>
          <w:tcPr>
            <w:tcW w:w="146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color w:val="auto"/>
              </w:rPr>
              <w:t>118</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106</w:t>
            </w:r>
          </w:p>
        </w:tc>
      </w:tr>
      <w:tr>
        <w:trPr>
          <w:trHeight w:val="237"/>
        </w:trPr>
        <w:tc>
          <w:tcPr>
            <w:tcW w:w="2820" w:type="dxa"/>
            <w:vAlign w:val="bottom"/>
          </w:tcPr>
          <w:p>
            <w:pPr>
              <w:ind w:left="40"/>
              <w:spacing w:after="0"/>
              <w:rPr>
                <w:sz w:val="20"/>
                <w:szCs w:val="20"/>
                <w:color w:val="auto"/>
              </w:rPr>
            </w:pPr>
            <w:r>
              <w:rPr>
                <w:rFonts w:ascii="Arial" w:cs="Arial" w:eastAsia="Arial" w:hAnsi="Arial"/>
                <w:sz w:val="16"/>
                <w:szCs w:val="16"/>
                <w:color w:val="auto"/>
              </w:rPr>
              <w:t>Standard &amp; Poor’s Retail Index</w:t>
            </w:r>
          </w:p>
        </w:tc>
        <w:tc>
          <w:tcPr>
            <w:tcW w:w="1660" w:type="dxa"/>
            <w:vAlign w:val="bottom"/>
          </w:tcPr>
          <w:p>
            <w:pPr>
              <w:jc w:val="right"/>
              <w:ind w:right="499"/>
              <w:spacing w:after="0"/>
              <w:rPr>
                <w:sz w:val="20"/>
                <w:szCs w:val="20"/>
                <w:color w:val="auto"/>
              </w:rPr>
            </w:pPr>
            <w:r>
              <w:rPr>
                <w:rFonts w:ascii="Arial" w:cs="Arial" w:eastAsia="Arial" w:hAnsi="Arial"/>
                <w:sz w:val="16"/>
                <w:szCs w:val="16"/>
                <w:color w:val="auto"/>
              </w:rPr>
              <w:t>100</w:t>
            </w:r>
          </w:p>
        </w:tc>
        <w:tc>
          <w:tcPr>
            <w:tcW w:w="1500" w:type="dxa"/>
            <w:vAlign w:val="bottom"/>
          </w:tcPr>
          <w:p>
            <w:pPr>
              <w:jc w:val="right"/>
              <w:ind w:right="499"/>
              <w:spacing w:after="0"/>
              <w:rPr>
                <w:sz w:val="20"/>
                <w:szCs w:val="20"/>
                <w:color w:val="auto"/>
              </w:rPr>
            </w:pPr>
            <w:r>
              <w:rPr>
                <w:rFonts w:ascii="Arial" w:cs="Arial" w:eastAsia="Arial" w:hAnsi="Arial"/>
                <w:sz w:val="16"/>
                <w:szCs w:val="16"/>
                <w:color w:val="auto"/>
              </w:rPr>
              <w:t>127</w:t>
            </w:r>
          </w:p>
        </w:tc>
        <w:tc>
          <w:tcPr>
            <w:tcW w:w="1500" w:type="dxa"/>
            <w:vAlign w:val="bottom"/>
          </w:tcPr>
          <w:p>
            <w:pPr>
              <w:jc w:val="right"/>
              <w:ind w:right="499"/>
              <w:spacing w:after="0"/>
              <w:rPr>
                <w:sz w:val="20"/>
                <w:szCs w:val="20"/>
                <w:color w:val="auto"/>
              </w:rPr>
            </w:pPr>
            <w:r>
              <w:rPr>
                <w:rFonts w:ascii="Arial" w:cs="Arial" w:eastAsia="Arial" w:hAnsi="Arial"/>
                <w:sz w:val="16"/>
                <w:szCs w:val="16"/>
                <w:color w:val="auto"/>
              </w:rPr>
              <w:t>159</w:t>
            </w:r>
          </w:p>
        </w:tc>
        <w:tc>
          <w:tcPr>
            <w:tcW w:w="1480" w:type="dxa"/>
            <w:vAlign w:val="bottom"/>
          </w:tcPr>
          <w:p>
            <w:pPr>
              <w:jc w:val="right"/>
              <w:ind w:right="479"/>
              <w:spacing w:after="0"/>
              <w:rPr>
                <w:sz w:val="20"/>
                <w:szCs w:val="20"/>
                <w:color w:val="auto"/>
              </w:rPr>
            </w:pPr>
            <w:r>
              <w:rPr>
                <w:rFonts w:ascii="Arial" w:cs="Arial" w:eastAsia="Arial" w:hAnsi="Arial"/>
                <w:sz w:val="16"/>
                <w:szCs w:val="16"/>
                <w:color w:val="auto"/>
              </w:rPr>
              <w:t>196</w:t>
            </w:r>
          </w:p>
        </w:tc>
        <w:tc>
          <w:tcPr>
            <w:tcW w:w="1460" w:type="dxa"/>
            <w:vAlign w:val="bottom"/>
          </w:tcPr>
          <w:p>
            <w:pPr>
              <w:jc w:val="right"/>
              <w:ind w:right="479"/>
              <w:spacing w:after="0"/>
              <w:rPr>
                <w:sz w:val="20"/>
                <w:szCs w:val="20"/>
                <w:color w:val="auto"/>
              </w:rPr>
            </w:pPr>
            <w:r>
              <w:rPr>
                <w:rFonts w:ascii="Arial" w:cs="Arial" w:eastAsia="Arial" w:hAnsi="Arial"/>
                <w:sz w:val="16"/>
                <w:szCs w:val="16"/>
                <w:color w:val="auto"/>
              </w:rPr>
              <w:t>227</w:t>
            </w:r>
          </w:p>
        </w:tc>
        <w:tc>
          <w:tcPr>
            <w:tcW w:w="1000" w:type="dxa"/>
            <w:vAlign w:val="bottom"/>
          </w:tcPr>
          <w:p>
            <w:pPr>
              <w:jc w:val="right"/>
              <w:ind w:right="19"/>
              <w:spacing w:after="0"/>
              <w:rPr>
                <w:sz w:val="20"/>
                <w:szCs w:val="20"/>
                <w:color w:val="auto"/>
              </w:rPr>
            </w:pPr>
            <w:r>
              <w:rPr>
                <w:rFonts w:ascii="Arial" w:cs="Arial" w:eastAsia="Arial" w:hAnsi="Arial"/>
                <w:sz w:val="16"/>
                <w:szCs w:val="16"/>
                <w:b w:val="1"/>
                <w:bCs w:val="1"/>
                <w:color w:val="auto"/>
              </w:rPr>
              <w:t>269</w:t>
            </w:r>
          </w:p>
        </w:tc>
      </w:tr>
      <w:tr>
        <w:trPr>
          <w:trHeight w:val="33"/>
        </w:trPr>
        <w:tc>
          <w:tcPr>
            <w:tcW w:w="28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5"/>
        </w:trPr>
        <w:tc>
          <w:tcPr>
            <w:tcW w:w="2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Standard &amp; Poor’s 500 Index</w:t>
            </w:r>
          </w:p>
        </w:tc>
        <w:tc>
          <w:tcPr>
            <w:tcW w:w="1660" w:type="dxa"/>
            <w:vAlign w:val="bottom"/>
            <w:tcBorders>
              <w:bottom w:val="single" w:sz="8" w:color="CCEEFF"/>
            </w:tcBorders>
            <w:shd w:val="clear" w:color="auto" w:fill="CCEEFF"/>
          </w:tcPr>
          <w:p>
            <w:pPr>
              <w:jc w:val="right"/>
              <w:ind w:right="499"/>
              <w:spacing w:after="0"/>
              <w:rPr>
                <w:sz w:val="20"/>
                <w:szCs w:val="20"/>
                <w:color w:val="auto"/>
              </w:rPr>
            </w:pPr>
            <w:r>
              <w:rPr>
                <w:rFonts w:ascii="Arial" w:cs="Arial" w:eastAsia="Arial" w:hAnsi="Arial"/>
                <w:sz w:val="16"/>
                <w:szCs w:val="16"/>
                <w:color w:val="auto"/>
              </w:rPr>
              <w:t>100</w:t>
            </w:r>
          </w:p>
        </w:tc>
        <w:tc>
          <w:tcPr>
            <w:tcW w:w="1500" w:type="dxa"/>
            <w:vAlign w:val="bottom"/>
            <w:tcBorders>
              <w:bottom w:val="single" w:sz="8" w:color="CCEEFF"/>
            </w:tcBorders>
            <w:shd w:val="clear" w:color="auto" w:fill="CCEEFF"/>
          </w:tcPr>
          <w:p>
            <w:pPr>
              <w:jc w:val="right"/>
              <w:ind w:right="499"/>
              <w:spacing w:after="0"/>
              <w:rPr>
                <w:sz w:val="20"/>
                <w:szCs w:val="20"/>
                <w:color w:val="auto"/>
              </w:rPr>
            </w:pPr>
            <w:r>
              <w:rPr>
                <w:rFonts w:ascii="Arial" w:cs="Arial" w:eastAsia="Arial" w:hAnsi="Arial"/>
                <w:sz w:val="16"/>
                <w:szCs w:val="16"/>
                <w:color w:val="auto"/>
              </w:rPr>
              <w:t>118</w:t>
            </w:r>
          </w:p>
        </w:tc>
        <w:tc>
          <w:tcPr>
            <w:tcW w:w="1500" w:type="dxa"/>
            <w:vAlign w:val="bottom"/>
            <w:tcBorders>
              <w:bottom w:val="single" w:sz="8" w:color="CCEEFF"/>
            </w:tcBorders>
            <w:shd w:val="clear" w:color="auto" w:fill="CCEEFF"/>
          </w:tcPr>
          <w:p>
            <w:pPr>
              <w:jc w:val="right"/>
              <w:ind w:right="499"/>
              <w:spacing w:after="0"/>
              <w:rPr>
                <w:sz w:val="20"/>
                <w:szCs w:val="20"/>
                <w:color w:val="auto"/>
              </w:rPr>
            </w:pPr>
            <w:r>
              <w:rPr>
                <w:rFonts w:ascii="Arial" w:cs="Arial" w:eastAsia="Arial" w:hAnsi="Arial"/>
                <w:sz w:val="16"/>
                <w:szCs w:val="16"/>
                <w:color w:val="auto"/>
              </w:rPr>
              <w:t>141</w:t>
            </w:r>
          </w:p>
        </w:tc>
        <w:tc>
          <w:tcPr>
            <w:tcW w:w="148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color w:val="auto"/>
              </w:rPr>
              <w:t>165</w:t>
            </w:r>
          </w:p>
        </w:tc>
        <w:tc>
          <w:tcPr>
            <w:tcW w:w="146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color w:val="auto"/>
              </w:rPr>
              <w:t>162</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196</w:t>
            </w:r>
          </w:p>
        </w:tc>
      </w:tr>
      <w:tr>
        <w:trPr>
          <w:trHeight w:val="649"/>
        </w:trPr>
        <w:tc>
          <w:tcPr>
            <w:tcW w:w="282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16</w:t>
            </w:r>
          </w:p>
        </w:tc>
        <w:tc>
          <w:tcPr>
            <w:tcW w:w="1660" w:type="dxa"/>
            <w:vAlign w:val="bottom"/>
            <w:tcBorders>
              <w:top w:val="single" w:sz="8" w:color="auto"/>
            </w:tcBorders>
          </w:tcPr>
          <w:p>
            <w:pPr>
              <w:spacing w:after="0"/>
              <w:rPr>
                <w:sz w:val="24"/>
                <w:szCs w:val="24"/>
                <w:color w:val="auto"/>
              </w:rPr>
            </w:pPr>
          </w:p>
        </w:tc>
        <w:tc>
          <w:tcPr>
            <w:tcW w:w="1500" w:type="dxa"/>
            <w:vAlign w:val="bottom"/>
            <w:tcBorders>
              <w:top w:val="single" w:sz="8" w:color="auto"/>
            </w:tcBorders>
          </w:tcPr>
          <w:p>
            <w:pPr>
              <w:spacing w:after="0"/>
              <w:rPr>
                <w:sz w:val="24"/>
                <w:szCs w:val="24"/>
                <w:color w:val="auto"/>
              </w:rPr>
            </w:pPr>
          </w:p>
        </w:tc>
        <w:tc>
          <w:tcPr>
            <w:tcW w:w="1500" w:type="dxa"/>
            <w:vAlign w:val="bottom"/>
            <w:tcBorders>
              <w:top w:val="single" w:sz="8" w:color="auto"/>
            </w:tcBorders>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r>
    </w:tbl>
    <w:p>
      <w:pPr>
        <w:sectPr>
          <w:pgSz w:w="11900" w:h="16838" w:orient="portrait"/>
          <w:cols w:equalWidth="0" w:num="1">
            <w:col w:w="11420"/>
          </w:cols>
          <w:pgMar w:left="240" w:top="126" w:right="239" w:bottom="1440" w:gutter="0" w:footer="0" w:header="0"/>
        </w:sectPr>
      </w:pPr>
    </w:p>
    <w:bookmarkStart w:id="16" w:name="page17"/>
    <w:bookmarkEnd w:id="16"/>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6. Selected Financial Data.</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Dollars in millions except per square foot and per share amounts</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selected financial data are derived from the audited Consolidated Financial Statements and should be read in conjunction with Item 1A: Risk</w:t>
      </w:r>
    </w:p>
    <w:p>
      <w:pPr>
        <w:spacing w:after="0" w:line="46" w:lineRule="exact"/>
        <w:rPr>
          <w:sz w:val="20"/>
          <w:szCs w:val="20"/>
          <w:color w:val="auto"/>
        </w:rPr>
      </w:pPr>
    </w:p>
    <w:p>
      <w:pPr>
        <w:ind w:right="1060"/>
        <w:spacing w:after="0" w:line="261" w:lineRule="auto"/>
        <w:rPr>
          <w:sz w:val="20"/>
          <w:szCs w:val="20"/>
          <w:color w:val="auto"/>
        </w:rPr>
      </w:pPr>
      <w:r>
        <w:rPr>
          <w:rFonts w:ascii="Arial" w:cs="Arial" w:eastAsia="Arial" w:hAnsi="Arial"/>
          <w:sz w:val="18"/>
          <w:szCs w:val="18"/>
          <w:color w:val="auto"/>
        </w:rPr>
        <w:t>Factors, Item 7: Management’s Discussion and Analysis of Financial Condition and Results of Operations and Item 8: Financial Statements and Supplementary Data of this Annual Report on Form 10-K.</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900" w:type="dxa"/>
            <w:vAlign w:val="bottom"/>
          </w:tcPr>
          <w:p>
            <w:pPr>
              <w:ind w:left="40"/>
              <w:spacing w:after="0"/>
              <w:rPr>
                <w:sz w:val="20"/>
                <w:szCs w:val="20"/>
                <w:color w:val="auto"/>
              </w:rPr>
            </w:pPr>
            <w:r>
              <w:rPr>
                <w:rFonts w:ascii="Arial" w:cs="Arial" w:eastAsia="Arial" w:hAnsi="Arial"/>
                <w:sz w:val="16"/>
                <w:szCs w:val="16"/>
                <w:b w:val="1"/>
                <w:bCs w:val="1"/>
                <w:color w:val="auto"/>
              </w:rPr>
              <w:t>Fiscal year</w:t>
            </w:r>
          </w:p>
        </w:tc>
        <w:tc>
          <w:tcPr>
            <w:tcW w:w="1540" w:type="dxa"/>
            <w:vAlign w:val="bottom"/>
          </w:tcPr>
          <w:p>
            <w:pPr>
              <w:jc w:val="right"/>
              <w:ind w:right="479"/>
              <w:spacing w:after="0"/>
              <w:rPr>
                <w:sz w:val="20"/>
                <w:szCs w:val="20"/>
                <w:color w:val="auto"/>
              </w:rPr>
            </w:pPr>
            <w:r>
              <w:rPr>
                <w:rFonts w:ascii="Arial" w:cs="Arial" w:eastAsia="Arial" w:hAnsi="Arial"/>
                <w:sz w:val="16"/>
                <w:szCs w:val="16"/>
                <w:b w:val="1"/>
                <w:bCs w:val="1"/>
                <w:color w:val="auto"/>
              </w:rPr>
              <w:t>2016</w:t>
            </w:r>
          </w:p>
        </w:tc>
        <w:tc>
          <w:tcPr>
            <w:tcW w:w="1540" w:type="dxa"/>
            <w:vAlign w:val="bottom"/>
          </w:tcPr>
          <w:p>
            <w:pPr>
              <w:jc w:val="right"/>
              <w:ind w:right="399"/>
              <w:spacing w:after="0"/>
              <w:rPr>
                <w:sz w:val="20"/>
                <w:szCs w:val="20"/>
                <w:color w:val="auto"/>
              </w:rPr>
            </w:pPr>
            <w:r>
              <w:rPr>
                <w:rFonts w:ascii="Arial" w:cs="Arial" w:eastAsia="Arial" w:hAnsi="Arial"/>
                <w:sz w:val="16"/>
                <w:szCs w:val="16"/>
                <w:b w:val="1"/>
                <w:bCs w:val="1"/>
                <w:color w:val="auto"/>
              </w:rPr>
              <w:t>2015</w:t>
            </w:r>
          </w:p>
        </w:tc>
        <w:tc>
          <w:tcPr>
            <w:tcW w:w="1540" w:type="dxa"/>
            <w:vAlign w:val="bottom"/>
          </w:tcPr>
          <w:p>
            <w:pPr>
              <w:jc w:val="right"/>
              <w:ind w:right="399"/>
              <w:spacing w:after="0"/>
              <w:rPr>
                <w:sz w:val="20"/>
                <w:szCs w:val="20"/>
                <w:color w:val="auto"/>
              </w:rPr>
            </w:pPr>
            <w:r>
              <w:rPr>
                <w:rFonts w:ascii="Arial" w:cs="Arial" w:eastAsia="Arial" w:hAnsi="Arial"/>
                <w:sz w:val="16"/>
                <w:szCs w:val="16"/>
                <w:b w:val="1"/>
                <w:bCs w:val="1"/>
                <w:color w:val="auto"/>
              </w:rPr>
              <w:t>2014</w:t>
            </w:r>
          </w:p>
        </w:tc>
        <w:tc>
          <w:tcPr>
            <w:tcW w:w="1540" w:type="dxa"/>
            <w:vAlign w:val="bottom"/>
          </w:tcPr>
          <w:p>
            <w:pPr>
              <w:jc w:val="right"/>
              <w:ind w:right="399"/>
              <w:spacing w:after="0"/>
              <w:rPr>
                <w:sz w:val="20"/>
                <w:szCs w:val="20"/>
                <w:color w:val="auto"/>
              </w:rPr>
            </w:pPr>
            <w:r>
              <w:rPr>
                <w:rFonts w:ascii="Arial" w:cs="Arial" w:eastAsia="Arial" w:hAnsi="Arial"/>
                <w:sz w:val="16"/>
                <w:szCs w:val="16"/>
                <w:b w:val="1"/>
                <w:bCs w:val="1"/>
                <w:color w:val="auto"/>
              </w:rPr>
              <w:t>2013</w:t>
            </w:r>
          </w:p>
        </w:tc>
        <w:tc>
          <w:tcPr>
            <w:tcW w:w="1360" w:type="dxa"/>
            <w:vAlign w:val="bottom"/>
          </w:tcPr>
          <w:p>
            <w:pPr>
              <w:jc w:val="right"/>
              <w:ind w:right="219"/>
              <w:spacing w:after="0"/>
              <w:rPr>
                <w:sz w:val="20"/>
                <w:szCs w:val="20"/>
                <w:color w:val="auto"/>
              </w:rPr>
            </w:pPr>
            <w:r>
              <w:rPr>
                <w:rFonts w:ascii="Arial" w:cs="Arial" w:eastAsia="Arial" w:hAnsi="Arial"/>
                <w:sz w:val="16"/>
                <w:szCs w:val="16"/>
                <w:b w:val="1"/>
                <w:bCs w:val="1"/>
                <w:color w:val="auto"/>
              </w:rPr>
              <w:t>2012</w:t>
            </w:r>
          </w:p>
        </w:tc>
        <w:tc>
          <w:tcPr>
            <w:tcW w:w="0" w:type="dxa"/>
            <w:vAlign w:val="bottom"/>
          </w:tcPr>
          <w:p>
            <w:pPr>
              <w:spacing w:after="0"/>
              <w:rPr>
                <w:sz w:val="1"/>
                <w:szCs w:val="1"/>
                <w:color w:val="auto"/>
              </w:rPr>
            </w:pPr>
          </w:p>
        </w:tc>
      </w:tr>
      <w:tr>
        <w:trPr>
          <w:trHeight w:val="33"/>
        </w:trPr>
        <w:tc>
          <w:tcPr>
            <w:tcW w:w="39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Earnings Results</w:t>
            </w:r>
          </w:p>
        </w:tc>
        <w:tc>
          <w:tcPr>
            <w:tcW w:w="15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900" w:type="dxa"/>
            <w:vAlign w:val="bottom"/>
          </w:tcPr>
          <w:p>
            <w:pPr>
              <w:ind w:left="280"/>
              <w:spacing w:after="0"/>
              <w:rPr>
                <w:sz w:val="20"/>
                <w:szCs w:val="20"/>
                <w:color w:val="auto"/>
              </w:rPr>
            </w:pPr>
            <w:r>
              <w:rPr>
                <w:rFonts w:ascii="Arial" w:cs="Arial" w:eastAsia="Arial" w:hAnsi="Arial"/>
                <w:sz w:val="16"/>
                <w:szCs w:val="16"/>
                <w:color w:val="auto"/>
              </w:rPr>
              <w:t>Net sales</w:t>
            </w:r>
          </w:p>
        </w:tc>
        <w:tc>
          <w:tcPr>
            <w:tcW w:w="1540" w:type="dxa"/>
            <w:vAlign w:val="bottom"/>
          </w:tcPr>
          <w:p>
            <w:pPr>
              <w:jc w:val="right"/>
              <w:ind w:right="479"/>
              <w:spacing w:after="0"/>
              <w:rPr>
                <w:sz w:val="20"/>
                <w:szCs w:val="20"/>
                <w:color w:val="auto"/>
              </w:rPr>
            </w:pPr>
            <w:r>
              <w:rPr>
                <w:rFonts w:ascii="Arial" w:cs="Arial" w:eastAsia="Arial" w:hAnsi="Arial"/>
                <w:sz w:val="16"/>
                <w:szCs w:val="16"/>
                <w:b w:val="1"/>
                <w:bCs w:val="1"/>
                <w:color w:val="auto"/>
              </w:rPr>
              <w:t>$14,498</w:t>
            </w:r>
          </w:p>
        </w:tc>
        <w:tc>
          <w:tcPr>
            <w:tcW w:w="1540" w:type="dxa"/>
            <w:vAlign w:val="bottom"/>
          </w:tcPr>
          <w:p>
            <w:pPr>
              <w:jc w:val="right"/>
              <w:ind w:right="399"/>
              <w:spacing w:after="0"/>
              <w:rPr>
                <w:sz w:val="20"/>
                <w:szCs w:val="20"/>
                <w:color w:val="auto"/>
              </w:rPr>
            </w:pPr>
            <w:r>
              <w:rPr>
                <w:rFonts w:ascii="Arial" w:cs="Arial" w:eastAsia="Arial" w:hAnsi="Arial"/>
                <w:sz w:val="16"/>
                <w:szCs w:val="16"/>
                <w:color w:val="auto"/>
              </w:rPr>
              <w:t>$14,095</w:t>
            </w:r>
          </w:p>
        </w:tc>
        <w:tc>
          <w:tcPr>
            <w:tcW w:w="1540" w:type="dxa"/>
            <w:vAlign w:val="bottom"/>
          </w:tcPr>
          <w:p>
            <w:pPr>
              <w:jc w:val="right"/>
              <w:ind w:right="399"/>
              <w:spacing w:after="0"/>
              <w:rPr>
                <w:sz w:val="20"/>
                <w:szCs w:val="20"/>
                <w:color w:val="auto"/>
              </w:rPr>
            </w:pPr>
            <w:r>
              <w:rPr>
                <w:rFonts w:ascii="Arial" w:cs="Arial" w:eastAsia="Arial" w:hAnsi="Arial"/>
                <w:sz w:val="16"/>
                <w:szCs w:val="16"/>
                <w:color w:val="auto"/>
              </w:rPr>
              <w:t>$13,110</w:t>
            </w:r>
          </w:p>
        </w:tc>
        <w:tc>
          <w:tcPr>
            <w:tcW w:w="1540" w:type="dxa"/>
            <w:vAlign w:val="bottom"/>
          </w:tcPr>
          <w:p>
            <w:pPr>
              <w:jc w:val="right"/>
              <w:ind w:right="399"/>
              <w:spacing w:after="0"/>
              <w:rPr>
                <w:sz w:val="20"/>
                <w:szCs w:val="20"/>
                <w:color w:val="auto"/>
              </w:rPr>
            </w:pPr>
            <w:r>
              <w:rPr>
                <w:rFonts w:ascii="Arial" w:cs="Arial" w:eastAsia="Arial" w:hAnsi="Arial"/>
                <w:sz w:val="16"/>
                <w:szCs w:val="16"/>
                <w:color w:val="auto"/>
              </w:rPr>
              <w:t>$12,166</w:t>
            </w:r>
          </w:p>
        </w:tc>
        <w:tc>
          <w:tcPr>
            <w:tcW w:w="1360" w:type="dxa"/>
            <w:vAlign w:val="bottom"/>
          </w:tcPr>
          <w:p>
            <w:pPr>
              <w:jc w:val="right"/>
              <w:ind w:right="219"/>
              <w:spacing w:after="0"/>
              <w:rPr>
                <w:sz w:val="20"/>
                <w:szCs w:val="20"/>
                <w:color w:val="auto"/>
              </w:rPr>
            </w:pPr>
            <w:r>
              <w:rPr>
                <w:rFonts w:ascii="Arial" w:cs="Arial" w:eastAsia="Arial" w:hAnsi="Arial"/>
                <w:sz w:val="16"/>
                <w:szCs w:val="16"/>
                <w:color w:val="auto"/>
              </w:rPr>
              <w:t>$11,762</w:t>
            </w:r>
          </w:p>
        </w:tc>
        <w:tc>
          <w:tcPr>
            <w:tcW w:w="0" w:type="dxa"/>
            <w:vAlign w:val="bottom"/>
          </w:tcPr>
          <w:p>
            <w:pPr>
              <w:spacing w:after="0"/>
              <w:rPr>
                <w:sz w:val="1"/>
                <w:szCs w:val="1"/>
                <w:color w:val="auto"/>
              </w:rPr>
            </w:pPr>
          </w:p>
        </w:tc>
      </w:tr>
      <w:tr>
        <w:trPr>
          <w:trHeight w:val="33"/>
        </w:trPr>
        <w:tc>
          <w:tcPr>
            <w:tcW w:w="39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Credit card revenues, net</w:t>
            </w:r>
            <w:r>
              <w:rPr>
                <w:rFonts w:ascii="Arial" w:cs="Arial" w:eastAsia="Arial" w:hAnsi="Arial"/>
                <w:sz w:val="21"/>
                <w:szCs w:val="21"/>
                <w:color w:val="auto"/>
                <w:vertAlign w:val="superscript"/>
              </w:rPr>
              <w:t>1</w:t>
            </w:r>
          </w:p>
        </w:tc>
        <w:tc>
          <w:tcPr>
            <w:tcW w:w="1540" w:type="dxa"/>
            <w:vAlign w:val="bottom"/>
            <w:shd w:val="clear" w:color="auto" w:fill="CCEEFF"/>
          </w:tcPr>
          <w:p>
            <w:pPr>
              <w:jc w:val="right"/>
              <w:ind w:right="479"/>
              <w:spacing w:after="0"/>
              <w:rPr>
                <w:sz w:val="20"/>
                <w:szCs w:val="20"/>
                <w:color w:val="auto"/>
              </w:rPr>
            </w:pPr>
            <w:r>
              <w:rPr>
                <w:rFonts w:ascii="Arial" w:cs="Arial" w:eastAsia="Arial" w:hAnsi="Arial"/>
                <w:sz w:val="16"/>
                <w:szCs w:val="16"/>
                <w:b w:val="1"/>
                <w:bCs w:val="1"/>
                <w:color w:val="auto"/>
              </w:rPr>
              <w:t>259</w:t>
            </w:r>
          </w:p>
        </w:tc>
        <w:tc>
          <w:tcPr>
            <w:tcW w:w="154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342</w:t>
            </w:r>
          </w:p>
        </w:tc>
        <w:tc>
          <w:tcPr>
            <w:tcW w:w="154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396</w:t>
            </w:r>
          </w:p>
        </w:tc>
        <w:tc>
          <w:tcPr>
            <w:tcW w:w="154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374</w:t>
            </w:r>
          </w:p>
        </w:tc>
        <w:tc>
          <w:tcPr>
            <w:tcW w:w="136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372</w:t>
            </w:r>
          </w:p>
        </w:tc>
        <w:tc>
          <w:tcPr>
            <w:tcW w:w="0" w:type="dxa"/>
            <w:vAlign w:val="bottom"/>
          </w:tcPr>
          <w:p>
            <w:pPr>
              <w:spacing w:after="0"/>
              <w:rPr>
                <w:sz w:val="1"/>
                <w:szCs w:val="1"/>
                <w:color w:val="auto"/>
              </w:rPr>
            </w:pPr>
          </w:p>
        </w:tc>
      </w:tr>
      <w:tr>
        <w:trPr>
          <w:trHeight w:val="237"/>
        </w:trPr>
        <w:tc>
          <w:tcPr>
            <w:tcW w:w="3900" w:type="dxa"/>
            <w:vAlign w:val="bottom"/>
          </w:tcPr>
          <w:p>
            <w:pPr>
              <w:ind w:left="280"/>
              <w:spacing w:after="0"/>
              <w:rPr>
                <w:sz w:val="20"/>
                <w:szCs w:val="20"/>
                <w:color w:val="auto"/>
              </w:rPr>
            </w:pPr>
            <w:r>
              <w:rPr>
                <w:rFonts w:ascii="Arial" w:cs="Arial" w:eastAsia="Arial" w:hAnsi="Arial"/>
                <w:sz w:val="16"/>
                <w:szCs w:val="16"/>
                <w:color w:val="auto"/>
              </w:rPr>
              <w:t>Gross profit</w:t>
            </w:r>
          </w:p>
        </w:tc>
        <w:tc>
          <w:tcPr>
            <w:tcW w:w="1540" w:type="dxa"/>
            <w:vAlign w:val="bottom"/>
          </w:tcPr>
          <w:p>
            <w:pPr>
              <w:jc w:val="right"/>
              <w:ind w:right="479"/>
              <w:spacing w:after="0"/>
              <w:rPr>
                <w:sz w:val="20"/>
                <w:szCs w:val="20"/>
                <w:color w:val="auto"/>
              </w:rPr>
            </w:pPr>
            <w:r>
              <w:rPr>
                <w:rFonts w:ascii="Arial" w:cs="Arial" w:eastAsia="Arial" w:hAnsi="Arial"/>
                <w:sz w:val="16"/>
                <w:szCs w:val="16"/>
                <w:b w:val="1"/>
                <w:bCs w:val="1"/>
                <w:color w:val="auto"/>
              </w:rPr>
              <w:t>5,058</w:t>
            </w:r>
          </w:p>
        </w:tc>
        <w:tc>
          <w:tcPr>
            <w:tcW w:w="1540" w:type="dxa"/>
            <w:vAlign w:val="bottom"/>
          </w:tcPr>
          <w:p>
            <w:pPr>
              <w:jc w:val="right"/>
              <w:ind w:right="399"/>
              <w:spacing w:after="0"/>
              <w:rPr>
                <w:sz w:val="20"/>
                <w:szCs w:val="20"/>
                <w:color w:val="auto"/>
              </w:rPr>
            </w:pPr>
            <w:r>
              <w:rPr>
                <w:rFonts w:ascii="Arial" w:cs="Arial" w:eastAsia="Arial" w:hAnsi="Arial"/>
                <w:sz w:val="16"/>
                <w:szCs w:val="16"/>
                <w:color w:val="auto"/>
              </w:rPr>
              <w:t>4,927</w:t>
            </w:r>
          </w:p>
        </w:tc>
        <w:tc>
          <w:tcPr>
            <w:tcW w:w="1540" w:type="dxa"/>
            <w:vAlign w:val="bottom"/>
          </w:tcPr>
          <w:p>
            <w:pPr>
              <w:jc w:val="right"/>
              <w:ind w:right="399"/>
              <w:spacing w:after="0"/>
              <w:rPr>
                <w:sz w:val="20"/>
                <w:szCs w:val="20"/>
                <w:color w:val="auto"/>
              </w:rPr>
            </w:pPr>
            <w:r>
              <w:rPr>
                <w:rFonts w:ascii="Arial" w:cs="Arial" w:eastAsia="Arial" w:hAnsi="Arial"/>
                <w:sz w:val="16"/>
                <w:szCs w:val="16"/>
                <w:color w:val="auto"/>
              </w:rPr>
              <w:t>4,704</w:t>
            </w:r>
          </w:p>
        </w:tc>
        <w:tc>
          <w:tcPr>
            <w:tcW w:w="1540" w:type="dxa"/>
            <w:vAlign w:val="bottom"/>
          </w:tcPr>
          <w:p>
            <w:pPr>
              <w:jc w:val="right"/>
              <w:ind w:right="399"/>
              <w:spacing w:after="0"/>
              <w:rPr>
                <w:sz w:val="20"/>
                <w:szCs w:val="20"/>
                <w:color w:val="auto"/>
              </w:rPr>
            </w:pPr>
            <w:r>
              <w:rPr>
                <w:rFonts w:ascii="Arial" w:cs="Arial" w:eastAsia="Arial" w:hAnsi="Arial"/>
                <w:sz w:val="16"/>
                <w:szCs w:val="16"/>
                <w:color w:val="auto"/>
              </w:rPr>
              <w:t>4,429</w:t>
            </w:r>
          </w:p>
        </w:tc>
        <w:tc>
          <w:tcPr>
            <w:tcW w:w="1360" w:type="dxa"/>
            <w:vAlign w:val="bottom"/>
          </w:tcPr>
          <w:p>
            <w:pPr>
              <w:jc w:val="right"/>
              <w:ind w:right="219"/>
              <w:spacing w:after="0"/>
              <w:rPr>
                <w:sz w:val="20"/>
                <w:szCs w:val="20"/>
                <w:color w:val="auto"/>
              </w:rPr>
            </w:pPr>
            <w:r>
              <w:rPr>
                <w:rFonts w:ascii="Arial" w:cs="Arial" w:eastAsia="Arial" w:hAnsi="Arial"/>
                <w:sz w:val="16"/>
                <w:szCs w:val="16"/>
                <w:color w:val="auto"/>
              </w:rPr>
              <w:t>4,330</w:t>
            </w:r>
          </w:p>
        </w:tc>
        <w:tc>
          <w:tcPr>
            <w:tcW w:w="0" w:type="dxa"/>
            <w:vAlign w:val="bottom"/>
          </w:tcPr>
          <w:p>
            <w:pPr>
              <w:spacing w:after="0"/>
              <w:rPr>
                <w:sz w:val="1"/>
                <w:szCs w:val="1"/>
                <w:color w:val="auto"/>
              </w:rPr>
            </w:pPr>
          </w:p>
        </w:tc>
      </w:tr>
      <w:tr>
        <w:trPr>
          <w:trHeight w:val="33"/>
        </w:trPr>
        <w:tc>
          <w:tcPr>
            <w:tcW w:w="39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9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Selling, general and administrative (“SG&amp;A”)</w:t>
            </w:r>
          </w:p>
        </w:tc>
        <w:tc>
          <w:tcPr>
            <w:tcW w:w="1540" w:type="dxa"/>
            <w:vAlign w:val="bottom"/>
            <w:vMerge w:val="restart"/>
            <w:shd w:val="clear" w:color="auto" w:fill="CCEEFF"/>
          </w:tcPr>
          <w:p>
            <w:pPr>
              <w:jc w:val="right"/>
              <w:ind w:right="419"/>
              <w:spacing w:after="0"/>
              <w:rPr>
                <w:sz w:val="20"/>
                <w:szCs w:val="20"/>
                <w:color w:val="auto"/>
              </w:rPr>
            </w:pPr>
            <w:r>
              <w:rPr>
                <w:rFonts w:ascii="Arial" w:cs="Arial" w:eastAsia="Arial" w:hAnsi="Arial"/>
                <w:sz w:val="16"/>
                <w:szCs w:val="16"/>
                <w:b w:val="1"/>
                <w:bCs w:val="1"/>
                <w:color w:val="auto"/>
              </w:rPr>
              <w:t>(4,315)</w:t>
            </w:r>
          </w:p>
        </w:tc>
        <w:tc>
          <w:tcPr>
            <w:tcW w:w="154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expenses</w:t>
            </w:r>
          </w:p>
        </w:tc>
        <w:tc>
          <w:tcPr>
            <w:tcW w:w="1540" w:type="dxa"/>
            <w:vAlign w:val="bottom"/>
            <w:tcBorders>
              <w:bottom w:val="single" w:sz="8" w:color="CCEEFF"/>
            </w:tcBorders>
            <w:vMerge w:val="continue"/>
            <w:shd w:val="clear" w:color="auto" w:fill="CCEEFF"/>
          </w:tcPr>
          <w:p>
            <w:pPr>
              <w:spacing w:after="0"/>
              <w:rPr>
                <w:sz w:val="19"/>
                <w:szCs w:val="19"/>
                <w:color w:val="auto"/>
              </w:rPr>
            </w:pPr>
          </w:p>
        </w:tc>
        <w:tc>
          <w:tcPr>
            <w:tcW w:w="154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rPr>
              <w:t>(4,168)</w:t>
            </w:r>
          </w:p>
        </w:tc>
        <w:tc>
          <w:tcPr>
            <w:tcW w:w="154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rPr>
              <w:t>(3,777)</w:t>
            </w:r>
          </w:p>
        </w:tc>
        <w:tc>
          <w:tcPr>
            <w:tcW w:w="154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rPr>
              <w:t>(3,453)</w:t>
            </w:r>
          </w:p>
        </w:tc>
        <w:tc>
          <w:tcPr>
            <w:tcW w:w="1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(3,357)</w:t>
            </w:r>
          </w:p>
        </w:tc>
        <w:tc>
          <w:tcPr>
            <w:tcW w:w="0" w:type="dxa"/>
            <w:vAlign w:val="bottom"/>
          </w:tcPr>
          <w:p>
            <w:pPr>
              <w:spacing w:after="0"/>
              <w:rPr>
                <w:sz w:val="1"/>
                <w:szCs w:val="1"/>
                <w:color w:val="auto"/>
              </w:rPr>
            </w:pPr>
          </w:p>
        </w:tc>
      </w:tr>
      <w:tr>
        <w:trPr>
          <w:trHeight w:val="237"/>
        </w:trPr>
        <w:tc>
          <w:tcPr>
            <w:tcW w:w="3900" w:type="dxa"/>
            <w:vAlign w:val="bottom"/>
          </w:tcPr>
          <w:p>
            <w:pPr>
              <w:ind w:left="280"/>
              <w:spacing w:after="0"/>
              <w:rPr>
                <w:sz w:val="20"/>
                <w:szCs w:val="20"/>
                <w:color w:val="auto"/>
              </w:rPr>
            </w:pPr>
            <w:r>
              <w:rPr>
                <w:rFonts w:ascii="Arial" w:cs="Arial" w:eastAsia="Arial" w:hAnsi="Arial"/>
                <w:sz w:val="16"/>
                <w:szCs w:val="16"/>
                <w:color w:val="auto"/>
                <w:w w:val="99"/>
              </w:rPr>
              <w:t>Earnings before interest and income taxes (“EBIT”)</w:t>
            </w:r>
          </w:p>
        </w:tc>
        <w:tc>
          <w:tcPr>
            <w:tcW w:w="1540" w:type="dxa"/>
            <w:vAlign w:val="bottom"/>
          </w:tcPr>
          <w:p>
            <w:pPr>
              <w:jc w:val="right"/>
              <w:ind w:right="479"/>
              <w:spacing w:after="0"/>
              <w:rPr>
                <w:sz w:val="20"/>
                <w:szCs w:val="20"/>
                <w:color w:val="auto"/>
              </w:rPr>
            </w:pPr>
            <w:r>
              <w:rPr>
                <w:rFonts w:ascii="Arial" w:cs="Arial" w:eastAsia="Arial" w:hAnsi="Arial"/>
                <w:sz w:val="16"/>
                <w:szCs w:val="16"/>
                <w:b w:val="1"/>
                <w:bCs w:val="1"/>
                <w:color w:val="auto"/>
              </w:rPr>
              <w:t>805</w:t>
            </w:r>
          </w:p>
        </w:tc>
        <w:tc>
          <w:tcPr>
            <w:tcW w:w="1540" w:type="dxa"/>
            <w:vAlign w:val="bottom"/>
          </w:tcPr>
          <w:p>
            <w:pPr>
              <w:jc w:val="right"/>
              <w:ind w:right="399"/>
              <w:spacing w:after="0"/>
              <w:rPr>
                <w:sz w:val="20"/>
                <w:szCs w:val="20"/>
                <w:color w:val="auto"/>
              </w:rPr>
            </w:pPr>
            <w:r>
              <w:rPr>
                <w:rFonts w:ascii="Arial" w:cs="Arial" w:eastAsia="Arial" w:hAnsi="Arial"/>
                <w:sz w:val="16"/>
                <w:szCs w:val="16"/>
                <w:color w:val="auto"/>
              </w:rPr>
              <w:t>1,101</w:t>
            </w:r>
          </w:p>
        </w:tc>
        <w:tc>
          <w:tcPr>
            <w:tcW w:w="1540" w:type="dxa"/>
            <w:vAlign w:val="bottom"/>
          </w:tcPr>
          <w:p>
            <w:pPr>
              <w:jc w:val="right"/>
              <w:ind w:right="399"/>
              <w:spacing w:after="0"/>
              <w:rPr>
                <w:sz w:val="20"/>
                <w:szCs w:val="20"/>
                <w:color w:val="auto"/>
              </w:rPr>
            </w:pPr>
            <w:r>
              <w:rPr>
                <w:rFonts w:ascii="Arial" w:cs="Arial" w:eastAsia="Arial" w:hAnsi="Arial"/>
                <w:sz w:val="16"/>
                <w:szCs w:val="16"/>
                <w:color w:val="auto"/>
              </w:rPr>
              <w:t>1,323</w:t>
            </w:r>
          </w:p>
        </w:tc>
        <w:tc>
          <w:tcPr>
            <w:tcW w:w="1540" w:type="dxa"/>
            <w:vAlign w:val="bottom"/>
          </w:tcPr>
          <w:p>
            <w:pPr>
              <w:jc w:val="right"/>
              <w:ind w:right="399"/>
              <w:spacing w:after="0"/>
              <w:rPr>
                <w:sz w:val="20"/>
                <w:szCs w:val="20"/>
                <w:color w:val="auto"/>
              </w:rPr>
            </w:pPr>
            <w:r>
              <w:rPr>
                <w:rFonts w:ascii="Arial" w:cs="Arial" w:eastAsia="Arial" w:hAnsi="Arial"/>
                <w:sz w:val="16"/>
                <w:szCs w:val="16"/>
                <w:color w:val="auto"/>
              </w:rPr>
              <w:t>1,350</w:t>
            </w:r>
          </w:p>
        </w:tc>
        <w:tc>
          <w:tcPr>
            <w:tcW w:w="1360" w:type="dxa"/>
            <w:vAlign w:val="bottom"/>
          </w:tcPr>
          <w:p>
            <w:pPr>
              <w:jc w:val="right"/>
              <w:ind w:right="219"/>
              <w:spacing w:after="0"/>
              <w:rPr>
                <w:sz w:val="20"/>
                <w:szCs w:val="20"/>
                <w:color w:val="auto"/>
              </w:rPr>
            </w:pPr>
            <w:r>
              <w:rPr>
                <w:rFonts w:ascii="Arial" w:cs="Arial" w:eastAsia="Arial" w:hAnsi="Arial"/>
                <w:sz w:val="16"/>
                <w:szCs w:val="16"/>
                <w:color w:val="auto"/>
              </w:rPr>
              <w:t>1,345</w:t>
            </w:r>
          </w:p>
        </w:tc>
        <w:tc>
          <w:tcPr>
            <w:tcW w:w="0" w:type="dxa"/>
            <w:vAlign w:val="bottom"/>
          </w:tcPr>
          <w:p>
            <w:pPr>
              <w:spacing w:after="0"/>
              <w:rPr>
                <w:sz w:val="1"/>
                <w:szCs w:val="1"/>
                <w:color w:val="auto"/>
              </w:rPr>
            </w:pPr>
          </w:p>
        </w:tc>
      </w:tr>
      <w:tr>
        <w:trPr>
          <w:trHeight w:val="33"/>
        </w:trPr>
        <w:tc>
          <w:tcPr>
            <w:tcW w:w="39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earnings</w:t>
            </w:r>
          </w:p>
        </w:tc>
        <w:tc>
          <w:tcPr>
            <w:tcW w:w="154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b w:val="1"/>
                <w:bCs w:val="1"/>
                <w:color w:val="auto"/>
              </w:rPr>
              <w:t>354</w:t>
            </w:r>
          </w:p>
        </w:tc>
        <w:tc>
          <w:tcPr>
            <w:tcW w:w="1540" w:type="dxa"/>
            <w:vAlign w:val="bottom"/>
            <w:tcBorders>
              <w:bottom w:val="single" w:sz="8" w:color="CCEEFF"/>
            </w:tcBorders>
            <w:shd w:val="clear" w:color="auto" w:fill="CCEEFF"/>
          </w:tcPr>
          <w:p>
            <w:pPr>
              <w:jc w:val="right"/>
              <w:ind w:right="399"/>
              <w:spacing w:after="0"/>
              <w:rPr>
                <w:sz w:val="20"/>
                <w:szCs w:val="20"/>
                <w:color w:val="auto"/>
              </w:rPr>
            </w:pPr>
            <w:r>
              <w:rPr>
                <w:rFonts w:ascii="Arial" w:cs="Arial" w:eastAsia="Arial" w:hAnsi="Arial"/>
                <w:sz w:val="16"/>
                <w:szCs w:val="16"/>
                <w:color w:val="auto"/>
              </w:rPr>
              <w:t>600</w:t>
            </w:r>
          </w:p>
        </w:tc>
        <w:tc>
          <w:tcPr>
            <w:tcW w:w="1540" w:type="dxa"/>
            <w:vAlign w:val="bottom"/>
            <w:tcBorders>
              <w:bottom w:val="single" w:sz="8" w:color="CCEEFF"/>
            </w:tcBorders>
            <w:shd w:val="clear" w:color="auto" w:fill="CCEEFF"/>
          </w:tcPr>
          <w:p>
            <w:pPr>
              <w:jc w:val="right"/>
              <w:ind w:right="399"/>
              <w:spacing w:after="0"/>
              <w:rPr>
                <w:sz w:val="20"/>
                <w:szCs w:val="20"/>
                <w:color w:val="auto"/>
              </w:rPr>
            </w:pPr>
            <w:r>
              <w:rPr>
                <w:rFonts w:ascii="Arial" w:cs="Arial" w:eastAsia="Arial" w:hAnsi="Arial"/>
                <w:sz w:val="16"/>
                <w:szCs w:val="16"/>
                <w:color w:val="auto"/>
              </w:rPr>
              <w:t>720</w:t>
            </w:r>
          </w:p>
        </w:tc>
        <w:tc>
          <w:tcPr>
            <w:tcW w:w="1540" w:type="dxa"/>
            <w:vAlign w:val="bottom"/>
            <w:tcBorders>
              <w:bottom w:val="single" w:sz="8" w:color="CCEEFF"/>
            </w:tcBorders>
            <w:shd w:val="clear" w:color="auto" w:fill="CCEEFF"/>
          </w:tcPr>
          <w:p>
            <w:pPr>
              <w:jc w:val="right"/>
              <w:ind w:right="399"/>
              <w:spacing w:after="0"/>
              <w:rPr>
                <w:sz w:val="20"/>
                <w:szCs w:val="20"/>
                <w:color w:val="auto"/>
              </w:rPr>
            </w:pPr>
            <w:r>
              <w:rPr>
                <w:rFonts w:ascii="Arial" w:cs="Arial" w:eastAsia="Arial" w:hAnsi="Arial"/>
                <w:sz w:val="16"/>
                <w:szCs w:val="16"/>
                <w:color w:val="auto"/>
              </w:rPr>
              <w:t>734</w:t>
            </w:r>
          </w:p>
        </w:tc>
        <w:tc>
          <w:tcPr>
            <w:tcW w:w="136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735</w:t>
            </w:r>
          </w:p>
        </w:tc>
        <w:tc>
          <w:tcPr>
            <w:tcW w:w="0" w:type="dxa"/>
            <w:vAlign w:val="bottom"/>
          </w:tcPr>
          <w:p>
            <w:pPr>
              <w:spacing w:after="0"/>
              <w:rPr>
                <w:sz w:val="1"/>
                <w:szCs w:val="1"/>
                <w:color w:val="auto"/>
              </w:rPr>
            </w:pPr>
          </w:p>
        </w:tc>
      </w:tr>
      <w:tr>
        <w:trPr>
          <w:trHeight w:val="243"/>
        </w:trPr>
        <w:tc>
          <w:tcPr>
            <w:tcW w:w="39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Sheet and Cash Flow Data</w:t>
            </w:r>
          </w:p>
        </w:tc>
        <w:tc>
          <w:tcPr>
            <w:tcW w:w="15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900" w:type="dxa"/>
            <w:vAlign w:val="bottom"/>
          </w:tcPr>
          <w:p>
            <w:pPr>
              <w:ind w:left="280"/>
              <w:spacing w:after="0"/>
              <w:rPr>
                <w:sz w:val="20"/>
                <w:szCs w:val="20"/>
                <w:color w:val="auto"/>
              </w:rPr>
            </w:pPr>
            <w:r>
              <w:rPr>
                <w:rFonts w:ascii="Arial" w:cs="Arial" w:eastAsia="Arial" w:hAnsi="Arial"/>
                <w:sz w:val="16"/>
                <w:szCs w:val="16"/>
                <w:color w:val="auto"/>
              </w:rPr>
              <w:t>Cash and cash equivalents</w:t>
            </w:r>
          </w:p>
        </w:tc>
        <w:tc>
          <w:tcPr>
            <w:tcW w:w="1540" w:type="dxa"/>
            <w:vAlign w:val="bottom"/>
          </w:tcPr>
          <w:p>
            <w:pPr>
              <w:jc w:val="right"/>
              <w:ind w:right="479"/>
              <w:spacing w:after="0"/>
              <w:rPr>
                <w:sz w:val="20"/>
                <w:szCs w:val="20"/>
                <w:color w:val="auto"/>
              </w:rPr>
            </w:pPr>
            <w:r>
              <w:rPr>
                <w:rFonts w:ascii="Arial" w:cs="Arial" w:eastAsia="Arial" w:hAnsi="Arial"/>
                <w:sz w:val="16"/>
                <w:szCs w:val="16"/>
                <w:b w:val="1"/>
                <w:bCs w:val="1"/>
                <w:color w:val="auto"/>
              </w:rPr>
              <w:t>$1,007</w:t>
            </w:r>
          </w:p>
        </w:tc>
        <w:tc>
          <w:tcPr>
            <w:tcW w:w="1540" w:type="dxa"/>
            <w:vAlign w:val="bottom"/>
          </w:tcPr>
          <w:p>
            <w:pPr>
              <w:jc w:val="right"/>
              <w:ind w:right="399"/>
              <w:spacing w:after="0"/>
              <w:rPr>
                <w:sz w:val="20"/>
                <w:szCs w:val="20"/>
                <w:color w:val="auto"/>
              </w:rPr>
            </w:pPr>
            <w:r>
              <w:rPr>
                <w:rFonts w:ascii="Arial" w:cs="Arial" w:eastAsia="Arial" w:hAnsi="Arial"/>
                <w:sz w:val="16"/>
                <w:szCs w:val="16"/>
                <w:color w:val="auto"/>
              </w:rPr>
              <w:t>$595</w:t>
            </w:r>
          </w:p>
        </w:tc>
        <w:tc>
          <w:tcPr>
            <w:tcW w:w="1540" w:type="dxa"/>
            <w:vAlign w:val="bottom"/>
          </w:tcPr>
          <w:p>
            <w:pPr>
              <w:jc w:val="right"/>
              <w:ind w:right="399"/>
              <w:spacing w:after="0"/>
              <w:rPr>
                <w:sz w:val="20"/>
                <w:szCs w:val="20"/>
                <w:color w:val="auto"/>
              </w:rPr>
            </w:pPr>
            <w:r>
              <w:rPr>
                <w:rFonts w:ascii="Arial" w:cs="Arial" w:eastAsia="Arial" w:hAnsi="Arial"/>
                <w:sz w:val="16"/>
                <w:szCs w:val="16"/>
                <w:color w:val="auto"/>
              </w:rPr>
              <w:t>$827</w:t>
            </w:r>
          </w:p>
        </w:tc>
        <w:tc>
          <w:tcPr>
            <w:tcW w:w="1540" w:type="dxa"/>
            <w:vAlign w:val="bottom"/>
          </w:tcPr>
          <w:p>
            <w:pPr>
              <w:jc w:val="right"/>
              <w:ind w:right="399"/>
              <w:spacing w:after="0"/>
              <w:rPr>
                <w:sz w:val="20"/>
                <w:szCs w:val="20"/>
                <w:color w:val="auto"/>
              </w:rPr>
            </w:pPr>
            <w:r>
              <w:rPr>
                <w:rFonts w:ascii="Arial" w:cs="Arial" w:eastAsia="Arial" w:hAnsi="Arial"/>
                <w:sz w:val="16"/>
                <w:szCs w:val="16"/>
                <w:color w:val="auto"/>
              </w:rPr>
              <w:t>$1,194</w:t>
            </w:r>
          </w:p>
        </w:tc>
        <w:tc>
          <w:tcPr>
            <w:tcW w:w="1360" w:type="dxa"/>
            <w:vAlign w:val="bottom"/>
          </w:tcPr>
          <w:p>
            <w:pPr>
              <w:jc w:val="right"/>
              <w:ind w:right="219"/>
              <w:spacing w:after="0"/>
              <w:rPr>
                <w:sz w:val="20"/>
                <w:szCs w:val="20"/>
                <w:color w:val="auto"/>
              </w:rPr>
            </w:pPr>
            <w:r>
              <w:rPr>
                <w:rFonts w:ascii="Arial" w:cs="Arial" w:eastAsia="Arial" w:hAnsi="Arial"/>
                <w:sz w:val="16"/>
                <w:szCs w:val="16"/>
                <w:color w:val="auto"/>
              </w:rPr>
              <w:t>$1,285</w:t>
            </w:r>
          </w:p>
        </w:tc>
        <w:tc>
          <w:tcPr>
            <w:tcW w:w="0" w:type="dxa"/>
            <w:vAlign w:val="bottom"/>
          </w:tcPr>
          <w:p>
            <w:pPr>
              <w:spacing w:after="0"/>
              <w:rPr>
                <w:sz w:val="1"/>
                <w:szCs w:val="1"/>
                <w:color w:val="auto"/>
              </w:rPr>
            </w:pPr>
          </w:p>
        </w:tc>
      </w:tr>
      <w:tr>
        <w:trPr>
          <w:trHeight w:val="33"/>
        </w:trPr>
        <w:tc>
          <w:tcPr>
            <w:tcW w:w="39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Merchandise inventories</w:t>
            </w:r>
          </w:p>
        </w:tc>
        <w:tc>
          <w:tcPr>
            <w:tcW w:w="154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b w:val="1"/>
                <w:bCs w:val="1"/>
                <w:color w:val="auto"/>
              </w:rPr>
              <w:t>1,896</w:t>
            </w:r>
          </w:p>
        </w:tc>
        <w:tc>
          <w:tcPr>
            <w:tcW w:w="1540" w:type="dxa"/>
            <w:vAlign w:val="bottom"/>
            <w:tcBorders>
              <w:bottom w:val="single" w:sz="8" w:color="CCEEFF"/>
            </w:tcBorders>
            <w:shd w:val="clear" w:color="auto" w:fill="CCEEFF"/>
          </w:tcPr>
          <w:p>
            <w:pPr>
              <w:jc w:val="right"/>
              <w:ind w:right="399"/>
              <w:spacing w:after="0"/>
              <w:rPr>
                <w:sz w:val="20"/>
                <w:szCs w:val="20"/>
                <w:color w:val="auto"/>
              </w:rPr>
            </w:pPr>
            <w:r>
              <w:rPr>
                <w:rFonts w:ascii="Arial" w:cs="Arial" w:eastAsia="Arial" w:hAnsi="Arial"/>
                <w:sz w:val="16"/>
                <w:szCs w:val="16"/>
                <w:color w:val="auto"/>
              </w:rPr>
              <w:t>1,945</w:t>
            </w:r>
          </w:p>
        </w:tc>
        <w:tc>
          <w:tcPr>
            <w:tcW w:w="1540" w:type="dxa"/>
            <w:vAlign w:val="bottom"/>
            <w:tcBorders>
              <w:bottom w:val="single" w:sz="8" w:color="CCEEFF"/>
            </w:tcBorders>
            <w:shd w:val="clear" w:color="auto" w:fill="CCEEFF"/>
          </w:tcPr>
          <w:p>
            <w:pPr>
              <w:jc w:val="right"/>
              <w:ind w:right="399"/>
              <w:spacing w:after="0"/>
              <w:rPr>
                <w:sz w:val="20"/>
                <w:szCs w:val="20"/>
                <w:color w:val="auto"/>
              </w:rPr>
            </w:pPr>
            <w:r>
              <w:rPr>
                <w:rFonts w:ascii="Arial" w:cs="Arial" w:eastAsia="Arial" w:hAnsi="Arial"/>
                <w:sz w:val="16"/>
                <w:szCs w:val="16"/>
                <w:color w:val="auto"/>
              </w:rPr>
              <w:t>1,733</w:t>
            </w:r>
          </w:p>
        </w:tc>
        <w:tc>
          <w:tcPr>
            <w:tcW w:w="1540" w:type="dxa"/>
            <w:vAlign w:val="bottom"/>
            <w:tcBorders>
              <w:bottom w:val="single" w:sz="8" w:color="CCEEFF"/>
            </w:tcBorders>
            <w:shd w:val="clear" w:color="auto" w:fill="CCEEFF"/>
          </w:tcPr>
          <w:p>
            <w:pPr>
              <w:jc w:val="right"/>
              <w:ind w:right="399"/>
              <w:spacing w:after="0"/>
              <w:rPr>
                <w:sz w:val="20"/>
                <w:szCs w:val="20"/>
                <w:color w:val="auto"/>
              </w:rPr>
            </w:pPr>
            <w:r>
              <w:rPr>
                <w:rFonts w:ascii="Arial" w:cs="Arial" w:eastAsia="Arial" w:hAnsi="Arial"/>
                <w:sz w:val="16"/>
                <w:szCs w:val="16"/>
                <w:color w:val="auto"/>
              </w:rPr>
              <w:t>1,531</w:t>
            </w:r>
          </w:p>
        </w:tc>
        <w:tc>
          <w:tcPr>
            <w:tcW w:w="136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1,360</w:t>
            </w:r>
          </w:p>
        </w:tc>
        <w:tc>
          <w:tcPr>
            <w:tcW w:w="0" w:type="dxa"/>
            <w:vAlign w:val="bottom"/>
          </w:tcPr>
          <w:p>
            <w:pPr>
              <w:spacing w:after="0"/>
              <w:rPr>
                <w:sz w:val="1"/>
                <w:szCs w:val="1"/>
                <w:color w:val="auto"/>
              </w:rPr>
            </w:pPr>
          </w:p>
        </w:tc>
      </w:tr>
      <w:tr>
        <w:trPr>
          <w:trHeight w:val="237"/>
        </w:trPr>
        <w:tc>
          <w:tcPr>
            <w:tcW w:w="3900" w:type="dxa"/>
            <w:vAlign w:val="bottom"/>
          </w:tcPr>
          <w:p>
            <w:pPr>
              <w:ind w:left="280"/>
              <w:spacing w:after="0"/>
              <w:rPr>
                <w:sz w:val="20"/>
                <w:szCs w:val="20"/>
                <w:color w:val="auto"/>
              </w:rPr>
            </w:pPr>
            <w:r>
              <w:rPr>
                <w:rFonts w:ascii="Arial" w:cs="Arial" w:eastAsia="Arial" w:hAnsi="Arial"/>
                <w:sz w:val="16"/>
                <w:szCs w:val="16"/>
                <w:color w:val="auto"/>
              </w:rPr>
              <w:t>Land, property and equipment, net</w:t>
            </w:r>
          </w:p>
        </w:tc>
        <w:tc>
          <w:tcPr>
            <w:tcW w:w="1540" w:type="dxa"/>
            <w:vAlign w:val="bottom"/>
          </w:tcPr>
          <w:p>
            <w:pPr>
              <w:jc w:val="right"/>
              <w:ind w:right="479"/>
              <w:spacing w:after="0"/>
              <w:rPr>
                <w:sz w:val="20"/>
                <w:szCs w:val="20"/>
                <w:color w:val="auto"/>
              </w:rPr>
            </w:pPr>
            <w:r>
              <w:rPr>
                <w:rFonts w:ascii="Arial" w:cs="Arial" w:eastAsia="Arial" w:hAnsi="Arial"/>
                <w:sz w:val="16"/>
                <w:szCs w:val="16"/>
                <w:b w:val="1"/>
                <w:bCs w:val="1"/>
                <w:color w:val="auto"/>
              </w:rPr>
              <w:t>3,897</w:t>
            </w:r>
          </w:p>
        </w:tc>
        <w:tc>
          <w:tcPr>
            <w:tcW w:w="1540" w:type="dxa"/>
            <w:vAlign w:val="bottom"/>
          </w:tcPr>
          <w:p>
            <w:pPr>
              <w:jc w:val="right"/>
              <w:ind w:right="399"/>
              <w:spacing w:after="0"/>
              <w:rPr>
                <w:sz w:val="20"/>
                <w:szCs w:val="20"/>
                <w:color w:val="auto"/>
              </w:rPr>
            </w:pPr>
            <w:r>
              <w:rPr>
                <w:rFonts w:ascii="Arial" w:cs="Arial" w:eastAsia="Arial" w:hAnsi="Arial"/>
                <w:sz w:val="16"/>
                <w:szCs w:val="16"/>
                <w:color w:val="auto"/>
              </w:rPr>
              <w:t>3,735</w:t>
            </w:r>
          </w:p>
        </w:tc>
        <w:tc>
          <w:tcPr>
            <w:tcW w:w="1540" w:type="dxa"/>
            <w:vAlign w:val="bottom"/>
          </w:tcPr>
          <w:p>
            <w:pPr>
              <w:jc w:val="right"/>
              <w:ind w:right="399"/>
              <w:spacing w:after="0"/>
              <w:rPr>
                <w:sz w:val="20"/>
                <w:szCs w:val="20"/>
                <w:color w:val="auto"/>
              </w:rPr>
            </w:pPr>
            <w:r>
              <w:rPr>
                <w:rFonts w:ascii="Arial" w:cs="Arial" w:eastAsia="Arial" w:hAnsi="Arial"/>
                <w:sz w:val="16"/>
                <w:szCs w:val="16"/>
                <w:color w:val="auto"/>
              </w:rPr>
              <w:t>3,340</w:t>
            </w:r>
          </w:p>
        </w:tc>
        <w:tc>
          <w:tcPr>
            <w:tcW w:w="1540" w:type="dxa"/>
            <w:vAlign w:val="bottom"/>
          </w:tcPr>
          <w:p>
            <w:pPr>
              <w:jc w:val="right"/>
              <w:ind w:right="399"/>
              <w:spacing w:after="0"/>
              <w:rPr>
                <w:sz w:val="20"/>
                <w:szCs w:val="20"/>
                <w:color w:val="auto"/>
              </w:rPr>
            </w:pPr>
            <w:r>
              <w:rPr>
                <w:rFonts w:ascii="Arial" w:cs="Arial" w:eastAsia="Arial" w:hAnsi="Arial"/>
                <w:sz w:val="16"/>
                <w:szCs w:val="16"/>
                <w:color w:val="auto"/>
              </w:rPr>
              <w:t>2,949</w:t>
            </w:r>
          </w:p>
        </w:tc>
        <w:tc>
          <w:tcPr>
            <w:tcW w:w="1360" w:type="dxa"/>
            <w:vAlign w:val="bottom"/>
          </w:tcPr>
          <w:p>
            <w:pPr>
              <w:jc w:val="right"/>
              <w:ind w:right="219"/>
              <w:spacing w:after="0"/>
              <w:rPr>
                <w:sz w:val="20"/>
                <w:szCs w:val="20"/>
                <w:color w:val="auto"/>
              </w:rPr>
            </w:pPr>
            <w:r>
              <w:rPr>
                <w:rFonts w:ascii="Arial" w:cs="Arial" w:eastAsia="Arial" w:hAnsi="Arial"/>
                <w:sz w:val="16"/>
                <w:szCs w:val="16"/>
                <w:color w:val="auto"/>
              </w:rPr>
              <w:t>2,579</w:t>
            </w:r>
          </w:p>
        </w:tc>
        <w:tc>
          <w:tcPr>
            <w:tcW w:w="0" w:type="dxa"/>
            <w:vAlign w:val="bottom"/>
          </w:tcPr>
          <w:p>
            <w:pPr>
              <w:spacing w:after="0"/>
              <w:rPr>
                <w:sz w:val="1"/>
                <w:szCs w:val="1"/>
                <w:color w:val="auto"/>
              </w:rPr>
            </w:pPr>
          </w:p>
        </w:tc>
      </w:tr>
      <w:tr>
        <w:trPr>
          <w:trHeight w:val="33"/>
        </w:trPr>
        <w:tc>
          <w:tcPr>
            <w:tcW w:w="39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Total assets</w:t>
            </w:r>
            <w:r>
              <w:rPr>
                <w:rFonts w:ascii="Arial" w:cs="Arial" w:eastAsia="Arial" w:hAnsi="Arial"/>
                <w:sz w:val="21"/>
                <w:szCs w:val="21"/>
                <w:color w:val="auto"/>
                <w:vertAlign w:val="superscript"/>
              </w:rPr>
              <w:t>1</w:t>
            </w:r>
          </w:p>
        </w:tc>
        <w:tc>
          <w:tcPr>
            <w:tcW w:w="1540" w:type="dxa"/>
            <w:vAlign w:val="bottom"/>
            <w:shd w:val="clear" w:color="auto" w:fill="CCEEFF"/>
          </w:tcPr>
          <w:p>
            <w:pPr>
              <w:jc w:val="right"/>
              <w:ind w:right="479"/>
              <w:spacing w:after="0"/>
              <w:rPr>
                <w:sz w:val="20"/>
                <w:szCs w:val="20"/>
                <w:color w:val="auto"/>
              </w:rPr>
            </w:pPr>
            <w:r>
              <w:rPr>
                <w:rFonts w:ascii="Arial" w:cs="Arial" w:eastAsia="Arial" w:hAnsi="Arial"/>
                <w:sz w:val="16"/>
                <w:szCs w:val="16"/>
                <w:b w:val="1"/>
                <w:bCs w:val="1"/>
                <w:color w:val="auto"/>
              </w:rPr>
              <w:t>7,858</w:t>
            </w:r>
          </w:p>
        </w:tc>
        <w:tc>
          <w:tcPr>
            <w:tcW w:w="154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7,698</w:t>
            </w:r>
          </w:p>
        </w:tc>
        <w:tc>
          <w:tcPr>
            <w:tcW w:w="154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9,245</w:t>
            </w:r>
          </w:p>
        </w:tc>
        <w:tc>
          <w:tcPr>
            <w:tcW w:w="154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8,574</w:t>
            </w:r>
          </w:p>
        </w:tc>
        <w:tc>
          <w:tcPr>
            <w:tcW w:w="136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8,089</w:t>
            </w:r>
          </w:p>
        </w:tc>
        <w:tc>
          <w:tcPr>
            <w:tcW w:w="0" w:type="dxa"/>
            <w:vAlign w:val="bottom"/>
          </w:tcPr>
          <w:p>
            <w:pPr>
              <w:spacing w:after="0"/>
              <w:rPr>
                <w:sz w:val="1"/>
                <w:szCs w:val="1"/>
                <w:color w:val="auto"/>
              </w:rPr>
            </w:pPr>
          </w:p>
        </w:tc>
      </w:tr>
      <w:tr>
        <w:trPr>
          <w:trHeight w:val="270"/>
        </w:trPr>
        <w:tc>
          <w:tcPr>
            <w:tcW w:w="3900" w:type="dxa"/>
            <w:vAlign w:val="bottom"/>
          </w:tcPr>
          <w:p>
            <w:pPr>
              <w:ind w:left="280"/>
              <w:spacing w:after="0"/>
              <w:rPr>
                <w:sz w:val="20"/>
                <w:szCs w:val="20"/>
                <w:color w:val="auto"/>
              </w:rPr>
            </w:pPr>
            <w:r>
              <w:rPr>
                <w:rFonts w:ascii="Arial" w:cs="Arial" w:eastAsia="Arial" w:hAnsi="Arial"/>
                <w:sz w:val="16"/>
                <w:szCs w:val="16"/>
                <w:color w:val="auto"/>
              </w:rPr>
              <w:t>Total long-term debt</w:t>
            </w:r>
            <w:r>
              <w:rPr>
                <w:rFonts w:ascii="Arial" w:cs="Arial" w:eastAsia="Arial" w:hAnsi="Arial"/>
                <w:sz w:val="21"/>
                <w:szCs w:val="21"/>
                <w:color w:val="auto"/>
                <w:vertAlign w:val="superscript"/>
              </w:rPr>
              <w:t>1</w:t>
            </w:r>
          </w:p>
        </w:tc>
        <w:tc>
          <w:tcPr>
            <w:tcW w:w="1540" w:type="dxa"/>
            <w:vAlign w:val="bottom"/>
          </w:tcPr>
          <w:p>
            <w:pPr>
              <w:jc w:val="right"/>
              <w:ind w:right="479"/>
              <w:spacing w:after="0"/>
              <w:rPr>
                <w:sz w:val="20"/>
                <w:szCs w:val="20"/>
                <w:color w:val="auto"/>
              </w:rPr>
            </w:pPr>
            <w:r>
              <w:rPr>
                <w:rFonts w:ascii="Arial" w:cs="Arial" w:eastAsia="Arial" w:hAnsi="Arial"/>
                <w:sz w:val="16"/>
                <w:szCs w:val="16"/>
                <w:b w:val="1"/>
                <w:bCs w:val="1"/>
                <w:color w:val="auto"/>
              </w:rPr>
              <w:t>2,774</w:t>
            </w:r>
          </w:p>
        </w:tc>
        <w:tc>
          <w:tcPr>
            <w:tcW w:w="1540" w:type="dxa"/>
            <w:vAlign w:val="bottom"/>
          </w:tcPr>
          <w:p>
            <w:pPr>
              <w:jc w:val="right"/>
              <w:ind w:right="399"/>
              <w:spacing w:after="0"/>
              <w:rPr>
                <w:sz w:val="20"/>
                <w:szCs w:val="20"/>
                <w:color w:val="auto"/>
              </w:rPr>
            </w:pPr>
            <w:r>
              <w:rPr>
                <w:rFonts w:ascii="Arial" w:cs="Arial" w:eastAsia="Arial" w:hAnsi="Arial"/>
                <w:sz w:val="16"/>
                <w:szCs w:val="16"/>
                <w:color w:val="auto"/>
              </w:rPr>
              <w:t>2,805</w:t>
            </w:r>
          </w:p>
        </w:tc>
        <w:tc>
          <w:tcPr>
            <w:tcW w:w="1540" w:type="dxa"/>
            <w:vAlign w:val="bottom"/>
          </w:tcPr>
          <w:p>
            <w:pPr>
              <w:jc w:val="right"/>
              <w:ind w:right="399"/>
              <w:spacing w:after="0"/>
              <w:rPr>
                <w:sz w:val="20"/>
                <w:szCs w:val="20"/>
                <w:color w:val="auto"/>
              </w:rPr>
            </w:pPr>
            <w:r>
              <w:rPr>
                <w:rFonts w:ascii="Arial" w:cs="Arial" w:eastAsia="Arial" w:hAnsi="Arial"/>
                <w:sz w:val="16"/>
                <w:szCs w:val="16"/>
                <w:color w:val="auto"/>
              </w:rPr>
              <w:t>3,131</w:t>
            </w:r>
          </w:p>
        </w:tc>
        <w:tc>
          <w:tcPr>
            <w:tcW w:w="1540" w:type="dxa"/>
            <w:vAlign w:val="bottom"/>
          </w:tcPr>
          <w:p>
            <w:pPr>
              <w:jc w:val="right"/>
              <w:ind w:right="399"/>
              <w:spacing w:after="0"/>
              <w:rPr>
                <w:sz w:val="20"/>
                <w:szCs w:val="20"/>
                <w:color w:val="auto"/>
              </w:rPr>
            </w:pPr>
            <w:r>
              <w:rPr>
                <w:rFonts w:ascii="Arial" w:cs="Arial" w:eastAsia="Arial" w:hAnsi="Arial"/>
                <w:sz w:val="16"/>
                <w:szCs w:val="16"/>
                <w:color w:val="auto"/>
              </w:rPr>
              <w:t>3,113</w:t>
            </w:r>
          </w:p>
        </w:tc>
        <w:tc>
          <w:tcPr>
            <w:tcW w:w="1360" w:type="dxa"/>
            <w:vAlign w:val="bottom"/>
          </w:tcPr>
          <w:p>
            <w:pPr>
              <w:jc w:val="right"/>
              <w:ind w:right="219"/>
              <w:spacing w:after="0"/>
              <w:rPr>
                <w:sz w:val="20"/>
                <w:szCs w:val="20"/>
                <w:color w:val="auto"/>
              </w:rPr>
            </w:pPr>
            <w:r>
              <w:rPr>
                <w:rFonts w:ascii="Arial" w:cs="Arial" w:eastAsia="Arial" w:hAnsi="Arial"/>
                <w:sz w:val="16"/>
                <w:szCs w:val="16"/>
                <w:color w:val="auto"/>
              </w:rPr>
              <w:t>3,131</w:t>
            </w:r>
          </w:p>
        </w:tc>
        <w:tc>
          <w:tcPr>
            <w:tcW w:w="0" w:type="dxa"/>
            <w:vAlign w:val="bottom"/>
          </w:tcPr>
          <w:p>
            <w:pPr>
              <w:spacing w:after="0"/>
              <w:rPr>
                <w:sz w:val="1"/>
                <w:szCs w:val="1"/>
                <w:color w:val="auto"/>
              </w:rPr>
            </w:pPr>
          </w:p>
        </w:tc>
      </w:tr>
      <w:tr>
        <w:trPr>
          <w:trHeight w:val="270"/>
        </w:trPr>
        <w:tc>
          <w:tcPr>
            <w:tcW w:w="39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Cash flow from operations</w:t>
            </w:r>
            <w:r>
              <w:rPr>
                <w:rFonts w:ascii="Arial" w:cs="Arial" w:eastAsia="Arial" w:hAnsi="Arial"/>
                <w:sz w:val="21"/>
                <w:szCs w:val="21"/>
                <w:color w:val="auto"/>
                <w:vertAlign w:val="superscript"/>
              </w:rPr>
              <w:t>1</w:t>
            </w:r>
          </w:p>
        </w:tc>
        <w:tc>
          <w:tcPr>
            <w:tcW w:w="1540" w:type="dxa"/>
            <w:vAlign w:val="bottom"/>
            <w:shd w:val="clear" w:color="auto" w:fill="CCEEFF"/>
          </w:tcPr>
          <w:p>
            <w:pPr>
              <w:jc w:val="right"/>
              <w:ind w:right="479"/>
              <w:spacing w:after="0"/>
              <w:rPr>
                <w:sz w:val="20"/>
                <w:szCs w:val="20"/>
                <w:color w:val="auto"/>
              </w:rPr>
            </w:pPr>
            <w:r>
              <w:rPr>
                <w:rFonts w:ascii="Arial" w:cs="Arial" w:eastAsia="Arial" w:hAnsi="Arial"/>
                <w:sz w:val="16"/>
                <w:szCs w:val="16"/>
                <w:b w:val="1"/>
                <w:bCs w:val="1"/>
                <w:color w:val="auto"/>
              </w:rPr>
              <w:t>1,648</w:t>
            </w:r>
          </w:p>
        </w:tc>
        <w:tc>
          <w:tcPr>
            <w:tcW w:w="154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2,451</w:t>
            </w:r>
          </w:p>
        </w:tc>
        <w:tc>
          <w:tcPr>
            <w:tcW w:w="154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1,220</w:t>
            </w:r>
          </w:p>
        </w:tc>
        <w:tc>
          <w:tcPr>
            <w:tcW w:w="154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1,320</w:t>
            </w:r>
          </w:p>
        </w:tc>
        <w:tc>
          <w:tcPr>
            <w:tcW w:w="136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1,110</w:t>
            </w:r>
          </w:p>
        </w:tc>
        <w:tc>
          <w:tcPr>
            <w:tcW w:w="0" w:type="dxa"/>
            <w:vAlign w:val="bottom"/>
          </w:tcPr>
          <w:p>
            <w:pPr>
              <w:spacing w:after="0"/>
              <w:rPr>
                <w:sz w:val="1"/>
                <w:szCs w:val="1"/>
                <w:color w:val="auto"/>
              </w:rPr>
            </w:pPr>
          </w:p>
        </w:tc>
      </w:tr>
      <w:tr>
        <w:trPr>
          <w:trHeight w:val="237"/>
        </w:trPr>
        <w:tc>
          <w:tcPr>
            <w:tcW w:w="3900" w:type="dxa"/>
            <w:vAlign w:val="bottom"/>
          </w:tcPr>
          <w:p>
            <w:pPr>
              <w:ind w:left="280"/>
              <w:spacing w:after="0"/>
              <w:rPr>
                <w:sz w:val="20"/>
                <w:szCs w:val="20"/>
                <w:color w:val="auto"/>
              </w:rPr>
            </w:pPr>
            <w:r>
              <w:rPr>
                <w:rFonts w:ascii="Arial" w:cs="Arial" w:eastAsia="Arial" w:hAnsi="Arial"/>
                <w:sz w:val="16"/>
                <w:szCs w:val="16"/>
                <w:color w:val="auto"/>
              </w:rPr>
              <w:t>Capital expenditures</w:t>
            </w:r>
          </w:p>
        </w:tc>
        <w:tc>
          <w:tcPr>
            <w:tcW w:w="1540" w:type="dxa"/>
            <w:vAlign w:val="bottom"/>
          </w:tcPr>
          <w:p>
            <w:pPr>
              <w:jc w:val="right"/>
              <w:ind w:right="479"/>
              <w:spacing w:after="0"/>
              <w:rPr>
                <w:sz w:val="20"/>
                <w:szCs w:val="20"/>
                <w:color w:val="auto"/>
              </w:rPr>
            </w:pPr>
            <w:r>
              <w:rPr>
                <w:rFonts w:ascii="Arial" w:cs="Arial" w:eastAsia="Arial" w:hAnsi="Arial"/>
                <w:sz w:val="16"/>
                <w:szCs w:val="16"/>
                <w:b w:val="1"/>
                <w:bCs w:val="1"/>
                <w:color w:val="auto"/>
              </w:rPr>
              <w:t>846</w:t>
            </w:r>
          </w:p>
        </w:tc>
        <w:tc>
          <w:tcPr>
            <w:tcW w:w="1540" w:type="dxa"/>
            <w:vAlign w:val="bottom"/>
          </w:tcPr>
          <w:p>
            <w:pPr>
              <w:jc w:val="right"/>
              <w:ind w:right="399"/>
              <w:spacing w:after="0"/>
              <w:rPr>
                <w:sz w:val="20"/>
                <w:szCs w:val="20"/>
                <w:color w:val="auto"/>
              </w:rPr>
            </w:pPr>
            <w:r>
              <w:rPr>
                <w:rFonts w:ascii="Arial" w:cs="Arial" w:eastAsia="Arial" w:hAnsi="Arial"/>
                <w:sz w:val="16"/>
                <w:szCs w:val="16"/>
                <w:color w:val="auto"/>
              </w:rPr>
              <w:t>1,082</w:t>
            </w:r>
          </w:p>
        </w:tc>
        <w:tc>
          <w:tcPr>
            <w:tcW w:w="1540" w:type="dxa"/>
            <w:vAlign w:val="bottom"/>
          </w:tcPr>
          <w:p>
            <w:pPr>
              <w:jc w:val="right"/>
              <w:ind w:right="399"/>
              <w:spacing w:after="0"/>
              <w:rPr>
                <w:sz w:val="20"/>
                <w:szCs w:val="20"/>
                <w:color w:val="auto"/>
              </w:rPr>
            </w:pPr>
            <w:r>
              <w:rPr>
                <w:rFonts w:ascii="Arial" w:cs="Arial" w:eastAsia="Arial" w:hAnsi="Arial"/>
                <w:sz w:val="16"/>
                <w:szCs w:val="16"/>
                <w:color w:val="auto"/>
              </w:rPr>
              <w:t>861</w:t>
            </w:r>
          </w:p>
        </w:tc>
        <w:tc>
          <w:tcPr>
            <w:tcW w:w="1540" w:type="dxa"/>
            <w:vAlign w:val="bottom"/>
          </w:tcPr>
          <w:p>
            <w:pPr>
              <w:jc w:val="right"/>
              <w:ind w:right="399"/>
              <w:spacing w:after="0"/>
              <w:rPr>
                <w:sz w:val="20"/>
                <w:szCs w:val="20"/>
                <w:color w:val="auto"/>
              </w:rPr>
            </w:pPr>
            <w:r>
              <w:rPr>
                <w:rFonts w:ascii="Arial" w:cs="Arial" w:eastAsia="Arial" w:hAnsi="Arial"/>
                <w:sz w:val="16"/>
                <w:szCs w:val="16"/>
                <w:color w:val="auto"/>
              </w:rPr>
              <w:t>803</w:t>
            </w:r>
          </w:p>
        </w:tc>
        <w:tc>
          <w:tcPr>
            <w:tcW w:w="1360" w:type="dxa"/>
            <w:vAlign w:val="bottom"/>
          </w:tcPr>
          <w:p>
            <w:pPr>
              <w:jc w:val="right"/>
              <w:ind w:right="219"/>
              <w:spacing w:after="0"/>
              <w:rPr>
                <w:sz w:val="20"/>
                <w:szCs w:val="20"/>
                <w:color w:val="auto"/>
              </w:rPr>
            </w:pPr>
            <w:r>
              <w:rPr>
                <w:rFonts w:ascii="Arial" w:cs="Arial" w:eastAsia="Arial" w:hAnsi="Arial"/>
                <w:sz w:val="16"/>
                <w:szCs w:val="16"/>
                <w:color w:val="auto"/>
              </w:rPr>
              <w:t>513</w:t>
            </w:r>
          </w:p>
        </w:tc>
        <w:tc>
          <w:tcPr>
            <w:tcW w:w="0" w:type="dxa"/>
            <w:vAlign w:val="bottom"/>
          </w:tcPr>
          <w:p>
            <w:pPr>
              <w:spacing w:after="0"/>
              <w:rPr>
                <w:sz w:val="1"/>
                <w:szCs w:val="1"/>
                <w:color w:val="auto"/>
              </w:rPr>
            </w:pPr>
          </w:p>
        </w:tc>
      </w:tr>
      <w:tr>
        <w:trPr>
          <w:trHeight w:val="33"/>
        </w:trPr>
        <w:tc>
          <w:tcPr>
            <w:tcW w:w="39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90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900" w:type="dxa"/>
            <w:vAlign w:val="bottom"/>
          </w:tcPr>
          <w:p>
            <w:pPr>
              <w:ind w:left="40"/>
              <w:spacing w:after="0"/>
              <w:rPr>
                <w:sz w:val="20"/>
                <w:szCs w:val="20"/>
                <w:color w:val="auto"/>
              </w:rPr>
            </w:pPr>
            <w:r>
              <w:rPr>
                <w:rFonts w:ascii="Arial" w:cs="Arial" w:eastAsia="Arial" w:hAnsi="Arial"/>
                <w:sz w:val="16"/>
                <w:szCs w:val="16"/>
                <w:b w:val="1"/>
                <w:bCs w:val="1"/>
                <w:color w:val="auto"/>
              </w:rPr>
              <w:t>Performance Metrics</w:t>
            </w:r>
          </w:p>
        </w:tc>
        <w:tc>
          <w:tcPr>
            <w:tcW w:w="15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9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Comparable sales (decrease) increase</w:t>
            </w:r>
          </w:p>
        </w:tc>
        <w:tc>
          <w:tcPr>
            <w:tcW w:w="15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b w:val="1"/>
                <w:bCs w:val="1"/>
                <w:color w:val="auto"/>
              </w:rPr>
              <w:t>(0.4%)</w:t>
            </w:r>
          </w:p>
        </w:tc>
        <w:tc>
          <w:tcPr>
            <w:tcW w:w="15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2.7%</w:t>
            </w:r>
          </w:p>
        </w:tc>
        <w:tc>
          <w:tcPr>
            <w:tcW w:w="15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4.0%</w:t>
            </w:r>
          </w:p>
        </w:tc>
        <w:tc>
          <w:tcPr>
            <w:tcW w:w="15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2.5%</w:t>
            </w:r>
          </w:p>
        </w:tc>
        <w:tc>
          <w:tcPr>
            <w:tcW w:w="13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237"/>
        </w:trPr>
        <w:tc>
          <w:tcPr>
            <w:tcW w:w="3900" w:type="dxa"/>
            <w:vAlign w:val="bottom"/>
          </w:tcPr>
          <w:p>
            <w:pPr>
              <w:ind w:left="280"/>
              <w:spacing w:after="0"/>
              <w:rPr>
                <w:sz w:val="20"/>
                <w:szCs w:val="20"/>
                <w:color w:val="auto"/>
              </w:rPr>
            </w:pPr>
            <w:r>
              <w:rPr>
                <w:rFonts w:ascii="Arial" w:cs="Arial" w:eastAsia="Arial" w:hAnsi="Arial"/>
                <w:sz w:val="16"/>
                <w:szCs w:val="16"/>
                <w:color w:val="auto"/>
              </w:rPr>
              <w:t>Gross profit % of net sales</w:t>
            </w:r>
          </w:p>
        </w:tc>
        <w:tc>
          <w:tcPr>
            <w:tcW w:w="1540" w:type="dxa"/>
            <w:vAlign w:val="bottom"/>
          </w:tcPr>
          <w:p>
            <w:pPr>
              <w:jc w:val="right"/>
              <w:ind w:right="319"/>
              <w:spacing w:after="0"/>
              <w:rPr>
                <w:sz w:val="20"/>
                <w:szCs w:val="20"/>
                <w:color w:val="auto"/>
              </w:rPr>
            </w:pPr>
            <w:r>
              <w:rPr>
                <w:rFonts w:ascii="Arial" w:cs="Arial" w:eastAsia="Arial" w:hAnsi="Arial"/>
                <w:sz w:val="16"/>
                <w:szCs w:val="16"/>
                <w:b w:val="1"/>
                <w:bCs w:val="1"/>
                <w:color w:val="auto"/>
              </w:rPr>
              <w:t>34.9%</w:t>
            </w:r>
          </w:p>
        </w:tc>
        <w:tc>
          <w:tcPr>
            <w:tcW w:w="1540" w:type="dxa"/>
            <w:vAlign w:val="bottom"/>
          </w:tcPr>
          <w:p>
            <w:pPr>
              <w:jc w:val="right"/>
              <w:ind w:right="259"/>
              <w:spacing w:after="0"/>
              <w:rPr>
                <w:sz w:val="20"/>
                <w:szCs w:val="20"/>
                <w:color w:val="auto"/>
              </w:rPr>
            </w:pPr>
            <w:r>
              <w:rPr>
                <w:rFonts w:ascii="Arial" w:cs="Arial" w:eastAsia="Arial" w:hAnsi="Arial"/>
                <w:sz w:val="16"/>
                <w:szCs w:val="16"/>
                <w:color w:val="auto"/>
              </w:rPr>
              <w:t>35.0%</w:t>
            </w:r>
          </w:p>
        </w:tc>
        <w:tc>
          <w:tcPr>
            <w:tcW w:w="1540" w:type="dxa"/>
            <w:vAlign w:val="bottom"/>
          </w:tcPr>
          <w:p>
            <w:pPr>
              <w:jc w:val="right"/>
              <w:ind w:right="259"/>
              <w:spacing w:after="0"/>
              <w:rPr>
                <w:sz w:val="20"/>
                <w:szCs w:val="20"/>
                <w:color w:val="auto"/>
              </w:rPr>
            </w:pPr>
            <w:r>
              <w:rPr>
                <w:rFonts w:ascii="Arial" w:cs="Arial" w:eastAsia="Arial" w:hAnsi="Arial"/>
                <w:sz w:val="16"/>
                <w:szCs w:val="16"/>
                <w:color w:val="auto"/>
              </w:rPr>
              <w:t>35.9%</w:t>
            </w:r>
          </w:p>
        </w:tc>
        <w:tc>
          <w:tcPr>
            <w:tcW w:w="1540" w:type="dxa"/>
            <w:vAlign w:val="bottom"/>
          </w:tcPr>
          <w:p>
            <w:pPr>
              <w:jc w:val="right"/>
              <w:ind w:right="259"/>
              <w:spacing w:after="0"/>
              <w:rPr>
                <w:sz w:val="20"/>
                <w:szCs w:val="20"/>
                <w:color w:val="auto"/>
              </w:rPr>
            </w:pPr>
            <w:r>
              <w:rPr>
                <w:rFonts w:ascii="Arial" w:cs="Arial" w:eastAsia="Arial" w:hAnsi="Arial"/>
                <w:sz w:val="16"/>
                <w:szCs w:val="16"/>
                <w:color w:val="auto"/>
              </w:rPr>
              <w:t>36.4%</w:t>
            </w:r>
          </w:p>
        </w:tc>
        <w:tc>
          <w:tcPr>
            <w:tcW w:w="1360" w:type="dxa"/>
            <w:vAlign w:val="bottom"/>
          </w:tcPr>
          <w:p>
            <w:pPr>
              <w:jc w:val="right"/>
              <w:ind w:right="79"/>
              <w:spacing w:after="0"/>
              <w:rPr>
                <w:sz w:val="20"/>
                <w:szCs w:val="20"/>
                <w:color w:val="auto"/>
              </w:rPr>
            </w:pPr>
            <w:r>
              <w:rPr>
                <w:rFonts w:ascii="Arial" w:cs="Arial" w:eastAsia="Arial" w:hAnsi="Arial"/>
                <w:sz w:val="16"/>
                <w:szCs w:val="16"/>
                <w:color w:val="auto"/>
              </w:rPr>
              <w:t>36.8%</w:t>
            </w:r>
          </w:p>
        </w:tc>
        <w:tc>
          <w:tcPr>
            <w:tcW w:w="0" w:type="dxa"/>
            <w:vAlign w:val="bottom"/>
          </w:tcPr>
          <w:p>
            <w:pPr>
              <w:spacing w:after="0"/>
              <w:rPr>
                <w:sz w:val="1"/>
                <w:szCs w:val="1"/>
                <w:color w:val="auto"/>
              </w:rPr>
            </w:pPr>
          </w:p>
        </w:tc>
      </w:tr>
      <w:tr>
        <w:trPr>
          <w:trHeight w:val="33"/>
        </w:trPr>
        <w:tc>
          <w:tcPr>
            <w:tcW w:w="39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SG&amp;A % of net sales</w:t>
            </w:r>
          </w:p>
        </w:tc>
        <w:tc>
          <w:tcPr>
            <w:tcW w:w="154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b w:val="1"/>
                <w:bCs w:val="1"/>
                <w:color w:val="auto"/>
              </w:rPr>
              <w:t>29.8%</w:t>
            </w:r>
          </w:p>
        </w:tc>
        <w:tc>
          <w:tcPr>
            <w:tcW w:w="15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29.6%</w:t>
            </w:r>
          </w:p>
        </w:tc>
        <w:tc>
          <w:tcPr>
            <w:tcW w:w="15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28.8%</w:t>
            </w:r>
          </w:p>
        </w:tc>
        <w:tc>
          <w:tcPr>
            <w:tcW w:w="15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28.4%</w:t>
            </w:r>
          </w:p>
        </w:tc>
        <w:tc>
          <w:tcPr>
            <w:tcW w:w="13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28.5%</w:t>
            </w:r>
          </w:p>
        </w:tc>
        <w:tc>
          <w:tcPr>
            <w:tcW w:w="0" w:type="dxa"/>
            <w:vAlign w:val="bottom"/>
          </w:tcPr>
          <w:p>
            <w:pPr>
              <w:spacing w:after="0"/>
              <w:rPr>
                <w:sz w:val="1"/>
                <w:szCs w:val="1"/>
                <w:color w:val="auto"/>
              </w:rPr>
            </w:pPr>
          </w:p>
        </w:tc>
      </w:tr>
      <w:tr>
        <w:trPr>
          <w:trHeight w:val="237"/>
        </w:trPr>
        <w:tc>
          <w:tcPr>
            <w:tcW w:w="3900" w:type="dxa"/>
            <w:vAlign w:val="bottom"/>
          </w:tcPr>
          <w:p>
            <w:pPr>
              <w:ind w:left="280"/>
              <w:spacing w:after="0"/>
              <w:rPr>
                <w:sz w:val="20"/>
                <w:szCs w:val="20"/>
                <w:color w:val="auto"/>
              </w:rPr>
            </w:pPr>
            <w:r>
              <w:rPr>
                <w:rFonts w:ascii="Arial" w:cs="Arial" w:eastAsia="Arial" w:hAnsi="Arial"/>
                <w:sz w:val="16"/>
                <w:szCs w:val="16"/>
                <w:color w:val="auto"/>
              </w:rPr>
              <w:t>EBIT % of net sales</w:t>
            </w:r>
          </w:p>
        </w:tc>
        <w:tc>
          <w:tcPr>
            <w:tcW w:w="1540" w:type="dxa"/>
            <w:vAlign w:val="bottom"/>
          </w:tcPr>
          <w:p>
            <w:pPr>
              <w:jc w:val="right"/>
              <w:ind w:right="319"/>
              <w:spacing w:after="0"/>
              <w:rPr>
                <w:sz w:val="20"/>
                <w:szCs w:val="20"/>
                <w:color w:val="auto"/>
              </w:rPr>
            </w:pPr>
            <w:r>
              <w:rPr>
                <w:rFonts w:ascii="Arial" w:cs="Arial" w:eastAsia="Arial" w:hAnsi="Arial"/>
                <w:sz w:val="16"/>
                <w:szCs w:val="16"/>
                <w:b w:val="1"/>
                <w:bCs w:val="1"/>
                <w:color w:val="auto"/>
              </w:rPr>
              <w:t>5.6%</w:t>
            </w:r>
          </w:p>
        </w:tc>
        <w:tc>
          <w:tcPr>
            <w:tcW w:w="1540" w:type="dxa"/>
            <w:vAlign w:val="bottom"/>
          </w:tcPr>
          <w:p>
            <w:pPr>
              <w:jc w:val="right"/>
              <w:ind w:right="259"/>
              <w:spacing w:after="0"/>
              <w:rPr>
                <w:sz w:val="20"/>
                <w:szCs w:val="20"/>
                <w:color w:val="auto"/>
              </w:rPr>
            </w:pPr>
            <w:r>
              <w:rPr>
                <w:rFonts w:ascii="Arial" w:cs="Arial" w:eastAsia="Arial" w:hAnsi="Arial"/>
                <w:sz w:val="16"/>
                <w:szCs w:val="16"/>
                <w:color w:val="auto"/>
              </w:rPr>
              <w:t>7.8%</w:t>
            </w:r>
          </w:p>
        </w:tc>
        <w:tc>
          <w:tcPr>
            <w:tcW w:w="1540" w:type="dxa"/>
            <w:vAlign w:val="bottom"/>
          </w:tcPr>
          <w:p>
            <w:pPr>
              <w:jc w:val="right"/>
              <w:ind w:right="259"/>
              <w:spacing w:after="0"/>
              <w:rPr>
                <w:sz w:val="20"/>
                <w:szCs w:val="20"/>
                <w:color w:val="auto"/>
              </w:rPr>
            </w:pPr>
            <w:r>
              <w:rPr>
                <w:rFonts w:ascii="Arial" w:cs="Arial" w:eastAsia="Arial" w:hAnsi="Arial"/>
                <w:sz w:val="16"/>
                <w:szCs w:val="16"/>
                <w:color w:val="auto"/>
              </w:rPr>
              <w:t>10.1%</w:t>
            </w:r>
          </w:p>
        </w:tc>
        <w:tc>
          <w:tcPr>
            <w:tcW w:w="1540" w:type="dxa"/>
            <w:vAlign w:val="bottom"/>
          </w:tcPr>
          <w:p>
            <w:pPr>
              <w:jc w:val="right"/>
              <w:ind w:right="259"/>
              <w:spacing w:after="0"/>
              <w:rPr>
                <w:sz w:val="20"/>
                <w:szCs w:val="20"/>
                <w:color w:val="auto"/>
              </w:rPr>
            </w:pPr>
            <w:r>
              <w:rPr>
                <w:rFonts w:ascii="Arial" w:cs="Arial" w:eastAsia="Arial" w:hAnsi="Arial"/>
                <w:sz w:val="16"/>
                <w:szCs w:val="16"/>
                <w:color w:val="auto"/>
              </w:rPr>
              <w:t>11.1%</w:t>
            </w:r>
          </w:p>
        </w:tc>
        <w:tc>
          <w:tcPr>
            <w:tcW w:w="1360" w:type="dxa"/>
            <w:vAlign w:val="bottom"/>
          </w:tcPr>
          <w:p>
            <w:pPr>
              <w:jc w:val="right"/>
              <w:ind w:right="79"/>
              <w:spacing w:after="0"/>
              <w:rPr>
                <w:sz w:val="20"/>
                <w:szCs w:val="20"/>
                <w:color w:val="auto"/>
              </w:rPr>
            </w:pPr>
            <w:r>
              <w:rPr>
                <w:rFonts w:ascii="Arial" w:cs="Arial" w:eastAsia="Arial" w:hAnsi="Arial"/>
                <w:sz w:val="16"/>
                <w:szCs w:val="16"/>
                <w:color w:val="auto"/>
              </w:rPr>
              <w:t>11.4%</w:t>
            </w:r>
          </w:p>
        </w:tc>
        <w:tc>
          <w:tcPr>
            <w:tcW w:w="0" w:type="dxa"/>
            <w:vAlign w:val="bottom"/>
          </w:tcPr>
          <w:p>
            <w:pPr>
              <w:spacing w:after="0"/>
              <w:rPr>
                <w:sz w:val="1"/>
                <w:szCs w:val="1"/>
                <w:color w:val="auto"/>
              </w:rPr>
            </w:pPr>
          </w:p>
        </w:tc>
      </w:tr>
      <w:tr>
        <w:trPr>
          <w:trHeight w:val="33"/>
        </w:trPr>
        <w:tc>
          <w:tcPr>
            <w:tcW w:w="39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Capital expenditures % of net sales</w:t>
            </w:r>
          </w:p>
        </w:tc>
        <w:tc>
          <w:tcPr>
            <w:tcW w:w="154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b w:val="1"/>
                <w:bCs w:val="1"/>
                <w:color w:val="auto"/>
              </w:rPr>
              <w:t>5.8%</w:t>
            </w:r>
          </w:p>
        </w:tc>
        <w:tc>
          <w:tcPr>
            <w:tcW w:w="15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7.7%</w:t>
            </w:r>
          </w:p>
        </w:tc>
        <w:tc>
          <w:tcPr>
            <w:tcW w:w="15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6.6%</w:t>
            </w:r>
          </w:p>
        </w:tc>
        <w:tc>
          <w:tcPr>
            <w:tcW w:w="15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6.6%</w:t>
            </w:r>
          </w:p>
        </w:tc>
        <w:tc>
          <w:tcPr>
            <w:tcW w:w="13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224"/>
        </w:trPr>
        <w:tc>
          <w:tcPr>
            <w:tcW w:w="3900" w:type="dxa"/>
            <w:vAlign w:val="bottom"/>
          </w:tcPr>
          <w:p>
            <w:pPr>
              <w:ind w:left="280"/>
              <w:spacing w:after="0"/>
              <w:rPr>
                <w:sz w:val="20"/>
                <w:szCs w:val="20"/>
                <w:color w:val="auto"/>
              </w:rPr>
            </w:pPr>
            <w:r>
              <w:rPr>
                <w:rFonts w:ascii="Arial" w:cs="Arial" w:eastAsia="Arial" w:hAnsi="Arial"/>
                <w:sz w:val="16"/>
                <w:szCs w:val="16"/>
                <w:color w:val="auto"/>
              </w:rPr>
              <w:t>Return on assets</w:t>
            </w:r>
          </w:p>
        </w:tc>
        <w:tc>
          <w:tcPr>
            <w:tcW w:w="1540" w:type="dxa"/>
            <w:vAlign w:val="bottom"/>
          </w:tcPr>
          <w:p>
            <w:pPr>
              <w:jc w:val="right"/>
              <w:ind w:right="319"/>
              <w:spacing w:after="0"/>
              <w:rPr>
                <w:sz w:val="20"/>
                <w:szCs w:val="20"/>
                <w:color w:val="auto"/>
              </w:rPr>
            </w:pPr>
            <w:r>
              <w:rPr>
                <w:rFonts w:ascii="Arial" w:cs="Arial" w:eastAsia="Arial" w:hAnsi="Arial"/>
                <w:sz w:val="16"/>
                <w:szCs w:val="16"/>
                <w:b w:val="1"/>
                <w:bCs w:val="1"/>
                <w:color w:val="auto"/>
              </w:rPr>
              <w:t>4.5%</w:t>
            </w:r>
          </w:p>
        </w:tc>
        <w:tc>
          <w:tcPr>
            <w:tcW w:w="1540" w:type="dxa"/>
            <w:vAlign w:val="bottom"/>
          </w:tcPr>
          <w:p>
            <w:pPr>
              <w:jc w:val="right"/>
              <w:ind w:right="259"/>
              <w:spacing w:after="0"/>
              <w:rPr>
                <w:sz w:val="20"/>
                <w:szCs w:val="20"/>
                <w:color w:val="auto"/>
              </w:rPr>
            </w:pPr>
            <w:r>
              <w:rPr>
                <w:rFonts w:ascii="Arial" w:cs="Arial" w:eastAsia="Arial" w:hAnsi="Arial"/>
                <w:sz w:val="16"/>
                <w:szCs w:val="16"/>
                <w:color w:val="auto"/>
              </w:rPr>
              <w:t>6.6%</w:t>
            </w:r>
          </w:p>
        </w:tc>
        <w:tc>
          <w:tcPr>
            <w:tcW w:w="1540" w:type="dxa"/>
            <w:vAlign w:val="bottom"/>
          </w:tcPr>
          <w:p>
            <w:pPr>
              <w:jc w:val="right"/>
              <w:ind w:right="259"/>
              <w:spacing w:after="0"/>
              <w:rPr>
                <w:sz w:val="20"/>
                <w:szCs w:val="20"/>
                <w:color w:val="auto"/>
              </w:rPr>
            </w:pPr>
            <w:r>
              <w:rPr>
                <w:rFonts w:ascii="Arial" w:cs="Arial" w:eastAsia="Arial" w:hAnsi="Arial"/>
                <w:sz w:val="16"/>
                <w:szCs w:val="16"/>
                <w:color w:val="auto"/>
              </w:rPr>
              <w:t>8.1%</w:t>
            </w:r>
          </w:p>
        </w:tc>
        <w:tc>
          <w:tcPr>
            <w:tcW w:w="1540" w:type="dxa"/>
            <w:vAlign w:val="bottom"/>
          </w:tcPr>
          <w:p>
            <w:pPr>
              <w:jc w:val="right"/>
              <w:ind w:right="259"/>
              <w:spacing w:after="0"/>
              <w:rPr>
                <w:sz w:val="20"/>
                <w:szCs w:val="20"/>
                <w:color w:val="auto"/>
              </w:rPr>
            </w:pPr>
            <w:r>
              <w:rPr>
                <w:rFonts w:ascii="Arial" w:cs="Arial" w:eastAsia="Arial" w:hAnsi="Arial"/>
                <w:sz w:val="16"/>
                <w:szCs w:val="16"/>
                <w:color w:val="auto"/>
              </w:rPr>
              <w:t>8.7%</w:t>
            </w:r>
          </w:p>
        </w:tc>
        <w:tc>
          <w:tcPr>
            <w:tcW w:w="1360" w:type="dxa"/>
            <w:vAlign w:val="bottom"/>
          </w:tcPr>
          <w:p>
            <w:pPr>
              <w:jc w:val="right"/>
              <w:ind w:right="79"/>
              <w:spacing w:after="0"/>
              <w:rPr>
                <w:sz w:val="20"/>
                <w:szCs w:val="20"/>
                <w:color w:val="auto"/>
              </w:rPr>
            </w:pPr>
            <w:r>
              <w:rPr>
                <w:rFonts w:ascii="Arial" w:cs="Arial" w:eastAsia="Arial" w:hAnsi="Arial"/>
                <w:sz w:val="16"/>
                <w:szCs w:val="16"/>
                <w:color w:val="auto"/>
              </w:rPr>
              <w:t>8.9%</w:t>
            </w:r>
          </w:p>
        </w:tc>
        <w:tc>
          <w:tcPr>
            <w:tcW w:w="0" w:type="dxa"/>
            <w:vAlign w:val="bottom"/>
          </w:tcPr>
          <w:p>
            <w:pPr>
              <w:spacing w:after="0"/>
              <w:rPr>
                <w:sz w:val="1"/>
                <w:szCs w:val="1"/>
                <w:color w:val="auto"/>
              </w:rPr>
            </w:pPr>
          </w:p>
        </w:tc>
      </w:tr>
      <w:tr>
        <w:trPr>
          <w:trHeight w:val="33"/>
        </w:trPr>
        <w:tc>
          <w:tcPr>
            <w:tcW w:w="39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39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Return on invested capital (“ROIC”)</w:t>
            </w:r>
            <w:r>
              <w:rPr>
                <w:rFonts w:ascii="Arial" w:cs="Arial" w:eastAsia="Arial" w:hAnsi="Arial"/>
                <w:sz w:val="21"/>
                <w:szCs w:val="21"/>
                <w:color w:val="auto"/>
                <w:vertAlign w:val="superscript"/>
              </w:rPr>
              <w:t>2</w:t>
            </w:r>
          </w:p>
        </w:tc>
        <w:tc>
          <w:tcPr>
            <w:tcW w:w="1540" w:type="dxa"/>
            <w:vAlign w:val="bottom"/>
            <w:shd w:val="clear" w:color="auto" w:fill="CCEEFF"/>
          </w:tcPr>
          <w:p>
            <w:pPr>
              <w:jc w:val="right"/>
              <w:ind w:right="319"/>
              <w:spacing w:after="0"/>
              <w:rPr>
                <w:sz w:val="20"/>
                <w:szCs w:val="20"/>
                <w:color w:val="auto"/>
              </w:rPr>
            </w:pPr>
            <w:r>
              <w:rPr>
                <w:rFonts w:ascii="Arial" w:cs="Arial" w:eastAsia="Arial" w:hAnsi="Arial"/>
                <w:sz w:val="16"/>
                <w:szCs w:val="16"/>
                <w:b w:val="1"/>
                <w:bCs w:val="1"/>
                <w:color w:val="auto"/>
              </w:rPr>
              <w:t>8.4%</w:t>
            </w:r>
          </w:p>
        </w:tc>
        <w:tc>
          <w:tcPr>
            <w:tcW w:w="15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10.7%</w:t>
            </w:r>
          </w:p>
        </w:tc>
        <w:tc>
          <w:tcPr>
            <w:tcW w:w="15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12.6%</w:t>
            </w:r>
          </w:p>
        </w:tc>
        <w:tc>
          <w:tcPr>
            <w:tcW w:w="15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13.6%</w:t>
            </w:r>
          </w:p>
        </w:tc>
        <w:tc>
          <w:tcPr>
            <w:tcW w:w="13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13.9%</w:t>
            </w:r>
          </w:p>
        </w:tc>
        <w:tc>
          <w:tcPr>
            <w:tcW w:w="0" w:type="dxa"/>
            <w:vAlign w:val="bottom"/>
          </w:tcPr>
          <w:p>
            <w:pPr>
              <w:spacing w:after="0"/>
              <w:rPr>
                <w:sz w:val="1"/>
                <w:szCs w:val="1"/>
                <w:color w:val="auto"/>
              </w:rPr>
            </w:pPr>
          </w:p>
        </w:tc>
      </w:tr>
      <w:tr>
        <w:trPr>
          <w:trHeight w:val="237"/>
        </w:trPr>
        <w:tc>
          <w:tcPr>
            <w:tcW w:w="3900" w:type="dxa"/>
            <w:vAlign w:val="bottom"/>
          </w:tcPr>
          <w:p>
            <w:pPr>
              <w:ind w:left="280"/>
              <w:spacing w:after="0"/>
              <w:rPr>
                <w:sz w:val="20"/>
                <w:szCs w:val="20"/>
                <w:color w:val="auto"/>
              </w:rPr>
            </w:pPr>
            <w:r>
              <w:rPr>
                <w:rFonts w:ascii="Arial" w:cs="Arial" w:eastAsia="Arial" w:hAnsi="Arial"/>
                <w:sz w:val="16"/>
                <w:szCs w:val="16"/>
                <w:color w:val="auto"/>
              </w:rPr>
              <w:t>Sales per square foot</w:t>
            </w:r>
          </w:p>
        </w:tc>
        <w:tc>
          <w:tcPr>
            <w:tcW w:w="1540" w:type="dxa"/>
            <w:vAlign w:val="bottom"/>
          </w:tcPr>
          <w:p>
            <w:pPr>
              <w:jc w:val="right"/>
              <w:ind w:right="479"/>
              <w:spacing w:after="0"/>
              <w:rPr>
                <w:sz w:val="20"/>
                <w:szCs w:val="20"/>
                <w:color w:val="auto"/>
              </w:rPr>
            </w:pPr>
            <w:r>
              <w:rPr>
                <w:rFonts w:ascii="Arial" w:cs="Arial" w:eastAsia="Arial" w:hAnsi="Arial"/>
                <w:sz w:val="16"/>
                <w:szCs w:val="16"/>
                <w:b w:val="1"/>
                <w:bCs w:val="1"/>
                <w:color w:val="auto"/>
              </w:rPr>
              <w:t>$498</w:t>
            </w:r>
          </w:p>
        </w:tc>
        <w:tc>
          <w:tcPr>
            <w:tcW w:w="1540" w:type="dxa"/>
            <w:vAlign w:val="bottom"/>
          </w:tcPr>
          <w:p>
            <w:pPr>
              <w:jc w:val="right"/>
              <w:ind w:right="399"/>
              <w:spacing w:after="0"/>
              <w:rPr>
                <w:sz w:val="20"/>
                <w:szCs w:val="20"/>
                <w:color w:val="auto"/>
              </w:rPr>
            </w:pPr>
            <w:r>
              <w:rPr>
                <w:rFonts w:ascii="Arial" w:cs="Arial" w:eastAsia="Arial" w:hAnsi="Arial"/>
                <w:sz w:val="16"/>
                <w:szCs w:val="16"/>
                <w:color w:val="auto"/>
              </w:rPr>
              <w:t>$507</w:t>
            </w:r>
          </w:p>
        </w:tc>
        <w:tc>
          <w:tcPr>
            <w:tcW w:w="1540" w:type="dxa"/>
            <w:vAlign w:val="bottom"/>
          </w:tcPr>
          <w:p>
            <w:pPr>
              <w:jc w:val="right"/>
              <w:ind w:right="399"/>
              <w:spacing w:after="0"/>
              <w:rPr>
                <w:sz w:val="20"/>
                <w:szCs w:val="20"/>
                <w:color w:val="auto"/>
              </w:rPr>
            </w:pPr>
            <w:r>
              <w:rPr>
                <w:rFonts w:ascii="Arial" w:cs="Arial" w:eastAsia="Arial" w:hAnsi="Arial"/>
                <w:sz w:val="16"/>
                <w:szCs w:val="16"/>
                <w:color w:val="auto"/>
              </w:rPr>
              <w:t>$493</w:t>
            </w:r>
          </w:p>
        </w:tc>
        <w:tc>
          <w:tcPr>
            <w:tcW w:w="1540" w:type="dxa"/>
            <w:vAlign w:val="bottom"/>
          </w:tcPr>
          <w:p>
            <w:pPr>
              <w:jc w:val="right"/>
              <w:ind w:right="399"/>
              <w:spacing w:after="0"/>
              <w:rPr>
                <w:sz w:val="20"/>
                <w:szCs w:val="20"/>
                <w:color w:val="auto"/>
              </w:rPr>
            </w:pPr>
            <w:r>
              <w:rPr>
                <w:rFonts w:ascii="Arial" w:cs="Arial" w:eastAsia="Arial" w:hAnsi="Arial"/>
                <w:sz w:val="16"/>
                <w:szCs w:val="16"/>
                <w:color w:val="auto"/>
              </w:rPr>
              <w:t>$474</w:t>
            </w:r>
          </w:p>
        </w:tc>
        <w:tc>
          <w:tcPr>
            <w:tcW w:w="1360" w:type="dxa"/>
            <w:vAlign w:val="bottom"/>
          </w:tcPr>
          <w:p>
            <w:pPr>
              <w:jc w:val="right"/>
              <w:ind w:right="219"/>
              <w:spacing w:after="0"/>
              <w:rPr>
                <w:sz w:val="20"/>
                <w:szCs w:val="20"/>
                <w:color w:val="auto"/>
              </w:rPr>
            </w:pPr>
            <w:r>
              <w:rPr>
                <w:rFonts w:ascii="Arial" w:cs="Arial" w:eastAsia="Arial" w:hAnsi="Arial"/>
                <w:sz w:val="16"/>
                <w:szCs w:val="16"/>
                <w:color w:val="auto"/>
              </w:rPr>
              <w:t>$470</w:t>
            </w:r>
          </w:p>
        </w:tc>
        <w:tc>
          <w:tcPr>
            <w:tcW w:w="0" w:type="dxa"/>
            <w:vAlign w:val="bottom"/>
          </w:tcPr>
          <w:p>
            <w:pPr>
              <w:spacing w:after="0"/>
              <w:rPr>
                <w:sz w:val="1"/>
                <w:szCs w:val="1"/>
                <w:color w:val="auto"/>
              </w:rPr>
            </w:pPr>
          </w:p>
        </w:tc>
      </w:tr>
      <w:tr>
        <w:trPr>
          <w:trHeight w:val="33"/>
        </w:trPr>
        <w:tc>
          <w:tcPr>
            <w:tcW w:w="39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4-wall sales per square foot</w:t>
            </w:r>
          </w:p>
        </w:tc>
        <w:tc>
          <w:tcPr>
            <w:tcW w:w="154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b w:val="1"/>
                <w:bCs w:val="1"/>
                <w:color w:val="auto"/>
              </w:rPr>
              <w:t>$392</w:t>
            </w:r>
          </w:p>
        </w:tc>
        <w:tc>
          <w:tcPr>
            <w:tcW w:w="1540" w:type="dxa"/>
            <w:vAlign w:val="bottom"/>
            <w:tcBorders>
              <w:bottom w:val="single" w:sz="8" w:color="CCEEFF"/>
            </w:tcBorders>
            <w:shd w:val="clear" w:color="auto" w:fill="CCEEFF"/>
          </w:tcPr>
          <w:p>
            <w:pPr>
              <w:jc w:val="right"/>
              <w:ind w:right="399"/>
              <w:spacing w:after="0"/>
              <w:rPr>
                <w:sz w:val="20"/>
                <w:szCs w:val="20"/>
                <w:color w:val="auto"/>
              </w:rPr>
            </w:pPr>
            <w:r>
              <w:rPr>
                <w:rFonts w:ascii="Arial" w:cs="Arial" w:eastAsia="Arial" w:hAnsi="Arial"/>
                <w:sz w:val="16"/>
                <w:szCs w:val="16"/>
                <w:color w:val="auto"/>
              </w:rPr>
              <w:t>$410</w:t>
            </w:r>
          </w:p>
        </w:tc>
        <w:tc>
          <w:tcPr>
            <w:tcW w:w="1540" w:type="dxa"/>
            <w:vAlign w:val="bottom"/>
            <w:tcBorders>
              <w:bottom w:val="single" w:sz="8" w:color="CCEEFF"/>
            </w:tcBorders>
            <w:shd w:val="clear" w:color="auto" w:fill="CCEEFF"/>
          </w:tcPr>
          <w:p>
            <w:pPr>
              <w:jc w:val="right"/>
              <w:ind w:right="399"/>
              <w:spacing w:after="0"/>
              <w:rPr>
                <w:sz w:val="20"/>
                <w:szCs w:val="20"/>
                <w:color w:val="auto"/>
              </w:rPr>
            </w:pPr>
            <w:r>
              <w:rPr>
                <w:rFonts w:ascii="Arial" w:cs="Arial" w:eastAsia="Arial" w:hAnsi="Arial"/>
                <w:sz w:val="16"/>
                <w:szCs w:val="16"/>
                <w:color w:val="auto"/>
              </w:rPr>
              <w:t>$413</w:t>
            </w:r>
          </w:p>
        </w:tc>
        <w:tc>
          <w:tcPr>
            <w:tcW w:w="1540" w:type="dxa"/>
            <w:vAlign w:val="bottom"/>
            <w:tcBorders>
              <w:bottom w:val="single" w:sz="8" w:color="CCEEFF"/>
            </w:tcBorders>
            <w:shd w:val="clear" w:color="auto" w:fill="CCEEFF"/>
          </w:tcPr>
          <w:p>
            <w:pPr>
              <w:jc w:val="right"/>
              <w:ind w:right="399"/>
              <w:spacing w:after="0"/>
              <w:rPr>
                <w:sz w:val="20"/>
                <w:szCs w:val="20"/>
                <w:color w:val="auto"/>
              </w:rPr>
            </w:pPr>
            <w:r>
              <w:rPr>
                <w:rFonts w:ascii="Arial" w:cs="Arial" w:eastAsia="Arial" w:hAnsi="Arial"/>
                <w:sz w:val="16"/>
                <w:szCs w:val="16"/>
                <w:color w:val="auto"/>
              </w:rPr>
              <w:t>$408</w:t>
            </w:r>
          </w:p>
        </w:tc>
        <w:tc>
          <w:tcPr>
            <w:tcW w:w="136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$417</w:t>
            </w:r>
          </w:p>
        </w:tc>
        <w:tc>
          <w:tcPr>
            <w:tcW w:w="0" w:type="dxa"/>
            <w:vAlign w:val="bottom"/>
          </w:tcPr>
          <w:p>
            <w:pPr>
              <w:spacing w:after="0"/>
              <w:rPr>
                <w:sz w:val="1"/>
                <w:szCs w:val="1"/>
                <w:color w:val="auto"/>
              </w:rPr>
            </w:pPr>
          </w:p>
        </w:tc>
      </w:tr>
      <w:tr>
        <w:trPr>
          <w:trHeight w:val="237"/>
        </w:trPr>
        <w:tc>
          <w:tcPr>
            <w:tcW w:w="3900" w:type="dxa"/>
            <w:vAlign w:val="bottom"/>
          </w:tcPr>
          <w:p>
            <w:pPr>
              <w:ind w:left="280"/>
              <w:spacing w:after="0"/>
              <w:rPr>
                <w:sz w:val="20"/>
                <w:szCs w:val="20"/>
                <w:color w:val="auto"/>
              </w:rPr>
            </w:pPr>
            <w:r>
              <w:rPr>
                <w:rFonts w:ascii="Arial" w:cs="Arial" w:eastAsia="Arial" w:hAnsi="Arial"/>
                <w:sz w:val="16"/>
                <w:szCs w:val="16"/>
                <w:color w:val="auto"/>
              </w:rPr>
              <w:t>Inventory turnover rate</w:t>
            </w:r>
          </w:p>
        </w:tc>
        <w:tc>
          <w:tcPr>
            <w:tcW w:w="1540" w:type="dxa"/>
            <w:vAlign w:val="bottom"/>
          </w:tcPr>
          <w:p>
            <w:pPr>
              <w:jc w:val="right"/>
              <w:ind w:right="479"/>
              <w:spacing w:after="0"/>
              <w:rPr>
                <w:sz w:val="20"/>
                <w:szCs w:val="20"/>
                <w:color w:val="auto"/>
              </w:rPr>
            </w:pPr>
            <w:r>
              <w:rPr>
                <w:rFonts w:ascii="Arial" w:cs="Arial" w:eastAsia="Arial" w:hAnsi="Arial"/>
                <w:sz w:val="16"/>
                <w:szCs w:val="16"/>
                <w:b w:val="1"/>
                <w:bCs w:val="1"/>
                <w:color w:val="auto"/>
              </w:rPr>
              <w:t>4.53</w:t>
            </w:r>
          </w:p>
        </w:tc>
        <w:tc>
          <w:tcPr>
            <w:tcW w:w="1540" w:type="dxa"/>
            <w:vAlign w:val="bottom"/>
          </w:tcPr>
          <w:p>
            <w:pPr>
              <w:jc w:val="right"/>
              <w:ind w:right="399"/>
              <w:spacing w:after="0"/>
              <w:rPr>
                <w:sz w:val="20"/>
                <w:szCs w:val="20"/>
                <w:color w:val="auto"/>
              </w:rPr>
            </w:pPr>
            <w:r>
              <w:rPr>
                <w:rFonts w:ascii="Arial" w:cs="Arial" w:eastAsia="Arial" w:hAnsi="Arial"/>
                <w:sz w:val="16"/>
                <w:szCs w:val="16"/>
                <w:color w:val="auto"/>
              </w:rPr>
              <w:t>4.54</w:t>
            </w:r>
          </w:p>
        </w:tc>
        <w:tc>
          <w:tcPr>
            <w:tcW w:w="1540" w:type="dxa"/>
            <w:vAlign w:val="bottom"/>
          </w:tcPr>
          <w:p>
            <w:pPr>
              <w:jc w:val="right"/>
              <w:ind w:right="399"/>
              <w:spacing w:after="0"/>
              <w:rPr>
                <w:sz w:val="20"/>
                <w:szCs w:val="20"/>
                <w:color w:val="auto"/>
              </w:rPr>
            </w:pPr>
            <w:r>
              <w:rPr>
                <w:rFonts w:ascii="Arial" w:cs="Arial" w:eastAsia="Arial" w:hAnsi="Arial"/>
                <w:sz w:val="16"/>
                <w:szCs w:val="16"/>
                <w:color w:val="auto"/>
              </w:rPr>
              <w:t>4.67</w:t>
            </w:r>
          </w:p>
        </w:tc>
        <w:tc>
          <w:tcPr>
            <w:tcW w:w="1540" w:type="dxa"/>
            <w:vAlign w:val="bottom"/>
          </w:tcPr>
          <w:p>
            <w:pPr>
              <w:jc w:val="right"/>
              <w:ind w:right="399"/>
              <w:spacing w:after="0"/>
              <w:rPr>
                <w:sz w:val="20"/>
                <w:szCs w:val="20"/>
                <w:color w:val="auto"/>
              </w:rPr>
            </w:pPr>
            <w:r>
              <w:rPr>
                <w:rFonts w:ascii="Arial" w:cs="Arial" w:eastAsia="Arial" w:hAnsi="Arial"/>
                <w:sz w:val="16"/>
                <w:szCs w:val="16"/>
                <w:color w:val="auto"/>
              </w:rPr>
              <w:t>5.07</w:t>
            </w:r>
          </w:p>
        </w:tc>
        <w:tc>
          <w:tcPr>
            <w:tcW w:w="1360" w:type="dxa"/>
            <w:vAlign w:val="bottom"/>
          </w:tcPr>
          <w:p>
            <w:pPr>
              <w:jc w:val="right"/>
              <w:ind w:right="219"/>
              <w:spacing w:after="0"/>
              <w:rPr>
                <w:sz w:val="20"/>
                <w:szCs w:val="20"/>
                <w:color w:val="auto"/>
              </w:rPr>
            </w:pPr>
            <w:r>
              <w:rPr>
                <w:rFonts w:ascii="Arial" w:cs="Arial" w:eastAsia="Arial" w:hAnsi="Arial"/>
                <w:sz w:val="16"/>
                <w:szCs w:val="16"/>
                <w:color w:val="auto"/>
              </w:rPr>
              <w:t>5.37</w:t>
            </w:r>
          </w:p>
        </w:tc>
        <w:tc>
          <w:tcPr>
            <w:tcW w:w="0" w:type="dxa"/>
            <w:vAlign w:val="bottom"/>
          </w:tcPr>
          <w:p>
            <w:pPr>
              <w:spacing w:after="0"/>
              <w:rPr>
                <w:sz w:val="1"/>
                <w:szCs w:val="1"/>
                <w:color w:val="auto"/>
              </w:rPr>
            </w:pPr>
          </w:p>
        </w:tc>
      </w:tr>
      <w:tr>
        <w:trPr>
          <w:trHeight w:val="33"/>
        </w:trPr>
        <w:tc>
          <w:tcPr>
            <w:tcW w:w="39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90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900" w:type="dxa"/>
            <w:vAlign w:val="bottom"/>
          </w:tcPr>
          <w:p>
            <w:pPr>
              <w:ind w:left="40"/>
              <w:spacing w:after="0"/>
              <w:rPr>
                <w:sz w:val="20"/>
                <w:szCs w:val="20"/>
                <w:color w:val="auto"/>
              </w:rPr>
            </w:pPr>
            <w:r>
              <w:rPr>
                <w:rFonts w:ascii="Arial" w:cs="Arial" w:eastAsia="Arial" w:hAnsi="Arial"/>
                <w:sz w:val="16"/>
                <w:szCs w:val="16"/>
                <w:b w:val="1"/>
                <w:bCs w:val="1"/>
                <w:color w:val="auto"/>
              </w:rPr>
              <w:t>Per Share Information</w:t>
            </w:r>
          </w:p>
        </w:tc>
        <w:tc>
          <w:tcPr>
            <w:tcW w:w="15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9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Earnings per diluted share</w:t>
            </w:r>
          </w:p>
        </w:tc>
        <w:tc>
          <w:tcPr>
            <w:tcW w:w="154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b w:val="1"/>
                <w:bCs w:val="1"/>
                <w:color w:val="auto"/>
              </w:rPr>
              <w:t>$2.02</w:t>
            </w:r>
          </w:p>
        </w:tc>
        <w:tc>
          <w:tcPr>
            <w:tcW w:w="1540" w:type="dxa"/>
            <w:vAlign w:val="bottom"/>
            <w:tcBorders>
              <w:bottom w:val="single" w:sz="8" w:color="CCEEFF"/>
            </w:tcBorders>
            <w:shd w:val="clear" w:color="auto" w:fill="CCEEFF"/>
          </w:tcPr>
          <w:p>
            <w:pPr>
              <w:jc w:val="right"/>
              <w:ind w:right="399"/>
              <w:spacing w:after="0"/>
              <w:rPr>
                <w:sz w:val="20"/>
                <w:szCs w:val="20"/>
                <w:color w:val="auto"/>
              </w:rPr>
            </w:pPr>
            <w:r>
              <w:rPr>
                <w:rFonts w:ascii="Arial" w:cs="Arial" w:eastAsia="Arial" w:hAnsi="Arial"/>
                <w:sz w:val="16"/>
                <w:szCs w:val="16"/>
                <w:color w:val="auto"/>
              </w:rPr>
              <w:t>$3.15</w:t>
            </w:r>
          </w:p>
        </w:tc>
        <w:tc>
          <w:tcPr>
            <w:tcW w:w="1540" w:type="dxa"/>
            <w:vAlign w:val="bottom"/>
            <w:tcBorders>
              <w:bottom w:val="single" w:sz="8" w:color="CCEEFF"/>
            </w:tcBorders>
            <w:shd w:val="clear" w:color="auto" w:fill="CCEEFF"/>
          </w:tcPr>
          <w:p>
            <w:pPr>
              <w:jc w:val="right"/>
              <w:ind w:right="399"/>
              <w:spacing w:after="0"/>
              <w:rPr>
                <w:sz w:val="20"/>
                <w:szCs w:val="20"/>
                <w:color w:val="auto"/>
              </w:rPr>
            </w:pPr>
            <w:r>
              <w:rPr>
                <w:rFonts w:ascii="Arial" w:cs="Arial" w:eastAsia="Arial" w:hAnsi="Arial"/>
                <w:sz w:val="16"/>
                <w:szCs w:val="16"/>
                <w:color w:val="auto"/>
              </w:rPr>
              <w:t>$3.72</w:t>
            </w:r>
          </w:p>
        </w:tc>
        <w:tc>
          <w:tcPr>
            <w:tcW w:w="1540" w:type="dxa"/>
            <w:vAlign w:val="bottom"/>
            <w:tcBorders>
              <w:bottom w:val="single" w:sz="8" w:color="CCEEFF"/>
            </w:tcBorders>
            <w:shd w:val="clear" w:color="auto" w:fill="CCEEFF"/>
          </w:tcPr>
          <w:p>
            <w:pPr>
              <w:jc w:val="right"/>
              <w:ind w:right="399"/>
              <w:spacing w:after="0"/>
              <w:rPr>
                <w:sz w:val="20"/>
                <w:szCs w:val="20"/>
                <w:color w:val="auto"/>
              </w:rPr>
            </w:pPr>
            <w:r>
              <w:rPr>
                <w:rFonts w:ascii="Arial" w:cs="Arial" w:eastAsia="Arial" w:hAnsi="Arial"/>
                <w:sz w:val="16"/>
                <w:szCs w:val="16"/>
                <w:color w:val="auto"/>
              </w:rPr>
              <w:t>$3.71</w:t>
            </w:r>
          </w:p>
        </w:tc>
        <w:tc>
          <w:tcPr>
            <w:tcW w:w="136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$3.56</w:t>
            </w:r>
          </w:p>
        </w:tc>
        <w:tc>
          <w:tcPr>
            <w:tcW w:w="0" w:type="dxa"/>
            <w:vAlign w:val="bottom"/>
          </w:tcPr>
          <w:p>
            <w:pPr>
              <w:spacing w:after="0"/>
              <w:rPr>
                <w:sz w:val="1"/>
                <w:szCs w:val="1"/>
                <w:color w:val="auto"/>
              </w:rPr>
            </w:pPr>
          </w:p>
        </w:tc>
      </w:tr>
      <w:tr>
        <w:trPr>
          <w:trHeight w:val="270"/>
        </w:trPr>
        <w:tc>
          <w:tcPr>
            <w:tcW w:w="3900" w:type="dxa"/>
            <w:vAlign w:val="bottom"/>
          </w:tcPr>
          <w:p>
            <w:pPr>
              <w:ind w:left="280"/>
              <w:spacing w:after="0"/>
              <w:rPr>
                <w:sz w:val="20"/>
                <w:szCs w:val="20"/>
                <w:color w:val="auto"/>
              </w:rPr>
            </w:pPr>
            <w:r>
              <w:rPr>
                <w:rFonts w:ascii="Arial" w:cs="Arial" w:eastAsia="Arial" w:hAnsi="Arial"/>
                <w:sz w:val="16"/>
                <w:szCs w:val="16"/>
                <w:color w:val="auto"/>
              </w:rPr>
              <w:t>Dividends declared per share</w:t>
            </w:r>
            <w:r>
              <w:rPr>
                <w:rFonts w:ascii="Arial" w:cs="Arial" w:eastAsia="Arial" w:hAnsi="Arial"/>
                <w:sz w:val="21"/>
                <w:szCs w:val="21"/>
                <w:color w:val="auto"/>
                <w:vertAlign w:val="superscript"/>
              </w:rPr>
              <w:t>1</w:t>
            </w:r>
          </w:p>
        </w:tc>
        <w:tc>
          <w:tcPr>
            <w:tcW w:w="1540" w:type="dxa"/>
            <w:vAlign w:val="bottom"/>
          </w:tcPr>
          <w:p>
            <w:pPr>
              <w:jc w:val="right"/>
              <w:ind w:right="479"/>
              <w:spacing w:after="0"/>
              <w:rPr>
                <w:sz w:val="20"/>
                <w:szCs w:val="20"/>
                <w:color w:val="auto"/>
              </w:rPr>
            </w:pPr>
            <w:r>
              <w:rPr>
                <w:rFonts w:ascii="Arial" w:cs="Arial" w:eastAsia="Arial" w:hAnsi="Arial"/>
                <w:sz w:val="16"/>
                <w:szCs w:val="16"/>
                <w:b w:val="1"/>
                <w:bCs w:val="1"/>
                <w:color w:val="auto"/>
              </w:rPr>
              <w:t>1.48</w:t>
            </w:r>
          </w:p>
        </w:tc>
        <w:tc>
          <w:tcPr>
            <w:tcW w:w="1540" w:type="dxa"/>
            <w:vAlign w:val="bottom"/>
          </w:tcPr>
          <w:p>
            <w:pPr>
              <w:jc w:val="right"/>
              <w:ind w:right="399"/>
              <w:spacing w:after="0"/>
              <w:rPr>
                <w:sz w:val="20"/>
                <w:szCs w:val="20"/>
                <w:color w:val="auto"/>
              </w:rPr>
            </w:pPr>
            <w:r>
              <w:rPr>
                <w:rFonts w:ascii="Arial" w:cs="Arial" w:eastAsia="Arial" w:hAnsi="Arial"/>
                <w:sz w:val="16"/>
                <w:szCs w:val="16"/>
                <w:color w:val="auto"/>
              </w:rPr>
              <w:t>6.33</w:t>
            </w:r>
          </w:p>
        </w:tc>
        <w:tc>
          <w:tcPr>
            <w:tcW w:w="1540" w:type="dxa"/>
            <w:vAlign w:val="bottom"/>
          </w:tcPr>
          <w:p>
            <w:pPr>
              <w:jc w:val="right"/>
              <w:ind w:right="399"/>
              <w:spacing w:after="0"/>
              <w:rPr>
                <w:sz w:val="20"/>
                <w:szCs w:val="20"/>
                <w:color w:val="auto"/>
              </w:rPr>
            </w:pPr>
            <w:r>
              <w:rPr>
                <w:rFonts w:ascii="Arial" w:cs="Arial" w:eastAsia="Arial" w:hAnsi="Arial"/>
                <w:sz w:val="16"/>
                <w:szCs w:val="16"/>
                <w:color w:val="auto"/>
              </w:rPr>
              <w:t>1.32</w:t>
            </w:r>
          </w:p>
        </w:tc>
        <w:tc>
          <w:tcPr>
            <w:tcW w:w="1540" w:type="dxa"/>
            <w:vAlign w:val="bottom"/>
          </w:tcPr>
          <w:p>
            <w:pPr>
              <w:jc w:val="right"/>
              <w:ind w:right="399"/>
              <w:spacing w:after="0"/>
              <w:rPr>
                <w:sz w:val="20"/>
                <w:szCs w:val="20"/>
                <w:color w:val="auto"/>
              </w:rPr>
            </w:pPr>
            <w:r>
              <w:rPr>
                <w:rFonts w:ascii="Arial" w:cs="Arial" w:eastAsia="Arial" w:hAnsi="Arial"/>
                <w:sz w:val="16"/>
                <w:szCs w:val="16"/>
                <w:color w:val="auto"/>
              </w:rPr>
              <w:t>1.20</w:t>
            </w:r>
          </w:p>
        </w:tc>
        <w:tc>
          <w:tcPr>
            <w:tcW w:w="1360" w:type="dxa"/>
            <w:vAlign w:val="bottom"/>
          </w:tcPr>
          <w:p>
            <w:pPr>
              <w:jc w:val="right"/>
              <w:ind w:right="219"/>
              <w:spacing w:after="0"/>
              <w:rPr>
                <w:sz w:val="20"/>
                <w:szCs w:val="20"/>
                <w:color w:val="auto"/>
              </w:rPr>
            </w:pPr>
            <w:r>
              <w:rPr>
                <w:rFonts w:ascii="Arial" w:cs="Arial" w:eastAsia="Arial" w:hAnsi="Arial"/>
                <w:sz w:val="16"/>
                <w:szCs w:val="16"/>
                <w:color w:val="auto"/>
              </w:rPr>
              <w:t>1.08</w:t>
            </w:r>
          </w:p>
        </w:tc>
        <w:tc>
          <w:tcPr>
            <w:tcW w:w="0" w:type="dxa"/>
            <w:vAlign w:val="bottom"/>
          </w:tcPr>
          <w:p>
            <w:pPr>
              <w:spacing w:after="0"/>
              <w:rPr>
                <w:sz w:val="1"/>
                <w:szCs w:val="1"/>
                <w:color w:val="auto"/>
              </w:rPr>
            </w:pPr>
          </w:p>
        </w:tc>
      </w:tr>
      <w:tr>
        <w:trPr>
          <w:trHeight w:val="243"/>
        </w:trPr>
        <w:tc>
          <w:tcPr>
            <w:tcW w:w="390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900" w:type="dxa"/>
            <w:vAlign w:val="bottom"/>
          </w:tcPr>
          <w:p>
            <w:pPr>
              <w:ind w:left="40"/>
              <w:spacing w:after="0"/>
              <w:rPr>
                <w:sz w:val="20"/>
                <w:szCs w:val="20"/>
                <w:color w:val="auto"/>
              </w:rPr>
            </w:pPr>
            <w:r>
              <w:rPr>
                <w:rFonts w:ascii="Arial" w:cs="Arial" w:eastAsia="Arial" w:hAnsi="Arial"/>
                <w:sz w:val="16"/>
                <w:szCs w:val="16"/>
                <w:b w:val="1"/>
                <w:bCs w:val="1"/>
                <w:color w:val="auto"/>
              </w:rPr>
              <w:t>Store Information (at year-end)</w:t>
            </w:r>
          </w:p>
        </w:tc>
        <w:tc>
          <w:tcPr>
            <w:tcW w:w="15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9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Nordstrom full-line stores - U.S. and Canada</w:t>
            </w:r>
          </w:p>
        </w:tc>
        <w:tc>
          <w:tcPr>
            <w:tcW w:w="154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b w:val="1"/>
                <w:bCs w:val="1"/>
                <w:color w:val="auto"/>
              </w:rPr>
              <w:t>123</w:t>
            </w:r>
          </w:p>
        </w:tc>
        <w:tc>
          <w:tcPr>
            <w:tcW w:w="1540" w:type="dxa"/>
            <w:vAlign w:val="bottom"/>
            <w:tcBorders>
              <w:bottom w:val="single" w:sz="8" w:color="CCEEFF"/>
            </w:tcBorders>
            <w:shd w:val="clear" w:color="auto" w:fill="CCEEFF"/>
          </w:tcPr>
          <w:p>
            <w:pPr>
              <w:jc w:val="right"/>
              <w:ind w:right="399"/>
              <w:spacing w:after="0"/>
              <w:rPr>
                <w:sz w:val="20"/>
                <w:szCs w:val="20"/>
                <w:color w:val="auto"/>
              </w:rPr>
            </w:pPr>
            <w:r>
              <w:rPr>
                <w:rFonts w:ascii="Arial" w:cs="Arial" w:eastAsia="Arial" w:hAnsi="Arial"/>
                <w:sz w:val="16"/>
                <w:szCs w:val="16"/>
                <w:color w:val="auto"/>
              </w:rPr>
              <w:t>121</w:t>
            </w:r>
          </w:p>
        </w:tc>
        <w:tc>
          <w:tcPr>
            <w:tcW w:w="1540" w:type="dxa"/>
            <w:vAlign w:val="bottom"/>
            <w:tcBorders>
              <w:bottom w:val="single" w:sz="8" w:color="CCEEFF"/>
            </w:tcBorders>
            <w:shd w:val="clear" w:color="auto" w:fill="CCEEFF"/>
          </w:tcPr>
          <w:p>
            <w:pPr>
              <w:jc w:val="right"/>
              <w:ind w:right="399"/>
              <w:spacing w:after="0"/>
              <w:rPr>
                <w:sz w:val="20"/>
                <w:szCs w:val="20"/>
                <w:color w:val="auto"/>
              </w:rPr>
            </w:pPr>
            <w:r>
              <w:rPr>
                <w:rFonts w:ascii="Arial" w:cs="Arial" w:eastAsia="Arial" w:hAnsi="Arial"/>
                <w:sz w:val="16"/>
                <w:szCs w:val="16"/>
                <w:color w:val="auto"/>
              </w:rPr>
              <w:t>117</w:t>
            </w:r>
          </w:p>
        </w:tc>
        <w:tc>
          <w:tcPr>
            <w:tcW w:w="1540" w:type="dxa"/>
            <w:vAlign w:val="bottom"/>
            <w:tcBorders>
              <w:bottom w:val="single" w:sz="8" w:color="CCEEFF"/>
            </w:tcBorders>
            <w:shd w:val="clear" w:color="auto" w:fill="CCEEFF"/>
          </w:tcPr>
          <w:p>
            <w:pPr>
              <w:jc w:val="right"/>
              <w:ind w:right="399"/>
              <w:spacing w:after="0"/>
              <w:rPr>
                <w:sz w:val="20"/>
                <w:szCs w:val="20"/>
                <w:color w:val="auto"/>
              </w:rPr>
            </w:pPr>
            <w:r>
              <w:rPr>
                <w:rFonts w:ascii="Arial" w:cs="Arial" w:eastAsia="Arial" w:hAnsi="Arial"/>
                <w:sz w:val="16"/>
                <w:szCs w:val="16"/>
                <w:color w:val="auto"/>
              </w:rPr>
              <w:t>117</w:t>
            </w:r>
          </w:p>
        </w:tc>
        <w:tc>
          <w:tcPr>
            <w:tcW w:w="136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117</w:t>
            </w:r>
          </w:p>
        </w:tc>
        <w:tc>
          <w:tcPr>
            <w:tcW w:w="0" w:type="dxa"/>
            <w:vAlign w:val="bottom"/>
          </w:tcPr>
          <w:p>
            <w:pPr>
              <w:spacing w:after="0"/>
              <w:rPr>
                <w:sz w:val="1"/>
                <w:szCs w:val="1"/>
                <w:color w:val="auto"/>
              </w:rPr>
            </w:pPr>
          </w:p>
        </w:tc>
      </w:tr>
      <w:tr>
        <w:trPr>
          <w:trHeight w:val="270"/>
        </w:trPr>
        <w:tc>
          <w:tcPr>
            <w:tcW w:w="3900" w:type="dxa"/>
            <w:vAlign w:val="bottom"/>
          </w:tcPr>
          <w:p>
            <w:pPr>
              <w:ind w:left="280"/>
              <w:spacing w:after="0"/>
              <w:rPr>
                <w:sz w:val="20"/>
                <w:szCs w:val="20"/>
                <w:color w:val="auto"/>
              </w:rPr>
            </w:pPr>
            <w:r>
              <w:rPr>
                <w:rFonts w:ascii="Arial" w:cs="Arial" w:eastAsia="Arial" w:hAnsi="Arial"/>
                <w:sz w:val="16"/>
                <w:szCs w:val="16"/>
                <w:color w:val="auto"/>
              </w:rPr>
              <w:t>Nordstrom Rack and other</w:t>
            </w:r>
            <w:r>
              <w:rPr>
                <w:rFonts w:ascii="Arial" w:cs="Arial" w:eastAsia="Arial" w:hAnsi="Arial"/>
                <w:sz w:val="21"/>
                <w:szCs w:val="21"/>
                <w:color w:val="auto"/>
                <w:vertAlign w:val="superscript"/>
              </w:rPr>
              <w:t>3</w:t>
            </w:r>
          </w:p>
        </w:tc>
        <w:tc>
          <w:tcPr>
            <w:tcW w:w="1540" w:type="dxa"/>
            <w:vAlign w:val="bottom"/>
          </w:tcPr>
          <w:p>
            <w:pPr>
              <w:jc w:val="right"/>
              <w:ind w:right="479"/>
              <w:spacing w:after="0"/>
              <w:rPr>
                <w:sz w:val="20"/>
                <w:szCs w:val="20"/>
                <w:color w:val="auto"/>
              </w:rPr>
            </w:pPr>
            <w:r>
              <w:rPr>
                <w:rFonts w:ascii="Arial" w:cs="Arial" w:eastAsia="Arial" w:hAnsi="Arial"/>
                <w:sz w:val="16"/>
                <w:szCs w:val="16"/>
                <w:b w:val="1"/>
                <w:bCs w:val="1"/>
                <w:color w:val="auto"/>
              </w:rPr>
              <w:t>226</w:t>
            </w:r>
          </w:p>
        </w:tc>
        <w:tc>
          <w:tcPr>
            <w:tcW w:w="1540" w:type="dxa"/>
            <w:vAlign w:val="bottom"/>
          </w:tcPr>
          <w:p>
            <w:pPr>
              <w:jc w:val="right"/>
              <w:ind w:right="399"/>
              <w:spacing w:after="0"/>
              <w:rPr>
                <w:sz w:val="20"/>
                <w:szCs w:val="20"/>
                <w:color w:val="auto"/>
              </w:rPr>
            </w:pPr>
            <w:r>
              <w:rPr>
                <w:rFonts w:ascii="Arial" w:cs="Arial" w:eastAsia="Arial" w:hAnsi="Arial"/>
                <w:sz w:val="16"/>
                <w:szCs w:val="16"/>
                <w:color w:val="auto"/>
              </w:rPr>
              <w:t>202</w:t>
            </w:r>
          </w:p>
        </w:tc>
        <w:tc>
          <w:tcPr>
            <w:tcW w:w="1540" w:type="dxa"/>
            <w:vAlign w:val="bottom"/>
          </w:tcPr>
          <w:p>
            <w:pPr>
              <w:jc w:val="right"/>
              <w:ind w:right="399"/>
              <w:spacing w:after="0"/>
              <w:rPr>
                <w:sz w:val="20"/>
                <w:szCs w:val="20"/>
                <w:color w:val="auto"/>
              </w:rPr>
            </w:pPr>
            <w:r>
              <w:rPr>
                <w:rFonts w:ascii="Arial" w:cs="Arial" w:eastAsia="Arial" w:hAnsi="Arial"/>
                <w:sz w:val="16"/>
                <w:szCs w:val="16"/>
                <w:color w:val="auto"/>
              </w:rPr>
              <w:t>175</w:t>
            </w:r>
          </w:p>
        </w:tc>
        <w:tc>
          <w:tcPr>
            <w:tcW w:w="1540" w:type="dxa"/>
            <w:vAlign w:val="bottom"/>
          </w:tcPr>
          <w:p>
            <w:pPr>
              <w:jc w:val="right"/>
              <w:ind w:right="399"/>
              <w:spacing w:after="0"/>
              <w:rPr>
                <w:sz w:val="20"/>
                <w:szCs w:val="20"/>
                <w:color w:val="auto"/>
              </w:rPr>
            </w:pPr>
            <w:r>
              <w:rPr>
                <w:rFonts w:ascii="Arial" w:cs="Arial" w:eastAsia="Arial" w:hAnsi="Arial"/>
                <w:sz w:val="16"/>
                <w:szCs w:val="16"/>
                <w:color w:val="auto"/>
              </w:rPr>
              <w:t>143</w:t>
            </w:r>
          </w:p>
        </w:tc>
        <w:tc>
          <w:tcPr>
            <w:tcW w:w="1360" w:type="dxa"/>
            <w:vAlign w:val="bottom"/>
          </w:tcPr>
          <w:p>
            <w:pPr>
              <w:jc w:val="right"/>
              <w:ind w:right="219"/>
              <w:spacing w:after="0"/>
              <w:rPr>
                <w:sz w:val="20"/>
                <w:szCs w:val="20"/>
                <w:color w:val="auto"/>
              </w:rPr>
            </w:pPr>
            <w:r>
              <w:rPr>
                <w:rFonts w:ascii="Arial" w:cs="Arial" w:eastAsia="Arial" w:hAnsi="Arial"/>
                <w:sz w:val="16"/>
                <w:szCs w:val="16"/>
                <w:color w:val="auto"/>
              </w:rPr>
              <w:t>123</w:t>
            </w:r>
          </w:p>
        </w:tc>
        <w:tc>
          <w:tcPr>
            <w:tcW w:w="0" w:type="dxa"/>
            <w:vAlign w:val="bottom"/>
          </w:tcPr>
          <w:p>
            <w:pPr>
              <w:spacing w:after="0"/>
              <w:rPr>
                <w:sz w:val="1"/>
                <w:szCs w:val="1"/>
                <w:color w:val="auto"/>
              </w:rPr>
            </w:pPr>
          </w:p>
        </w:tc>
      </w:tr>
      <w:tr>
        <w:trPr>
          <w:trHeight w:val="237"/>
        </w:trPr>
        <w:tc>
          <w:tcPr>
            <w:tcW w:w="39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Total square footage</w:t>
            </w:r>
          </w:p>
        </w:tc>
        <w:tc>
          <w:tcPr>
            <w:tcW w:w="1540" w:type="dxa"/>
            <w:vAlign w:val="bottom"/>
            <w:shd w:val="clear" w:color="auto" w:fill="CCEEFF"/>
          </w:tcPr>
          <w:p>
            <w:pPr>
              <w:jc w:val="right"/>
              <w:ind w:right="479"/>
              <w:spacing w:after="0"/>
              <w:rPr>
                <w:sz w:val="20"/>
                <w:szCs w:val="20"/>
                <w:color w:val="auto"/>
              </w:rPr>
            </w:pPr>
            <w:r>
              <w:rPr>
                <w:rFonts w:ascii="Arial" w:cs="Arial" w:eastAsia="Arial" w:hAnsi="Arial"/>
                <w:sz w:val="16"/>
                <w:szCs w:val="16"/>
                <w:b w:val="1"/>
                <w:bCs w:val="1"/>
                <w:color w:val="auto"/>
              </w:rPr>
              <w:t>29,792,000</w:t>
            </w:r>
          </w:p>
        </w:tc>
        <w:tc>
          <w:tcPr>
            <w:tcW w:w="154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28,610,000</w:t>
            </w:r>
          </w:p>
        </w:tc>
        <w:tc>
          <w:tcPr>
            <w:tcW w:w="154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27,061,000</w:t>
            </w:r>
          </w:p>
        </w:tc>
        <w:tc>
          <w:tcPr>
            <w:tcW w:w="154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26,017,000</w:t>
            </w:r>
          </w:p>
        </w:tc>
        <w:tc>
          <w:tcPr>
            <w:tcW w:w="136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25,290,000</w:t>
            </w:r>
          </w:p>
        </w:tc>
        <w:tc>
          <w:tcPr>
            <w:tcW w:w="0" w:type="dxa"/>
            <w:vAlign w:val="bottom"/>
          </w:tcPr>
          <w:p>
            <w:pPr>
              <w:spacing w:after="0"/>
              <w:rPr>
                <w:sz w:val="1"/>
                <w:szCs w:val="1"/>
                <w:color w:val="auto"/>
              </w:rPr>
            </w:pPr>
          </w:p>
        </w:tc>
      </w:tr>
      <w:tr>
        <w:trPr>
          <w:trHeight w:val="33"/>
        </w:trPr>
        <w:tc>
          <w:tcPr>
            <w:tcW w:w="390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80" w:right="220" w:hanging="72"/>
        <w:spacing w:after="0" w:line="246" w:lineRule="auto"/>
        <w:tabs>
          <w:tab w:leader="none" w:pos="80" w:val="left"/>
        </w:tabs>
        <w:numPr>
          <w:ilvl w:val="0"/>
          <w:numId w:val="15"/>
        </w:numPr>
        <w:rPr>
          <w:rFonts w:ascii="Arial" w:cs="Arial" w:eastAsia="Arial" w:hAnsi="Arial"/>
          <w:sz w:val="9"/>
          <w:szCs w:val="9"/>
          <w:color w:val="auto"/>
        </w:rPr>
      </w:pPr>
      <w:r>
        <w:rPr>
          <w:rFonts w:ascii="Arial" w:cs="Arial" w:eastAsia="Arial" w:hAnsi="Arial"/>
          <w:sz w:val="14"/>
          <w:szCs w:val="14"/>
          <w:color w:val="auto"/>
        </w:rPr>
        <w:t>Amounts were impacted by the October 1, 2015 credit card receivable transaction. For further information regarding these impacts, see Note 2: Credit Card Receivable Transaction and Note 11: Shareholders’ Equity in Item 8.</w:t>
      </w:r>
    </w:p>
    <w:p>
      <w:pPr>
        <w:spacing w:after="0" w:line="1" w:lineRule="exact"/>
        <w:rPr>
          <w:sz w:val="20"/>
          <w:szCs w:val="20"/>
          <w:color w:val="auto"/>
        </w:rPr>
      </w:pPr>
    </w:p>
    <w:p>
      <w:pPr>
        <w:ind w:left="80" w:right="120" w:hanging="72"/>
        <w:spacing w:after="0" w:line="241" w:lineRule="auto"/>
        <w:tabs>
          <w:tab w:leader="none" w:pos="80" w:val="left"/>
        </w:tabs>
        <w:numPr>
          <w:ilvl w:val="0"/>
          <w:numId w:val="16"/>
        </w:numPr>
        <w:rPr>
          <w:rFonts w:ascii="Arial" w:cs="Arial" w:eastAsia="Arial" w:hAnsi="Arial"/>
          <w:sz w:val="9"/>
          <w:szCs w:val="9"/>
          <w:color w:val="auto"/>
        </w:rPr>
      </w:pPr>
      <w:r>
        <w:rPr>
          <w:rFonts w:ascii="Arial" w:cs="Arial" w:eastAsia="Arial" w:hAnsi="Arial"/>
          <w:sz w:val="14"/>
          <w:szCs w:val="14"/>
          <w:color w:val="auto"/>
        </w:rPr>
        <w:t>See ROIC (Non-GAAP financial measure) in Item 7: Management’s Discussion and Analysis of Financial Condition and Results of Operations for additional information and reconciliation to the most directly comparable GAAP financial measure.</w:t>
      </w:r>
    </w:p>
    <w:p>
      <w:pPr>
        <w:spacing w:after="0" w:line="1" w:lineRule="exact"/>
        <w:rPr>
          <w:sz w:val="20"/>
          <w:szCs w:val="20"/>
          <w:color w:val="auto"/>
        </w:rPr>
      </w:pPr>
    </w:p>
    <w:p>
      <w:pPr>
        <w:ind w:left="80" w:hanging="72"/>
        <w:spacing w:after="0"/>
        <w:tabs>
          <w:tab w:leader="none" w:pos="80" w:val="left"/>
        </w:tabs>
        <w:numPr>
          <w:ilvl w:val="0"/>
          <w:numId w:val="17"/>
        </w:numPr>
        <w:rPr>
          <w:rFonts w:ascii="Arial" w:cs="Arial" w:eastAsia="Arial" w:hAnsi="Arial"/>
          <w:sz w:val="9"/>
          <w:szCs w:val="9"/>
          <w:color w:val="auto"/>
        </w:rPr>
      </w:pPr>
      <w:r>
        <w:rPr>
          <w:rFonts w:ascii="Arial" w:cs="Arial" w:eastAsia="Arial" w:hAnsi="Arial"/>
          <w:sz w:val="14"/>
          <w:szCs w:val="14"/>
          <w:color w:val="auto"/>
        </w:rPr>
        <w:t>Other includes Trunk Club clubhouses, Jeffrey boutiques and Last Chance stores.</w:t>
      </w:r>
    </w:p>
    <w:p>
      <w:pPr>
        <w:sectPr>
          <w:pgSz w:w="11900" w:h="16838" w:orient="portrait"/>
          <w:cols w:equalWidth="0" w:num="1">
            <w:col w:w="11420"/>
          </w:cols>
          <w:pgMar w:left="240" w:top="126" w:right="23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ind w:left="9580"/>
        <w:spacing w:after="0"/>
        <w:rPr>
          <w:sz w:val="20"/>
          <w:szCs w:val="20"/>
          <w:color w:val="auto"/>
        </w:rPr>
      </w:pPr>
      <w:r>
        <w:rPr>
          <w:rFonts w:ascii="Arial" w:cs="Arial" w:eastAsia="Arial" w:hAnsi="Arial"/>
          <w:sz w:val="11"/>
          <w:szCs w:val="11"/>
          <w:color w:val="auto"/>
        </w:rPr>
        <w:t xml:space="preserve">Nordstrom, Inc. and subsidiaries </w:t>
      </w:r>
      <w:r>
        <w:rPr>
          <w:rFonts w:ascii="Arial" w:cs="Arial" w:eastAsia="Arial" w:hAnsi="Arial"/>
          <w:sz w:val="14"/>
          <w:szCs w:val="14"/>
          <w:color w:val="auto"/>
        </w:rPr>
        <w:t>17</w:t>
      </w:r>
    </w:p>
    <w:p>
      <w:pPr>
        <w:sectPr>
          <w:pgSz w:w="11900" w:h="16838" w:orient="portrait"/>
          <w:cols w:equalWidth="0" w:num="1">
            <w:col w:w="11420"/>
          </w:cols>
          <w:pgMar w:left="240" w:top="126" w:right="239" w:bottom="1440" w:gutter="0" w:footer="0" w:header="0"/>
          <w:type w:val="continuous"/>
        </w:sectPr>
      </w:pPr>
    </w:p>
    <w:bookmarkStart w:id="17" w:name="page18"/>
    <w:bookmarkEnd w:id="17"/>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7. Management’s Discussion and Analysis of Financial Condition and Results of Operations.</w:t>
      </w:r>
    </w:p>
    <w:p>
      <w:pPr>
        <w:spacing w:after="0" w:line="19" w:lineRule="exact"/>
        <w:rPr>
          <w:sz w:val="20"/>
          <w:szCs w:val="20"/>
          <w:color w:val="auto"/>
        </w:rPr>
      </w:pPr>
    </w:p>
    <w:p>
      <w:pPr>
        <w:ind w:right="3380"/>
        <w:spacing w:after="0" w:line="343" w:lineRule="auto"/>
        <w:rPr>
          <w:sz w:val="20"/>
          <w:szCs w:val="20"/>
          <w:color w:val="auto"/>
        </w:rPr>
      </w:pPr>
      <w:r>
        <w:rPr>
          <w:rFonts w:ascii="Arial" w:cs="Arial" w:eastAsia="Arial" w:hAnsi="Arial"/>
          <w:sz w:val="18"/>
          <w:szCs w:val="18"/>
          <w:color w:val="auto"/>
        </w:rPr>
        <w:t xml:space="preserve">Dollar, share and square footage amounts in millions except percentages, per share and per square foot amounts </w:t>
      </w:r>
      <w:r>
        <w:rPr>
          <w:rFonts w:ascii="Arial" w:cs="Arial" w:eastAsia="Arial" w:hAnsi="Arial"/>
          <w:sz w:val="18"/>
          <w:szCs w:val="18"/>
          <w:b w:val="1"/>
          <w:bCs w:val="1"/>
          <w:color w:val="auto"/>
        </w:rPr>
        <w:t>OVERVIEW</w:t>
      </w:r>
    </w:p>
    <w:p>
      <w:pPr>
        <w:spacing w:after="0" w:line="1" w:lineRule="exact"/>
        <w:rPr>
          <w:sz w:val="20"/>
          <w:szCs w:val="20"/>
          <w:color w:val="auto"/>
        </w:rPr>
      </w:pPr>
    </w:p>
    <w:p>
      <w:pPr>
        <w:ind w:right="200"/>
        <w:spacing w:after="0" w:line="270" w:lineRule="auto"/>
        <w:rPr>
          <w:sz w:val="20"/>
          <w:szCs w:val="20"/>
          <w:color w:val="auto"/>
        </w:rPr>
      </w:pPr>
      <w:r>
        <w:rPr>
          <w:rFonts w:ascii="Arial" w:cs="Arial" w:eastAsia="Arial" w:hAnsi="Arial"/>
          <w:sz w:val="17"/>
          <w:szCs w:val="17"/>
          <w:color w:val="auto"/>
        </w:rPr>
        <w:t>Nordstrom is a leading fashion specialty retailer offering apparel, shoes, cosmetics and accessories for women, men, young adults and children. We offer an extensive selection of high-quality brand-name and private label merchandise through our various channels, including Nordstrom U.S. and Canada full-line stores, Nordstrom.com, Nordstrom Rack stores, Nordstromrack.com/HauteLook, Trunk Club clubhouses and TrunkClub.com, Jeffrey boutiques and Last Chance clearance stores. As of January 28, 2017, our stores are located in 40 states throughout the United States and in three provinces in Canada. Our customers can participate in our Nordstrom Rewards loyalty program which allows them to earn points based on their level of spending. We also offer our customers a variety of payment products and services, including credit and debit cards.</w:t>
      </w:r>
    </w:p>
    <w:p>
      <w:pPr>
        <w:spacing w:after="0" w:line="125"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Our 2016 earnings per diluted share of $2.02, which included a goodwill impairment charge of $1.12, exceeded our outlook of $1.70 to $1.80. Our results were driven by continued operational efficiencies in inventory and expense execution and demonstrated our team’s speed and agility in responding to changes in business conditions. We reached record sales of $14.5 billion for the year, reflecting a net sales increase of 2.9% and comparable sales decrease of 0.4% primarily driven by full-line stores. We achieved the following milestones in multiple growth areas:</w:t>
      </w:r>
    </w:p>
    <w:p>
      <w:pPr>
        <w:spacing w:after="0" w:line="63" w:lineRule="exact"/>
        <w:rPr>
          <w:sz w:val="20"/>
          <w:szCs w:val="20"/>
          <w:color w:val="auto"/>
        </w:rPr>
      </w:pPr>
    </w:p>
    <w:p>
      <w:pPr>
        <w:ind w:left="500" w:hanging="168"/>
        <w:spacing w:after="0"/>
        <w:tabs>
          <w:tab w:leader="none" w:pos="5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Our expansion into Canada where we currently have five full-line stores, including two that opened last fall, contributed total sales of $300 in 2016.</w:t>
      </w:r>
    </w:p>
    <w:p>
      <w:pPr>
        <w:spacing w:after="0" w:line="86" w:lineRule="exact"/>
        <w:rPr>
          <w:rFonts w:ascii="Arial" w:cs="Arial" w:eastAsia="Arial" w:hAnsi="Arial"/>
          <w:sz w:val="16"/>
          <w:szCs w:val="16"/>
          <w:color w:val="auto"/>
        </w:rPr>
      </w:pPr>
    </w:p>
    <w:p>
      <w:pPr>
        <w:ind w:left="500" w:hanging="168"/>
        <w:spacing w:after="0"/>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Nordstrom.com sales reached over $2.5 billion, representing approximately 25% of full-price sales.</w:t>
      </w:r>
    </w:p>
    <w:p>
      <w:pPr>
        <w:spacing w:after="0" w:line="63" w:lineRule="exact"/>
        <w:rPr>
          <w:rFonts w:ascii="Arial" w:cs="Arial" w:eastAsia="Arial" w:hAnsi="Arial"/>
          <w:sz w:val="18"/>
          <w:szCs w:val="18"/>
          <w:color w:val="auto"/>
        </w:rPr>
      </w:pPr>
    </w:p>
    <w:p>
      <w:pPr>
        <w:ind w:left="500" w:right="240" w:hanging="168"/>
        <w:spacing w:after="0" w:line="277" w:lineRule="auto"/>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off-price business reached $4.5 billion, with growth mainly driven by our online net sales increase of 32% and 21 new store openings. Off-price continues to be our largest source of new customers, gaining approximately 6 million in 2016.</w:t>
      </w:r>
    </w:p>
    <w:p>
      <w:pPr>
        <w:spacing w:after="0" w:line="8" w:lineRule="exact"/>
        <w:rPr>
          <w:rFonts w:ascii="Arial" w:cs="Arial" w:eastAsia="Arial" w:hAnsi="Arial"/>
          <w:sz w:val="18"/>
          <w:szCs w:val="18"/>
          <w:color w:val="auto"/>
        </w:rPr>
      </w:pPr>
    </w:p>
    <w:p>
      <w:pPr>
        <w:ind w:left="500" w:right="520" w:hanging="168"/>
        <w:spacing w:after="0" w:line="298" w:lineRule="auto"/>
        <w:tabs>
          <w:tab w:leader="none" w:pos="5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Our expanded Nordstrom Rewards program, which launched in the second quarter, drove a strong customer response with 3.7 million customers joining through our non-tender offer. We ended the year with a total of 7.8 million active Nordstrom Rewards customers.</w:t>
      </w:r>
    </w:p>
    <w:p>
      <w:pPr>
        <w:ind w:left="500" w:hanging="168"/>
        <w:spacing w:after="0"/>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working capital improvements contributed to the $1.6 billion in operating cash flow and $0.6 billion in free cash flow.</w:t>
      </w:r>
    </w:p>
    <w:p>
      <w:pPr>
        <w:spacing w:after="0" w:line="17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From a merchandising perspective, we strive to offer a curated selection of the best brands. As we look for new opportunities through our vendor partnerships, we will continue to be strategic and pursue partnerships that are similar to our portfolio and maintain relevance with our customers by delivering newness. Our strategies around product differentiation include our ongoing efforts to grow limited distribution brands such as Ivy Park, J.Crew and Good American, in addition to our Nordstrom exclusive offering.</w:t>
      </w:r>
    </w:p>
    <w:p>
      <w:pPr>
        <w:spacing w:after="0" w:line="133"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In 2016, we made focused efforts to improve our productivity, particularly around our technology, supply chain and marketing. In technology, we increased the productivity of delivering features to enhance the customer experience. In supply chain, we focused on overall profitability by reducing split shipments and editing out less profitable items online. In marketing, we strengthened our capabilities around digital engagement so that we reach customers in a more efficient and cost-effective manner. Through these efforts, we made significant progress in improving operational efficiencies, reflected by moderated expense growth of 10% in these three key areas, relative to an annual average of 20% over the past five years.</w:t>
      </w:r>
    </w:p>
    <w:p>
      <w:pPr>
        <w:spacing w:after="0" w:line="11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With customer expectations changing faster than ever, it is important that we remain focused on the customer. Moving forward, we believe our strategies give us a platform for enhanced capabilities to better serve customers and increase market share. Our obsession with our customers keeps us focused on speed, convenience and personalization. We have good momentum in place and will continue to make changes to ensure we are best serving customers and improving our business now and into the future.</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126" w:right="239" w:bottom="1440" w:gutter="0" w:footer="0" w:header="0"/>
        </w:sectPr>
      </w:pPr>
    </w:p>
    <w:bookmarkStart w:id="18" w:name="page19"/>
    <w:bookmarkEnd w:id="18"/>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7"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Our reportable segments are Retail and Credit. We analyze our results of operations through earnings before interest and income taxes for our Retail Business and Credit, while interest expense, income taxes and earnings per share are discussed on a total Company basis.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RETAIL BUSINESS</w:t>
      </w:r>
    </w:p>
    <w:p>
      <w:pPr>
        <w:spacing w:after="0" w:line="23"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Our Retail Business includes our Nordstrom U.S. and Canada full-line stores, Nordstrom.com, Nordstrom Rack stores, Nordstromrack.com/HauteLook, Trunk Club, Jeffrey boutiques and Last Chance clearance stores. For purposes of discussion and analysis of our results of operations of our Retail Business, we combine our Retail segment results with revenues and expenses in the “Corporate/Other” column of Note 15: Segment Reporting in Item 8 (collectively, the “Retail Business”).</w:t>
      </w:r>
    </w:p>
    <w:p>
      <w:pPr>
        <w:spacing w:after="0" w:line="13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Certain metrics we use to evaluate the Retail Business may not be calculated in a consistent manner among industry peers. Provided below are definitions of metrics we present within our analysis of the Retail Business:</w:t>
      </w:r>
    </w:p>
    <w:p>
      <w:pPr>
        <w:spacing w:after="0" w:line="62" w:lineRule="exact"/>
        <w:rPr>
          <w:sz w:val="20"/>
          <w:szCs w:val="20"/>
          <w:color w:val="auto"/>
        </w:rPr>
      </w:pPr>
    </w:p>
    <w:p>
      <w:pPr>
        <w:ind w:left="340" w:right="360" w:hanging="332"/>
        <w:spacing w:after="0" w:line="277"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Comparable Sales </w:t>
      </w:r>
      <w:r>
        <w:rPr>
          <w:rFonts w:ascii="Arial" w:cs="Arial" w:eastAsia="Arial" w:hAnsi="Arial"/>
          <w:sz w:val="16"/>
          <w:szCs w:val="16"/>
          <w:color w:val="auto"/>
        </w:rPr>
        <w:t>–</w:t>
      </w:r>
      <w:r>
        <w:rPr>
          <w:rFonts w:ascii="Arial" w:cs="Arial" w:eastAsia="Arial" w:hAnsi="Arial"/>
          <w:sz w:val="18"/>
          <w:szCs w:val="18"/>
          <w:color w:val="auto"/>
        </w:rPr>
        <w:t xml:space="preserve"> sales from stores that have been open at least one full year at the beginning of the year. Total Company comparable sales include sales from our online channels.</w:t>
      </w:r>
    </w:p>
    <w:p>
      <w:pPr>
        <w:spacing w:after="0" w:line="8" w:lineRule="exact"/>
        <w:rPr>
          <w:rFonts w:ascii="Arial" w:cs="Arial" w:eastAsia="Arial" w:hAnsi="Arial"/>
          <w:sz w:val="18"/>
          <w:szCs w:val="18"/>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Gross Profit </w:t>
      </w:r>
      <w:r>
        <w:rPr>
          <w:rFonts w:ascii="Arial" w:cs="Arial" w:eastAsia="Arial" w:hAnsi="Arial"/>
          <w:sz w:val="16"/>
          <w:szCs w:val="16"/>
          <w:color w:val="auto"/>
        </w:rPr>
        <w:t>–</w:t>
      </w:r>
      <w:r>
        <w:rPr>
          <w:rFonts w:ascii="Arial" w:cs="Arial" w:eastAsia="Arial" w:hAnsi="Arial"/>
          <w:sz w:val="18"/>
          <w:szCs w:val="18"/>
          <w:color w:val="auto"/>
        </w:rPr>
        <w:t xml:space="preserve"> net sales less cost of sales and related buying and occupancy costs.</w:t>
      </w:r>
    </w:p>
    <w:p>
      <w:pPr>
        <w:spacing w:after="0" w:line="63" w:lineRule="exact"/>
        <w:rPr>
          <w:rFonts w:ascii="Arial" w:cs="Arial" w:eastAsia="Arial" w:hAnsi="Arial"/>
          <w:sz w:val="18"/>
          <w:szCs w:val="18"/>
          <w:color w:val="auto"/>
        </w:rPr>
      </w:pPr>
    </w:p>
    <w:p>
      <w:pPr>
        <w:ind w:left="340" w:right="560" w:hanging="332"/>
        <w:spacing w:after="0" w:line="277"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Inventory Turnover Rate </w:t>
      </w:r>
      <w:r>
        <w:rPr>
          <w:rFonts w:ascii="Arial" w:cs="Arial" w:eastAsia="Arial" w:hAnsi="Arial"/>
          <w:sz w:val="16"/>
          <w:szCs w:val="16"/>
          <w:color w:val="auto"/>
        </w:rPr>
        <w:t>–</w:t>
      </w:r>
      <w:r>
        <w:rPr>
          <w:rFonts w:ascii="Arial" w:cs="Arial" w:eastAsia="Arial" w:hAnsi="Arial"/>
          <w:sz w:val="18"/>
          <w:szCs w:val="18"/>
          <w:color w:val="auto"/>
        </w:rPr>
        <w:t xml:space="preserve"> annual cost of sales and related buying and occupancy costs (for all segments) divided by the trailing 4-quarter average inventory.</w:t>
      </w:r>
    </w:p>
    <w:p>
      <w:pPr>
        <w:spacing w:after="0" w:line="8" w:lineRule="exact"/>
        <w:rPr>
          <w:rFonts w:ascii="Arial" w:cs="Arial" w:eastAsia="Arial" w:hAnsi="Arial"/>
          <w:sz w:val="18"/>
          <w:szCs w:val="18"/>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Total Sales Per Square Foot </w:t>
      </w:r>
      <w:r>
        <w:rPr>
          <w:rFonts w:ascii="Arial" w:cs="Arial" w:eastAsia="Arial" w:hAnsi="Arial"/>
          <w:sz w:val="16"/>
          <w:szCs w:val="16"/>
          <w:color w:val="auto"/>
        </w:rPr>
        <w:t>–</w:t>
      </w:r>
      <w:r>
        <w:rPr>
          <w:rFonts w:ascii="Arial" w:cs="Arial" w:eastAsia="Arial" w:hAnsi="Arial"/>
          <w:sz w:val="18"/>
          <w:szCs w:val="18"/>
          <w:color w:val="auto"/>
        </w:rPr>
        <w:t xml:space="preserve"> net sales divided by weighted-average square footage.</w:t>
      </w:r>
    </w:p>
    <w:p>
      <w:pPr>
        <w:spacing w:after="0" w:line="63" w:lineRule="exact"/>
        <w:rPr>
          <w:rFonts w:ascii="Arial" w:cs="Arial" w:eastAsia="Arial" w:hAnsi="Arial"/>
          <w:sz w:val="18"/>
          <w:szCs w:val="18"/>
          <w:color w:val="auto"/>
        </w:rPr>
      </w:pPr>
    </w:p>
    <w:p>
      <w:pPr>
        <w:ind w:left="340" w:right="220" w:hanging="332"/>
        <w:spacing w:after="0" w:line="277"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4-wall Sales Per Square Foot </w:t>
      </w:r>
      <w:r>
        <w:rPr>
          <w:rFonts w:ascii="Arial" w:cs="Arial" w:eastAsia="Arial" w:hAnsi="Arial"/>
          <w:sz w:val="16"/>
          <w:szCs w:val="16"/>
          <w:color w:val="auto"/>
        </w:rPr>
        <w:t>–</w:t>
      </w:r>
      <w:r>
        <w:rPr>
          <w:rFonts w:ascii="Arial" w:cs="Arial" w:eastAsia="Arial" w:hAnsi="Arial"/>
          <w:sz w:val="18"/>
          <w:szCs w:val="18"/>
          <w:color w:val="auto"/>
        </w:rPr>
        <w:t xml:space="preserve"> sales for Nordstrom U.S. and Canada full-line stores, Nordstrom Rack stores, Trunk Club clubhouses, Jeffrey boutiques and Last Chance clearance stores divided by their weighted-average square footage.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results of our Retail Business: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160" w:type="dxa"/>
            <w:vAlign w:val="bottom"/>
            <w:gridSpan w:val="2"/>
          </w:tcPr>
          <w:p>
            <w:pPr>
              <w:ind w:left="40"/>
              <w:spacing w:after="0"/>
              <w:rPr>
                <w:sz w:val="20"/>
                <w:szCs w:val="20"/>
                <w:color w:val="auto"/>
              </w:rPr>
            </w:pPr>
            <w:r>
              <w:rPr>
                <w:rFonts w:ascii="Arial" w:cs="Arial" w:eastAsia="Arial" w:hAnsi="Arial"/>
                <w:sz w:val="16"/>
                <w:szCs w:val="16"/>
                <w:b w:val="1"/>
                <w:bCs w:val="1"/>
                <w:color w:val="auto"/>
              </w:rPr>
              <w:t>Fiscal year</w:t>
            </w:r>
          </w:p>
        </w:tc>
        <w:tc>
          <w:tcPr>
            <w:tcW w:w="1700" w:type="dxa"/>
            <w:vAlign w:val="bottom"/>
          </w:tcPr>
          <w:p>
            <w:pPr>
              <w:jc w:val="right"/>
              <w:ind w:right="99"/>
              <w:spacing w:after="0"/>
              <w:rPr>
                <w:sz w:val="20"/>
                <w:szCs w:val="20"/>
                <w:color w:val="auto"/>
              </w:rPr>
            </w:pPr>
            <w:r>
              <w:rPr>
                <w:rFonts w:ascii="Arial" w:cs="Arial" w:eastAsia="Arial" w:hAnsi="Arial"/>
                <w:sz w:val="16"/>
                <w:szCs w:val="16"/>
                <w:b w:val="1"/>
                <w:bCs w:val="1"/>
                <w:color w:val="auto"/>
              </w:rPr>
              <w:t>2016</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jc w:val="right"/>
              <w:ind w:right="99"/>
              <w:spacing w:after="0"/>
              <w:rPr>
                <w:sz w:val="20"/>
                <w:szCs w:val="20"/>
                <w:color w:val="auto"/>
              </w:rPr>
            </w:pPr>
            <w:r>
              <w:rPr>
                <w:rFonts w:ascii="Arial" w:cs="Arial" w:eastAsia="Arial" w:hAnsi="Arial"/>
                <w:sz w:val="16"/>
                <w:szCs w:val="16"/>
                <w:b w:val="1"/>
                <w:bCs w:val="1"/>
                <w:color w:val="auto"/>
              </w:rPr>
              <w:t>2015</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500" w:type="dxa"/>
            <w:vAlign w:val="bottom"/>
          </w:tcPr>
          <w:p>
            <w:pPr>
              <w:jc w:val="right"/>
              <w:ind w:right="1079"/>
              <w:spacing w:after="0"/>
              <w:rPr>
                <w:sz w:val="20"/>
                <w:szCs w:val="20"/>
                <w:color w:val="auto"/>
              </w:rPr>
            </w:pPr>
            <w:r>
              <w:rPr>
                <w:rFonts w:ascii="Arial" w:cs="Arial" w:eastAsia="Arial" w:hAnsi="Arial"/>
                <w:sz w:val="16"/>
                <w:szCs w:val="16"/>
                <w:b w:val="1"/>
                <w:bCs w:val="1"/>
                <w:color w:val="auto"/>
                <w:w w:val="89"/>
              </w:rPr>
              <w:t>2014</w:t>
            </w:r>
          </w:p>
        </w:tc>
        <w:tc>
          <w:tcPr>
            <w:tcW w:w="0" w:type="dxa"/>
            <w:vAlign w:val="bottom"/>
          </w:tcPr>
          <w:p>
            <w:pPr>
              <w:spacing w:after="0"/>
              <w:rPr>
                <w:sz w:val="1"/>
                <w:szCs w:val="1"/>
                <w:color w:val="auto"/>
              </w:rPr>
            </w:pPr>
          </w:p>
        </w:tc>
      </w:tr>
      <w:tr>
        <w:trPr>
          <w:trHeight w:val="33"/>
        </w:trPr>
        <w:tc>
          <w:tcPr>
            <w:tcW w:w="3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 of net</w:t>
            </w:r>
          </w:p>
        </w:tc>
        <w:tc>
          <w:tcPr>
            <w:tcW w:w="170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rPr>
              <w:t>% of net</w:t>
            </w:r>
          </w:p>
        </w:tc>
        <w:tc>
          <w:tcPr>
            <w:tcW w:w="1180" w:type="dxa"/>
            <w:vAlign w:val="bottom"/>
          </w:tcPr>
          <w:p>
            <w:pPr>
              <w:spacing w:after="0"/>
              <w:rPr>
                <w:sz w:val="18"/>
                <w:szCs w:val="18"/>
                <w:color w:val="auto"/>
              </w:rPr>
            </w:pPr>
          </w:p>
        </w:tc>
        <w:tc>
          <w:tcPr>
            <w:tcW w:w="1500" w:type="dxa"/>
            <w:vAlign w:val="bottom"/>
          </w:tcPr>
          <w:p>
            <w:pPr>
              <w:jc w:val="right"/>
              <w:ind w:right="139"/>
              <w:spacing w:after="0"/>
              <w:rPr>
                <w:sz w:val="20"/>
                <w:szCs w:val="20"/>
                <w:color w:val="auto"/>
              </w:rPr>
            </w:pPr>
            <w:r>
              <w:rPr>
                <w:rFonts w:ascii="Arial" w:cs="Arial" w:eastAsia="Arial" w:hAnsi="Arial"/>
                <w:sz w:val="16"/>
                <w:szCs w:val="16"/>
                <w:b w:val="1"/>
                <w:bCs w:val="1"/>
                <w:color w:val="auto"/>
              </w:rPr>
              <w:t>% of net</w:t>
            </w:r>
          </w:p>
        </w:tc>
        <w:tc>
          <w:tcPr>
            <w:tcW w:w="0" w:type="dxa"/>
            <w:vAlign w:val="bottom"/>
          </w:tcPr>
          <w:p>
            <w:pPr>
              <w:spacing w:after="0"/>
              <w:rPr>
                <w:sz w:val="1"/>
                <w:szCs w:val="1"/>
                <w:color w:val="auto"/>
              </w:rPr>
            </w:pPr>
          </w:p>
        </w:tc>
      </w:tr>
      <w:tr>
        <w:trPr>
          <w:trHeight w:val="243"/>
        </w:trPr>
        <w:tc>
          <w:tcPr>
            <w:tcW w:w="30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70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Amount</w:t>
            </w:r>
          </w:p>
        </w:tc>
        <w:tc>
          <w:tcPr>
            <w:tcW w:w="10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sales</w:t>
            </w:r>
            <w:r>
              <w:rPr>
                <w:rFonts w:ascii="Arial" w:cs="Arial" w:eastAsia="Arial" w:hAnsi="Arial"/>
                <w:sz w:val="21"/>
                <w:szCs w:val="21"/>
                <w:color w:val="auto"/>
                <w:vertAlign w:val="superscript"/>
              </w:rPr>
              <w:t>1</w:t>
            </w:r>
          </w:p>
        </w:tc>
        <w:tc>
          <w:tcPr>
            <w:tcW w:w="100" w:type="dxa"/>
            <w:vAlign w:val="bottom"/>
            <w:tcBorders>
              <w:bottom w:val="single" w:sz="8" w:color="CCEEFF"/>
            </w:tcBorders>
          </w:tcPr>
          <w:p>
            <w:pPr>
              <w:spacing w:after="0"/>
              <w:rPr>
                <w:sz w:val="21"/>
                <w:szCs w:val="21"/>
                <w:color w:val="auto"/>
              </w:rPr>
            </w:pPr>
          </w:p>
        </w:tc>
        <w:tc>
          <w:tcPr>
            <w:tcW w:w="170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Amount</w:t>
            </w:r>
          </w:p>
        </w:tc>
        <w:tc>
          <w:tcPr>
            <w:tcW w:w="9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sales</w:t>
            </w:r>
            <w:r>
              <w:rPr>
                <w:rFonts w:ascii="Arial" w:cs="Arial" w:eastAsia="Arial" w:hAnsi="Arial"/>
                <w:sz w:val="21"/>
                <w:szCs w:val="21"/>
                <w:color w:val="auto"/>
                <w:vertAlign w:val="superscript"/>
              </w:rPr>
              <w:t>1</w:t>
            </w:r>
          </w:p>
        </w:tc>
        <w:tc>
          <w:tcPr>
            <w:tcW w:w="100" w:type="dxa"/>
            <w:vAlign w:val="bottom"/>
            <w:tcBorders>
              <w:bottom w:val="single" w:sz="8" w:color="CCEEFF"/>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Amount</w:t>
            </w:r>
          </w:p>
        </w:tc>
        <w:tc>
          <w:tcPr>
            <w:tcW w:w="15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sales</w:t>
            </w:r>
            <w:r>
              <w:rPr>
                <w:rFonts w:ascii="Arial" w:cs="Arial" w:eastAsia="Arial" w:hAnsi="Arial"/>
                <w:sz w:val="21"/>
                <w:szCs w:val="21"/>
                <w:color w:val="auto"/>
                <w:vertAlign w:val="superscript"/>
              </w:rPr>
              <w:t>1</w:t>
            </w:r>
          </w:p>
        </w:tc>
        <w:tc>
          <w:tcPr>
            <w:tcW w:w="0" w:type="dxa"/>
            <w:vAlign w:val="bottom"/>
          </w:tcPr>
          <w:p>
            <w:pPr>
              <w:spacing w:after="0"/>
              <w:rPr>
                <w:sz w:val="1"/>
                <w:szCs w:val="1"/>
                <w:color w:val="auto"/>
              </w:rPr>
            </w:pPr>
          </w:p>
        </w:tc>
      </w:tr>
      <w:tr>
        <w:trPr>
          <w:trHeight w:val="244"/>
        </w:trPr>
        <w:tc>
          <w:tcPr>
            <w:tcW w:w="3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Net sales</w:t>
            </w:r>
          </w:p>
        </w:tc>
        <w:tc>
          <w:tcPr>
            <w:tcW w:w="1700" w:type="dxa"/>
            <w:vAlign w:val="bottom"/>
            <w:tcBorders>
              <w:bottom w:val="single" w:sz="8" w:color="CCEEFF"/>
            </w:tcBorders>
            <w:shd w:val="clear" w:color="auto" w:fill="CCEEFF"/>
          </w:tcPr>
          <w:p>
            <w:pPr>
              <w:jc w:val="right"/>
              <w:ind w:right="499"/>
              <w:spacing w:after="0"/>
              <w:rPr>
                <w:sz w:val="20"/>
                <w:szCs w:val="20"/>
                <w:color w:val="auto"/>
              </w:rPr>
            </w:pPr>
            <w:r>
              <w:rPr>
                <w:rFonts w:ascii="Arial" w:cs="Arial" w:eastAsia="Arial" w:hAnsi="Arial"/>
                <w:sz w:val="16"/>
                <w:szCs w:val="16"/>
                <w:b w:val="1"/>
                <w:bCs w:val="1"/>
                <w:color w:val="auto"/>
              </w:rPr>
              <w:t>$14,498</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499"/>
              <w:spacing w:after="0"/>
              <w:rPr>
                <w:sz w:val="20"/>
                <w:szCs w:val="20"/>
                <w:color w:val="auto"/>
              </w:rPr>
            </w:pPr>
            <w:r>
              <w:rPr>
                <w:rFonts w:ascii="Arial" w:cs="Arial" w:eastAsia="Arial" w:hAnsi="Arial"/>
                <w:sz w:val="16"/>
                <w:szCs w:val="16"/>
                <w:color w:val="auto"/>
              </w:rPr>
              <w:t>$14,095</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$13,110</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220"/>
        </w:trPr>
        <w:tc>
          <w:tcPr>
            <w:tcW w:w="3160" w:type="dxa"/>
            <w:vAlign w:val="bottom"/>
            <w:gridSpan w:val="2"/>
          </w:tcPr>
          <w:p>
            <w:pPr>
              <w:ind w:left="40"/>
              <w:spacing w:after="0"/>
              <w:rPr>
                <w:sz w:val="20"/>
                <w:szCs w:val="20"/>
                <w:color w:val="auto"/>
              </w:rPr>
            </w:pPr>
            <w:r>
              <w:rPr>
                <w:rFonts w:ascii="Arial" w:cs="Arial" w:eastAsia="Arial" w:hAnsi="Arial"/>
                <w:sz w:val="16"/>
                <w:szCs w:val="16"/>
                <w:color w:val="auto"/>
              </w:rPr>
              <w:t>Cost of sales and related buying and</w:t>
            </w:r>
          </w:p>
        </w:tc>
        <w:tc>
          <w:tcPr>
            <w:tcW w:w="1700" w:type="dxa"/>
            <w:vAlign w:val="bottom"/>
            <w:vMerge w:val="restart"/>
          </w:tcPr>
          <w:p>
            <w:pPr>
              <w:jc w:val="right"/>
              <w:ind w:right="439"/>
              <w:spacing w:after="0"/>
              <w:rPr>
                <w:sz w:val="20"/>
                <w:szCs w:val="20"/>
                <w:color w:val="auto"/>
              </w:rPr>
            </w:pPr>
            <w:r>
              <w:rPr>
                <w:rFonts w:ascii="Arial" w:cs="Arial" w:eastAsia="Arial" w:hAnsi="Arial"/>
                <w:sz w:val="16"/>
                <w:szCs w:val="16"/>
                <w:b w:val="1"/>
                <w:bCs w:val="1"/>
                <w:color w:val="auto"/>
              </w:rPr>
              <w:t>(9,434)</w:t>
            </w:r>
          </w:p>
        </w:tc>
        <w:tc>
          <w:tcPr>
            <w:tcW w:w="10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(65.1%)</w:t>
            </w: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160" w:type="dxa"/>
            <w:vAlign w:val="bottom"/>
            <w:gridSpan w:val="2"/>
          </w:tcPr>
          <w:p>
            <w:pPr>
              <w:ind w:left="200"/>
              <w:spacing w:after="0"/>
              <w:rPr>
                <w:sz w:val="20"/>
                <w:szCs w:val="20"/>
                <w:color w:val="auto"/>
              </w:rPr>
            </w:pPr>
            <w:r>
              <w:rPr>
                <w:rFonts w:ascii="Arial" w:cs="Arial" w:eastAsia="Arial" w:hAnsi="Arial"/>
                <w:sz w:val="16"/>
                <w:szCs w:val="16"/>
                <w:color w:val="auto"/>
              </w:rPr>
              <w:t>occupancy costs</w:t>
            </w:r>
          </w:p>
        </w:tc>
        <w:tc>
          <w:tcPr>
            <w:tcW w:w="170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jc w:val="right"/>
              <w:ind w:right="439"/>
              <w:spacing w:after="0"/>
              <w:rPr>
                <w:sz w:val="20"/>
                <w:szCs w:val="20"/>
                <w:color w:val="auto"/>
              </w:rPr>
            </w:pPr>
            <w:r>
              <w:rPr>
                <w:rFonts w:ascii="Arial" w:cs="Arial" w:eastAsia="Arial" w:hAnsi="Arial"/>
                <w:sz w:val="16"/>
                <w:szCs w:val="16"/>
                <w:color w:val="auto"/>
              </w:rPr>
              <w:t>(9,161)</w:t>
            </w:r>
          </w:p>
        </w:tc>
        <w:tc>
          <w:tcPr>
            <w:tcW w:w="980" w:type="dxa"/>
            <w:vAlign w:val="bottom"/>
          </w:tcPr>
          <w:p>
            <w:pPr>
              <w:jc w:val="right"/>
              <w:spacing w:after="0"/>
              <w:rPr>
                <w:sz w:val="20"/>
                <w:szCs w:val="20"/>
                <w:color w:val="auto"/>
              </w:rPr>
            </w:pPr>
            <w:r>
              <w:rPr>
                <w:rFonts w:ascii="Arial" w:cs="Arial" w:eastAsia="Arial" w:hAnsi="Arial"/>
                <w:sz w:val="16"/>
                <w:szCs w:val="16"/>
                <w:color w:val="auto"/>
              </w:rPr>
              <w:t>(65.0%)</w:t>
            </w:r>
          </w:p>
        </w:tc>
        <w:tc>
          <w:tcPr>
            <w:tcW w:w="1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(8,401)</w:t>
            </w:r>
          </w:p>
        </w:tc>
        <w:tc>
          <w:tcPr>
            <w:tcW w:w="1500" w:type="dxa"/>
            <w:vAlign w:val="bottom"/>
          </w:tcPr>
          <w:p>
            <w:pPr>
              <w:jc w:val="right"/>
              <w:spacing w:after="0"/>
              <w:rPr>
                <w:sz w:val="20"/>
                <w:szCs w:val="20"/>
                <w:color w:val="auto"/>
              </w:rPr>
            </w:pPr>
            <w:r>
              <w:rPr>
                <w:rFonts w:ascii="Arial" w:cs="Arial" w:eastAsia="Arial" w:hAnsi="Arial"/>
                <w:sz w:val="16"/>
                <w:szCs w:val="16"/>
                <w:color w:val="auto"/>
              </w:rPr>
              <w:t>(64.1%)</w:t>
            </w:r>
          </w:p>
        </w:tc>
        <w:tc>
          <w:tcPr>
            <w:tcW w:w="0" w:type="dxa"/>
            <w:vAlign w:val="bottom"/>
          </w:tcPr>
          <w:p>
            <w:pPr>
              <w:spacing w:after="0"/>
              <w:rPr>
                <w:sz w:val="1"/>
                <w:szCs w:val="1"/>
                <w:color w:val="auto"/>
              </w:rPr>
            </w:pPr>
          </w:p>
        </w:tc>
      </w:tr>
      <w:tr>
        <w:trPr>
          <w:trHeight w:val="33"/>
        </w:trPr>
        <w:tc>
          <w:tcPr>
            <w:tcW w:w="3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1700" w:type="dxa"/>
            <w:vAlign w:val="bottom"/>
            <w:tcBorders>
              <w:bottom w:val="single" w:sz="8" w:color="CCEEFF"/>
            </w:tcBorders>
            <w:shd w:val="clear" w:color="auto" w:fill="CCEEFF"/>
          </w:tcPr>
          <w:p>
            <w:pPr>
              <w:jc w:val="right"/>
              <w:ind w:right="499"/>
              <w:spacing w:after="0"/>
              <w:rPr>
                <w:sz w:val="20"/>
                <w:szCs w:val="20"/>
                <w:color w:val="auto"/>
              </w:rPr>
            </w:pPr>
            <w:r>
              <w:rPr>
                <w:rFonts w:ascii="Arial" w:cs="Arial" w:eastAsia="Arial" w:hAnsi="Arial"/>
                <w:sz w:val="16"/>
                <w:szCs w:val="16"/>
                <w:b w:val="1"/>
                <w:bCs w:val="1"/>
                <w:color w:val="auto"/>
              </w:rPr>
              <w:t>5,064</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34.9%</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499"/>
              <w:spacing w:after="0"/>
              <w:rPr>
                <w:sz w:val="20"/>
                <w:szCs w:val="20"/>
                <w:color w:val="auto"/>
              </w:rPr>
            </w:pPr>
            <w:r>
              <w:rPr>
                <w:rFonts w:ascii="Arial" w:cs="Arial" w:eastAsia="Arial" w:hAnsi="Arial"/>
                <w:sz w:val="16"/>
                <w:szCs w:val="16"/>
                <w:color w:val="auto"/>
              </w:rPr>
              <w:t>4,934</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35.0%</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4,709</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35.9%</w:t>
            </w:r>
          </w:p>
        </w:tc>
        <w:tc>
          <w:tcPr>
            <w:tcW w:w="0" w:type="dxa"/>
            <w:vAlign w:val="bottom"/>
          </w:tcPr>
          <w:p>
            <w:pPr>
              <w:spacing w:after="0"/>
              <w:rPr>
                <w:sz w:val="1"/>
                <w:szCs w:val="1"/>
                <w:color w:val="auto"/>
              </w:rPr>
            </w:pPr>
          </w:p>
        </w:tc>
      </w:tr>
      <w:tr>
        <w:trPr>
          <w:trHeight w:val="237"/>
        </w:trPr>
        <w:tc>
          <w:tcPr>
            <w:tcW w:w="3160" w:type="dxa"/>
            <w:vAlign w:val="bottom"/>
            <w:gridSpan w:val="2"/>
          </w:tcPr>
          <w:p>
            <w:pPr>
              <w:ind w:left="40"/>
              <w:spacing w:after="0"/>
              <w:rPr>
                <w:sz w:val="20"/>
                <w:szCs w:val="20"/>
                <w:color w:val="auto"/>
              </w:rPr>
            </w:pPr>
            <w:r>
              <w:rPr>
                <w:rFonts w:ascii="Arial" w:cs="Arial" w:eastAsia="Arial" w:hAnsi="Arial"/>
                <w:sz w:val="16"/>
                <w:szCs w:val="16"/>
                <w:color w:val="auto"/>
                <w:w w:val="97"/>
              </w:rPr>
              <w:t>Selling, general and administrative expenses</w:t>
            </w:r>
          </w:p>
        </w:tc>
        <w:tc>
          <w:tcPr>
            <w:tcW w:w="1700" w:type="dxa"/>
            <w:vAlign w:val="bottom"/>
          </w:tcPr>
          <w:p>
            <w:pPr>
              <w:jc w:val="right"/>
              <w:ind w:right="439"/>
              <w:spacing w:after="0"/>
              <w:rPr>
                <w:sz w:val="20"/>
                <w:szCs w:val="20"/>
                <w:color w:val="auto"/>
              </w:rPr>
            </w:pPr>
            <w:r>
              <w:rPr>
                <w:rFonts w:ascii="Arial" w:cs="Arial" w:eastAsia="Arial" w:hAnsi="Arial"/>
                <w:sz w:val="16"/>
                <w:szCs w:val="16"/>
                <w:b w:val="1"/>
                <w:bCs w:val="1"/>
                <w:color w:val="auto"/>
              </w:rPr>
              <w:t>(4,159)</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(28.7%)</w:t>
            </w:r>
          </w:p>
        </w:tc>
        <w:tc>
          <w:tcPr>
            <w:tcW w:w="100" w:type="dxa"/>
            <w:vAlign w:val="bottom"/>
          </w:tcPr>
          <w:p>
            <w:pPr>
              <w:spacing w:after="0"/>
              <w:rPr>
                <w:sz w:val="20"/>
                <w:szCs w:val="20"/>
                <w:color w:val="auto"/>
              </w:rPr>
            </w:pPr>
          </w:p>
        </w:tc>
        <w:tc>
          <w:tcPr>
            <w:tcW w:w="1700" w:type="dxa"/>
            <w:vAlign w:val="bottom"/>
          </w:tcPr>
          <w:p>
            <w:pPr>
              <w:jc w:val="right"/>
              <w:ind w:right="439"/>
              <w:spacing w:after="0"/>
              <w:rPr>
                <w:sz w:val="20"/>
                <w:szCs w:val="20"/>
                <w:color w:val="auto"/>
              </w:rPr>
            </w:pPr>
            <w:r>
              <w:rPr>
                <w:rFonts w:ascii="Arial" w:cs="Arial" w:eastAsia="Arial" w:hAnsi="Arial"/>
                <w:sz w:val="16"/>
                <w:szCs w:val="16"/>
                <w:color w:val="auto"/>
              </w:rPr>
              <w:t>(4,016)</w:t>
            </w:r>
          </w:p>
        </w:tc>
        <w:tc>
          <w:tcPr>
            <w:tcW w:w="980" w:type="dxa"/>
            <w:vAlign w:val="bottom"/>
          </w:tcPr>
          <w:p>
            <w:pPr>
              <w:jc w:val="right"/>
              <w:spacing w:after="0"/>
              <w:rPr>
                <w:sz w:val="20"/>
                <w:szCs w:val="20"/>
                <w:color w:val="auto"/>
              </w:rPr>
            </w:pPr>
            <w:r>
              <w:rPr>
                <w:rFonts w:ascii="Arial" w:cs="Arial" w:eastAsia="Arial" w:hAnsi="Arial"/>
                <w:sz w:val="16"/>
                <w:szCs w:val="16"/>
                <w:color w:val="auto"/>
              </w:rPr>
              <w:t>(28.5%)</w:t>
            </w:r>
          </w:p>
        </w:tc>
        <w:tc>
          <w:tcPr>
            <w:tcW w:w="1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(3,588)</w:t>
            </w:r>
          </w:p>
        </w:tc>
        <w:tc>
          <w:tcPr>
            <w:tcW w:w="1500" w:type="dxa"/>
            <w:vAlign w:val="bottom"/>
          </w:tcPr>
          <w:p>
            <w:pPr>
              <w:jc w:val="right"/>
              <w:spacing w:after="0"/>
              <w:rPr>
                <w:sz w:val="20"/>
                <w:szCs w:val="20"/>
                <w:color w:val="auto"/>
              </w:rPr>
            </w:pPr>
            <w:r>
              <w:rPr>
                <w:rFonts w:ascii="Arial" w:cs="Arial" w:eastAsia="Arial" w:hAnsi="Arial"/>
                <w:sz w:val="16"/>
                <w:szCs w:val="16"/>
                <w:color w:val="auto"/>
              </w:rPr>
              <w:t>(27.4%)</w:t>
            </w:r>
          </w:p>
        </w:tc>
        <w:tc>
          <w:tcPr>
            <w:tcW w:w="0" w:type="dxa"/>
            <w:vAlign w:val="bottom"/>
          </w:tcPr>
          <w:p>
            <w:pPr>
              <w:spacing w:after="0"/>
              <w:rPr>
                <w:sz w:val="1"/>
                <w:szCs w:val="1"/>
                <w:color w:val="auto"/>
              </w:rPr>
            </w:pPr>
          </w:p>
        </w:tc>
      </w:tr>
      <w:tr>
        <w:trPr>
          <w:trHeight w:val="33"/>
        </w:trPr>
        <w:tc>
          <w:tcPr>
            <w:tcW w:w="3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Goodwill impairment</w:t>
            </w:r>
          </w:p>
        </w:tc>
        <w:tc>
          <w:tcPr>
            <w:tcW w:w="1700" w:type="dxa"/>
            <w:vAlign w:val="bottom"/>
            <w:tcBorders>
              <w:bottom w:val="single" w:sz="8" w:color="CCEEFF"/>
            </w:tcBorders>
            <w:shd w:val="clear" w:color="auto" w:fill="CCEEFF"/>
          </w:tcPr>
          <w:p>
            <w:pPr>
              <w:jc w:val="right"/>
              <w:ind w:right="439"/>
              <w:spacing w:after="0"/>
              <w:rPr>
                <w:sz w:val="20"/>
                <w:szCs w:val="20"/>
                <w:color w:val="auto"/>
              </w:rPr>
            </w:pPr>
            <w:r>
              <w:rPr>
                <w:rFonts w:ascii="Arial" w:cs="Arial" w:eastAsia="Arial" w:hAnsi="Arial"/>
                <w:sz w:val="16"/>
                <w:szCs w:val="16"/>
                <w:b w:val="1"/>
                <w:bCs w:val="1"/>
                <w:color w:val="auto"/>
              </w:rPr>
              <w:t>(197)</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49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1"/>
        </w:trPr>
        <w:tc>
          <w:tcPr>
            <w:tcW w:w="306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w w:val="92"/>
              </w:rPr>
              <w:t>Earnings before interest and income taxes</w:t>
            </w:r>
          </w:p>
        </w:tc>
        <w:tc>
          <w:tcPr>
            <w:tcW w:w="100" w:type="dxa"/>
            <w:vAlign w:val="bottom"/>
          </w:tcPr>
          <w:p>
            <w:pPr>
              <w:spacing w:after="0"/>
              <w:rPr>
                <w:sz w:val="20"/>
                <w:szCs w:val="20"/>
                <w:color w:val="auto"/>
              </w:rPr>
            </w:pPr>
          </w:p>
        </w:tc>
        <w:tc>
          <w:tcPr>
            <w:tcW w:w="1700" w:type="dxa"/>
            <w:vAlign w:val="bottom"/>
            <w:tcBorders>
              <w:top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$708</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4.9%</w:t>
            </w:r>
          </w:p>
        </w:tc>
        <w:tc>
          <w:tcPr>
            <w:tcW w:w="100" w:type="dxa"/>
            <w:vAlign w:val="bottom"/>
          </w:tcPr>
          <w:p>
            <w:pPr>
              <w:spacing w:after="0"/>
              <w:rPr>
                <w:sz w:val="20"/>
                <w:szCs w:val="20"/>
                <w:color w:val="auto"/>
              </w:rPr>
            </w:pPr>
          </w:p>
        </w:tc>
        <w:tc>
          <w:tcPr>
            <w:tcW w:w="1700" w:type="dxa"/>
            <w:vAlign w:val="bottom"/>
            <w:tcBorders>
              <w:top w:val="single" w:sz="8" w:color="auto"/>
            </w:tcBorders>
          </w:tcPr>
          <w:p>
            <w:pPr>
              <w:jc w:val="right"/>
              <w:ind w:right="499"/>
              <w:spacing w:after="0"/>
              <w:rPr>
                <w:sz w:val="20"/>
                <w:szCs w:val="20"/>
                <w:color w:val="auto"/>
              </w:rPr>
            </w:pPr>
            <w:r>
              <w:rPr>
                <w:rFonts w:ascii="Arial" w:cs="Arial" w:eastAsia="Arial" w:hAnsi="Arial"/>
                <w:sz w:val="16"/>
                <w:szCs w:val="16"/>
                <w:color w:val="auto"/>
              </w:rPr>
              <w:t>$918</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6.5%</w:t>
            </w:r>
          </w:p>
        </w:tc>
        <w:tc>
          <w:tcPr>
            <w:tcW w:w="100" w:type="dxa"/>
            <w:vAlign w:val="bottom"/>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$1,121</w:t>
            </w: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8.6%</w:t>
            </w:r>
          </w:p>
        </w:tc>
        <w:tc>
          <w:tcPr>
            <w:tcW w:w="0" w:type="dxa"/>
            <w:vAlign w:val="bottom"/>
          </w:tcPr>
          <w:p>
            <w:pPr>
              <w:spacing w:after="0"/>
              <w:rPr>
                <w:sz w:val="1"/>
                <w:szCs w:val="1"/>
                <w:color w:val="auto"/>
              </w:rPr>
            </w:pPr>
          </w:p>
        </w:tc>
      </w:tr>
    </w:tbl>
    <w:p>
      <w:pPr>
        <w:spacing w:after="0" w:line="28" w:lineRule="exact"/>
        <w:rPr>
          <w:sz w:val="20"/>
          <w:szCs w:val="20"/>
          <w:color w:val="auto"/>
        </w:rPr>
      </w:pPr>
    </w:p>
    <w:p>
      <w:pPr>
        <w:ind w:left="80" w:hanging="72"/>
        <w:spacing w:after="0"/>
        <w:tabs>
          <w:tab w:leader="none" w:pos="80" w:val="left"/>
        </w:tabs>
        <w:numPr>
          <w:ilvl w:val="0"/>
          <w:numId w:val="20"/>
        </w:numPr>
        <w:rPr>
          <w:rFonts w:ascii="Arial" w:cs="Arial" w:eastAsia="Arial" w:hAnsi="Arial"/>
          <w:sz w:val="9"/>
          <w:szCs w:val="9"/>
          <w:color w:val="auto"/>
        </w:rPr>
      </w:pPr>
      <w:r>
        <w:rPr>
          <w:rFonts w:ascii="Arial" w:cs="Arial" w:eastAsia="Arial" w:hAnsi="Arial"/>
          <w:sz w:val="14"/>
          <w:szCs w:val="14"/>
          <w:color w:val="auto"/>
        </w:rPr>
        <w:t>Subtotals and totals may not foot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5" w:lineRule="exact"/>
        <w:rPr>
          <w:sz w:val="20"/>
          <w:szCs w:val="20"/>
          <w:color w:val="auto"/>
        </w:rPr>
      </w:pPr>
    </w:p>
    <w:p>
      <w:pPr>
        <w:ind w:left="9580"/>
        <w:spacing w:after="0"/>
        <w:rPr>
          <w:sz w:val="20"/>
          <w:szCs w:val="20"/>
          <w:color w:val="auto"/>
        </w:rPr>
      </w:pPr>
      <w:r>
        <w:rPr>
          <w:rFonts w:ascii="Arial" w:cs="Arial" w:eastAsia="Arial" w:hAnsi="Arial"/>
          <w:sz w:val="11"/>
          <w:szCs w:val="11"/>
          <w:color w:val="auto"/>
        </w:rPr>
        <w:t xml:space="preserve">Nordstrom, Inc. and subsidiaries </w:t>
      </w:r>
      <w:r>
        <w:rPr>
          <w:rFonts w:ascii="Arial" w:cs="Arial" w:eastAsia="Arial" w:hAnsi="Arial"/>
          <w:sz w:val="14"/>
          <w:szCs w:val="14"/>
          <w:color w:val="auto"/>
        </w:rPr>
        <w:t>19</w:t>
      </w:r>
    </w:p>
    <w:p>
      <w:pPr>
        <w:sectPr>
          <w:pgSz w:w="11900" w:h="16838" w:orient="portrait"/>
          <w:cols w:equalWidth="0" w:num="1">
            <w:col w:w="11420"/>
          </w:cols>
          <w:pgMar w:left="240" w:top="126" w:right="239" w:bottom="1440" w:gutter="0" w:footer="0" w:header="0"/>
        </w:sectPr>
      </w:pPr>
    </w:p>
    <w:bookmarkStart w:id="19" w:name="page20"/>
    <w:bookmarkEnd w:id="19"/>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Retail Business Net Sales</w:t>
      </w:r>
    </w:p>
    <w:p>
      <w:pPr>
        <w:spacing w:after="0" w:line="27" w:lineRule="exact"/>
        <w:rPr>
          <w:sz w:val="20"/>
          <w:szCs w:val="20"/>
          <w:color w:val="auto"/>
        </w:rPr>
      </w:pPr>
    </w:p>
    <w:p>
      <w:pPr>
        <w:ind w:right="100"/>
        <w:spacing w:after="0" w:line="277" w:lineRule="auto"/>
        <w:rPr>
          <w:sz w:val="20"/>
          <w:szCs w:val="20"/>
          <w:color w:val="auto"/>
        </w:rPr>
      </w:pPr>
      <w:r>
        <w:rPr>
          <w:rFonts w:ascii="Arial" w:cs="Arial" w:eastAsia="Arial" w:hAnsi="Arial"/>
          <w:sz w:val="17"/>
          <w:szCs w:val="17"/>
          <w:color w:val="auto"/>
        </w:rPr>
        <w:t>In our ongoing effort to enhance the customer experience, we are focused on providing customers with a seamless experience across our channels. While our customers may engage with us through multiple channels, we know they value the overall Nordstrom brand experience and view us simply as Nordstrom, which is ultimately how we view our business. The following is a summary of our net sales by channel for our Retail Business: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920" w:type="dxa"/>
            <w:vAlign w:val="bottom"/>
          </w:tcPr>
          <w:p>
            <w:pPr>
              <w:ind w:left="40"/>
              <w:spacing w:after="0"/>
              <w:rPr>
                <w:sz w:val="20"/>
                <w:szCs w:val="20"/>
                <w:color w:val="auto"/>
              </w:rPr>
            </w:pPr>
            <w:r>
              <w:rPr>
                <w:rFonts w:ascii="Arial" w:cs="Arial" w:eastAsia="Arial" w:hAnsi="Arial"/>
                <w:sz w:val="16"/>
                <w:szCs w:val="16"/>
                <w:b w:val="1"/>
                <w:bCs w:val="1"/>
                <w:color w:val="auto"/>
              </w:rPr>
              <w:t>Fiscal year</w:t>
            </w:r>
          </w:p>
        </w:tc>
        <w:tc>
          <w:tcPr>
            <w:tcW w:w="2880" w:type="dxa"/>
            <w:vAlign w:val="bottom"/>
          </w:tcPr>
          <w:p>
            <w:pPr>
              <w:jc w:val="right"/>
              <w:ind w:right="799"/>
              <w:spacing w:after="0"/>
              <w:rPr>
                <w:sz w:val="20"/>
                <w:szCs w:val="20"/>
                <w:color w:val="auto"/>
              </w:rPr>
            </w:pPr>
            <w:r>
              <w:rPr>
                <w:rFonts w:ascii="Arial" w:cs="Arial" w:eastAsia="Arial" w:hAnsi="Arial"/>
                <w:sz w:val="16"/>
                <w:szCs w:val="16"/>
                <w:b w:val="1"/>
                <w:bCs w:val="1"/>
                <w:color w:val="auto"/>
              </w:rPr>
              <w:t>2016</w:t>
            </w:r>
          </w:p>
        </w:tc>
        <w:tc>
          <w:tcPr>
            <w:tcW w:w="2060" w:type="dxa"/>
            <w:vAlign w:val="bottom"/>
          </w:tcPr>
          <w:p>
            <w:pPr>
              <w:jc w:val="right"/>
              <w:ind w:right="779"/>
              <w:spacing w:after="0"/>
              <w:rPr>
                <w:sz w:val="20"/>
                <w:szCs w:val="20"/>
                <w:color w:val="auto"/>
              </w:rPr>
            </w:pPr>
            <w:r>
              <w:rPr>
                <w:rFonts w:ascii="Arial" w:cs="Arial" w:eastAsia="Arial" w:hAnsi="Arial"/>
                <w:sz w:val="16"/>
                <w:szCs w:val="16"/>
                <w:b w:val="1"/>
                <w:bCs w:val="1"/>
                <w:color w:val="auto"/>
              </w:rPr>
              <w:t>2015</w:t>
            </w:r>
          </w:p>
        </w:tc>
        <w:tc>
          <w:tcPr>
            <w:tcW w:w="1560" w:type="dxa"/>
            <w:vAlign w:val="bottom"/>
          </w:tcPr>
          <w:p>
            <w:pPr>
              <w:jc w:val="right"/>
              <w:ind w:right="279"/>
              <w:spacing w:after="0"/>
              <w:rPr>
                <w:sz w:val="20"/>
                <w:szCs w:val="20"/>
                <w:color w:val="auto"/>
              </w:rPr>
            </w:pPr>
            <w:r>
              <w:rPr>
                <w:rFonts w:ascii="Arial" w:cs="Arial" w:eastAsia="Arial" w:hAnsi="Arial"/>
                <w:sz w:val="16"/>
                <w:szCs w:val="16"/>
                <w:b w:val="1"/>
                <w:bCs w:val="1"/>
                <w:color w:val="auto"/>
              </w:rPr>
              <w:t>2014</w:t>
            </w:r>
          </w:p>
        </w:tc>
      </w:tr>
      <w:tr>
        <w:trPr>
          <w:trHeight w:val="33"/>
        </w:trPr>
        <w:tc>
          <w:tcPr>
            <w:tcW w:w="492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sales by channel:</w:t>
            </w:r>
          </w:p>
        </w:tc>
        <w:tc>
          <w:tcPr>
            <w:tcW w:w="288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37"/>
        </w:trPr>
        <w:tc>
          <w:tcPr>
            <w:tcW w:w="4920" w:type="dxa"/>
            <w:vAlign w:val="bottom"/>
          </w:tcPr>
          <w:p>
            <w:pPr>
              <w:ind w:left="40"/>
              <w:spacing w:after="0"/>
              <w:rPr>
                <w:sz w:val="20"/>
                <w:szCs w:val="20"/>
                <w:color w:val="auto"/>
              </w:rPr>
            </w:pPr>
            <w:r>
              <w:rPr>
                <w:rFonts w:ascii="Arial" w:cs="Arial" w:eastAsia="Arial" w:hAnsi="Arial"/>
                <w:sz w:val="16"/>
                <w:szCs w:val="16"/>
                <w:color w:val="auto"/>
              </w:rPr>
              <w:t>Nordstrom full-line stores - U.S.</w:t>
            </w:r>
          </w:p>
        </w:tc>
        <w:tc>
          <w:tcPr>
            <w:tcW w:w="2880" w:type="dxa"/>
            <w:vAlign w:val="bottom"/>
          </w:tcPr>
          <w:p>
            <w:pPr>
              <w:jc w:val="right"/>
              <w:ind w:right="799"/>
              <w:spacing w:after="0"/>
              <w:rPr>
                <w:sz w:val="20"/>
                <w:szCs w:val="20"/>
                <w:color w:val="auto"/>
              </w:rPr>
            </w:pPr>
            <w:r>
              <w:rPr>
                <w:rFonts w:ascii="Arial" w:cs="Arial" w:eastAsia="Arial" w:hAnsi="Arial"/>
                <w:sz w:val="16"/>
                <w:szCs w:val="16"/>
                <w:b w:val="1"/>
                <w:bCs w:val="1"/>
                <w:color w:val="auto"/>
              </w:rPr>
              <w:t>$7,186</w:t>
            </w:r>
          </w:p>
        </w:tc>
        <w:tc>
          <w:tcPr>
            <w:tcW w:w="2060" w:type="dxa"/>
            <w:vAlign w:val="bottom"/>
          </w:tcPr>
          <w:p>
            <w:pPr>
              <w:jc w:val="right"/>
              <w:ind w:right="779"/>
              <w:spacing w:after="0"/>
              <w:rPr>
                <w:sz w:val="20"/>
                <w:szCs w:val="20"/>
                <w:color w:val="auto"/>
              </w:rPr>
            </w:pPr>
            <w:r>
              <w:rPr>
                <w:rFonts w:ascii="Arial" w:cs="Arial" w:eastAsia="Arial" w:hAnsi="Arial"/>
                <w:sz w:val="16"/>
                <w:szCs w:val="16"/>
                <w:color w:val="auto"/>
              </w:rPr>
              <w:t>$7,633</w:t>
            </w:r>
          </w:p>
        </w:tc>
        <w:tc>
          <w:tcPr>
            <w:tcW w:w="1560" w:type="dxa"/>
            <w:vAlign w:val="bottom"/>
          </w:tcPr>
          <w:p>
            <w:pPr>
              <w:jc w:val="right"/>
              <w:ind w:right="279"/>
              <w:spacing w:after="0"/>
              <w:rPr>
                <w:sz w:val="20"/>
                <w:szCs w:val="20"/>
                <w:color w:val="auto"/>
              </w:rPr>
            </w:pPr>
            <w:r>
              <w:rPr>
                <w:rFonts w:ascii="Arial" w:cs="Arial" w:eastAsia="Arial" w:hAnsi="Arial"/>
                <w:sz w:val="16"/>
                <w:szCs w:val="16"/>
                <w:color w:val="auto"/>
              </w:rPr>
              <w:t>$7,682</w:t>
            </w:r>
          </w:p>
        </w:tc>
      </w:tr>
      <w:tr>
        <w:trPr>
          <w:trHeight w:val="33"/>
        </w:trPr>
        <w:tc>
          <w:tcPr>
            <w:tcW w:w="49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5"/>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Nordstrom.com</w:t>
            </w:r>
          </w:p>
        </w:tc>
        <w:tc>
          <w:tcPr>
            <w:tcW w:w="288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6"/>
                <w:szCs w:val="16"/>
                <w:b w:val="1"/>
                <w:bCs w:val="1"/>
                <w:color w:val="auto"/>
              </w:rPr>
              <w:t>2,519</w:t>
            </w:r>
          </w:p>
        </w:tc>
        <w:tc>
          <w:tcPr>
            <w:tcW w:w="206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6"/>
                <w:szCs w:val="16"/>
                <w:color w:val="auto"/>
              </w:rPr>
              <w:t>2,300</w:t>
            </w:r>
          </w:p>
        </w:tc>
        <w:tc>
          <w:tcPr>
            <w:tcW w:w="15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1,996</w:t>
            </w:r>
          </w:p>
        </w:tc>
      </w:tr>
      <w:tr>
        <w:trPr>
          <w:trHeight w:val="231"/>
        </w:trPr>
        <w:tc>
          <w:tcPr>
            <w:tcW w:w="492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Full-price</w:t>
            </w:r>
          </w:p>
        </w:tc>
        <w:tc>
          <w:tcPr>
            <w:tcW w:w="2880" w:type="dxa"/>
            <w:vAlign w:val="bottom"/>
            <w:tcBorders>
              <w:top w:val="single" w:sz="8" w:color="auto"/>
            </w:tcBorders>
          </w:tcPr>
          <w:p>
            <w:pPr>
              <w:jc w:val="right"/>
              <w:ind w:right="799"/>
              <w:spacing w:after="0"/>
              <w:rPr>
                <w:sz w:val="20"/>
                <w:szCs w:val="20"/>
                <w:color w:val="auto"/>
              </w:rPr>
            </w:pPr>
            <w:r>
              <w:rPr>
                <w:rFonts w:ascii="Arial" w:cs="Arial" w:eastAsia="Arial" w:hAnsi="Arial"/>
                <w:sz w:val="16"/>
                <w:szCs w:val="16"/>
                <w:b w:val="1"/>
                <w:bCs w:val="1"/>
                <w:color w:val="auto"/>
              </w:rPr>
              <w:t>9,705</w:t>
            </w:r>
          </w:p>
        </w:tc>
        <w:tc>
          <w:tcPr>
            <w:tcW w:w="2060" w:type="dxa"/>
            <w:vAlign w:val="bottom"/>
            <w:tcBorders>
              <w:top w:val="single" w:sz="8" w:color="auto"/>
            </w:tcBorders>
          </w:tcPr>
          <w:p>
            <w:pPr>
              <w:jc w:val="right"/>
              <w:ind w:right="779"/>
              <w:spacing w:after="0"/>
              <w:rPr>
                <w:sz w:val="20"/>
                <w:szCs w:val="20"/>
                <w:color w:val="auto"/>
              </w:rPr>
            </w:pPr>
            <w:r>
              <w:rPr>
                <w:rFonts w:ascii="Arial" w:cs="Arial" w:eastAsia="Arial" w:hAnsi="Arial"/>
                <w:sz w:val="16"/>
                <w:szCs w:val="16"/>
                <w:color w:val="auto"/>
              </w:rPr>
              <w:t>9,933</w:t>
            </w:r>
          </w:p>
        </w:tc>
        <w:tc>
          <w:tcPr>
            <w:tcW w:w="1560" w:type="dxa"/>
            <w:vAlign w:val="bottom"/>
            <w:tcBorders>
              <w:top w:val="single" w:sz="8" w:color="auto"/>
            </w:tcBorders>
          </w:tcPr>
          <w:p>
            <w:pPr>
              <w:jc w:val="right"/>
              <w:ind w:right="279"/>
              <w:spacing w:after="0"/>
              <w:rPr>
                <w:sz w:val="20"/>
                <w:szCs w:val="20"/>
                <w:color w:val="auto"/>
              </w:rPr>
            </w:pPr>
            <w:r>
              <w:rPr>
                <w:rFonts w:ascii="Arial" w:cs="Arial" w:eastAsia="Arial" w:hAnsi="Arial"/>
                <w:sz w:val="16"/>
                <w:szCs w:val="16"/>
                <w:color w:val="auto"/>
              </w:rPr>
              <w:t>9,678</w:t>
            </w:r>
          </w:p>
        </w:tc>
      </w:tr>
      <w:tr>
        <w:trPr>
          <w:trHeight w:val="33"/>
        </w:trPr>
        <w:tc>
          <w:tcPr>
            <w:tcW w:w="49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97"/>
        </w:trPr>
        <w:tc>
          <w:tcPr>
            <w:tcW w:w="4920" w:type="dxa"/>
            <w:vAlign w:val="bottom"/>
            <w:shd w:val="clear" w:color="auto" w:fill="CCEEFF"/>
          </w:tcPr>
          <w:p>
            <w:pPr>
              <w:spacing w:after="0"/>
              <w:rPr>
                <w:sz w:val="24"/>
                <w:szCs w:val="24"/>
                <w:color w:val="auto"/>
              </w:rPr>
            </w:pPr>
          </w:p>
        </w:tc>
        <w:tc>
          <w:tcPr>
            <w:tcW w:w="2880" w:type="dxa"/>
            <w:vAlign w:val="bottom"/>
            <w:shd w:val="clear" w:color="auto" w:fill="CCEEFF"/>
          </w:tcPr>
          <w:p>
            <w:pPr>
              <w:spacing w:after="0"/>
              <w:rPr>
                <w:sz w:val="24"/>
                <w:szCs w:val="24"/>
                <w:color w:val="auto"/>
              </w:rPr>
            </w:pPr>
          </w:p>
        </w:tc>
        <w:tc>
          <w:tcPr>
            <w:tcW w:w="206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r>
      <w:tr>
        <w:trPr>
          <w:trHeight w:val="237"/>
        </w:trPr>
        <w:tc>
          <w:tcPr>
            <w:tcW w:w="4920" w:type="dxa"/>
            <w:vAlign w:val="bottom"/>
          </w:tcPr>
          <w:p>
            <w:pPr>
              <w:ind w:left="40"/>
              <w:spacing w:after="0"/>
              <w:rPr>
                <w:sz w:val="20"/>
                <w:szCs w:val="20"/>
                <w:color w:val="auto"/>
              </w:rPr>
            </w:pPr>
            <w:r>
              <w:rPr>
                <w:rFonts w:ascii="Arial" w:cs="Arial" w:eastAsia="Arial" w:hAnsi="Arial"/>
                <w:sz w:val="16"/>
                <w:szCs w:val="16"/>
                <w:color w:val="auto"/>
              </w:rPr>
              <w:t>Nordstrom Rack</w:t>
            </w:r>
          </w:p>
        </w:tc>
        <w:tc>
          <w:tcPr>
            <w:tcW w:w="2880" w:type="dxa"/>
            <w:vAlign w:val="bottom"/>
          </w:tcPr>
          <w:p>
            <w:pPr>
              <w:jc w:val="right"/>
              <w:ind w:right="799"/>
              <w:spacing w:after="0"/>
              <w:rPr>
                <w:sz w:val="20"/>
                <w:szCs w:val="20"/>
                <w:color w:val="auto"/>
              </w:rPr>
            </w:pPr>
            <w:r>
              <w:rPr>
                <w:rFonts w:ascii="Arial" w:cs="Arial" w:eastAsia="Arial" w:hAnsi="Arial"/>
                <w:sz w:val="16"/>
                <w:szCs w:val="16"/>
                <w:b w:val="1"/>
                <w:bCs w:val="1"/>
                <w:color w:val="auto"/>
              </w:rPr>
              <w:t>3,809</w:t>
            </w:r>
          </w:p>
        </w:tc>
        <w:tc>
          <w:tcPr>
            <w:tcW w:w="2060" w:type="dxa"/>
            <w:vAlign w:val="bottom"/>
          </w:tcPr>
          <w:p>
            <w:pPr>
              <w:jc w:val="right"/>
              <w:ind w:right="779"/>
              <w:spacing w:after="0"/>
              <w:rPr>
                <w:sz w:val="20"/>
                <w:szCs w:val="20"/>
                <w:color w:val="auto"/>
              </w:rPr>
            </w:pPr>
            <w:r>
              <w:rPr>
                <w:rFonts w:ascii="Arial" w:cs="Arial" w:eastAsia="Arial" w:hAnsi="Arial"/>
                <w:sz w:val="16"/>
                <w:szCs w:val="16"/>
                <w:color w:val="auto"/>
              </w:rPr>
              <w:t>3,533</w:t>
            </w:r>
          </w:p>
        </w:tc>
        <w:tc>
          <w:tcPr>
            <w:tcW w:w="1560" w:type="dxa"/>
            <w:vAlign w:val="bottom"/>
          </w:tcPr>
          <w:p>
            <w:pPr>
              <w:jc w:val="right"/>
              <w:ind w:right="279"/>
              <w:spacing w:after="0"/>
              <w:rPr>
                <w:sz w:val="20"/>
                <w:szCs w:val="20"/>
                <w:color w:val="auto"/>
              </w:rPr>
            </w:pPr>
            <w:r>
              <w:rPr>
                <w:rFonts w:ascii="Arial" w:cs="Arial" w:eastAsia="Arial" w:hAnsi="Arial"/>
                <w:sz w:val="16"/>
                <w:szCs w:val="16"/>
                <w:color w:val="auto"/>
              </w:rPr>
              <w:t>3,215</w:t>
            </w:r>
          </w:p>
        </w:tc>
      </w:tr>
      <w:tr>
        <w:trPr>
          <w:trHeight w:val="33"/>
        </w:trPr>
        <w:tc>
          <w:tcPr>
            <w:tcW w:w="49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62"/>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Nordstromrack.com/HauteLook</w:t>
            </w:r>
          </w:p>
        </w:tc>
        <w:tc>
          <w:tcPr>
            <w:tcW w:w="288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6"/>
                <w:szCs w:val="16"/>
                <w:b w:val="1"/>
                <w:bCs w:val="1"/>
                <w:color w:val="auto"/>
              </w:rPr>
              <w:t>700</w:t>
            </w:r>
          </w:p>
        </w:tc>
        <w:tc>
          <w:tcPr>
            <w:tcW w:w="206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6"/>
                <w:szCs w:val="16"/>
                <w:color w:val="auto"/>
              </w:rPr>
              <w:t>532</w:t>
            </w:r>
          </w:p>
        </w:tc>
        <w:tc>
          <w:tcPr>
            <w:tcW w:w="15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360</w:t>
            </w:r>
          </w:p>
        </w:tc>
      </w:tr>
      <w:tr>
        <w:trPr>
          <w:trHeight w:val="231"/>
        </w:trPr>
        <w:tc>
          <w:tcPr>
            <w:tcW w:w="492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Off-price</w:t>
            </w:r>
          </w:p>
        </w:tc>
        <w:tc>
          <w:tcPr>
            <w:tcW w:w="2880" w:type="dxa"/>
            <w:vAlign w:val="bottom"/>
            <w:tcBorders>
              <w:top w:val="single" w:sz="8" w:color="auto"/>
            </w:tcBorders>
          </w:tcPr>
          <w:p>
            <w:pPr>
              <w:jc w:val="right"/>
              <w:ind w:right="799"/>
              <w:spacing w:after="0"/>
              <w:rPr>
                <w:sz w:val="20"/>
                <w:szCs w:val="20"/>
                <w:color w:val="auto"/>
              </w:rPr>
            </w:pPr>
            <w:r>
              <w:rPr>
                <w:rFonts w:ascii="Arial" w:cs="Arial" w:eastAsia="Arial" w:hAnsi="Arial"/>
                <w:sz w:val="16"/>
                <w:szCs w:val="16"/>
                <w:b w:val="1"/>
                <w:bCs w:val="1"/>
                <w:color w:val="auto"/>
              </w:rPr>
              <w:t>4,509</w:t>
            </w:r>
          </w:p>
        </w:tc>
        <w:tc>
          <w:tcPr>
            <w:tcW w:w="2060" w:type="dxa"/>
            <w:vAlign w:val="bottom"/>
            <w:tcBorders>
              <w:top w:val="single" w:sz="8" w:color="auto"/>
            </w:tcBorders>
          </w:tcPr>
          <w:p>
            <w:pPr>
              <w:jc w:val="right"/>
              <w:ind w:right="779"/>
              <w:spacing w:after="0"/>
              <w:rPr>
                <w:sz w:val="20"/>
                <w:szCs w:val="20"/>
                <w:color w:val="auto"/>
              </w:rPr>
            </w:pPr>
            <w:r>
              <w:rPr>
                <w:rFonts w:ascii="Arial" w:cs="Arial" w:eastAsia="Arial" w:hAnsi="Arial"/>
                <w:sz w:val="16"/>
                <w:szCs w:val="16"/>
                <w:color w:val="auto"/>
              </w:rPr>
              <w:t>4,065</w:t>
            </w:r>
          </w:p>
        </w:tc>
        <w:tc>
          <w:tcPr>
            <w:tcW w:w="1560" w:type="dxa"/>
            <w:vAlign w:val="bottom"/>
            <w:tcBorders>
              <w:top w:val="single" w:sz="8" w:color="auto"/>
            </w:tcBorders>
          </w:tcPr>
          <w:p>
            <w:pPr>
              <w:jc w:val="right"/>
              <w:ind w:right="279"/>
              <w:spacing w:after="0"/>
              <w:rPr>
                <w:sz w:val="20"/>
                <w:szCs w:val="20"/>
                <w:color w:val="auto"/>
              </w:rPr>
            </w:pPr>
            <w:r>
              <w:rPr>
                <w:rFonts w:ascii="Arial" w:cs="Arial" w:eastAsia="Arial" w:hAnsi="Arial"/>
                <w:sz w:val="16"/>
                <w:szCs w:val="16"/>
                <w:color w:val="auto"/>
              </w:rPr>
              <w:t>3,575</w:t>
            </w:r>
          </w:p>
        </w:tc>
      </w:tr>
      <w:tr>
        <w:trPr>
          <w:trHeight w:val="33"/>
        </w:trPr>
        <w:tc>
          <w:tcPr>
            <w:tcW w:w="49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97"/>
        </w:trPr>
        <w:tc>
          <w:tcPr>
            <w:tcW w:w="4920" w:type="dxa"/>
            <w:vAlign w:val="bottom"/>
            <w:shd w:val="clear" w:color="auto" w:fill="CCEEFF"/>
          </w:tcPr>
          <w:p>
            <w:pPr>
              <w:spacing w:after="0"/>
              <w:rPr>
                <w:sz w:val="24"/>
                <w:szCs w:val="24"/>
                <w:color w:val="auto"/>
              </w:rPr>
            </w:pPr>
          </w:p>
        </w:tc>
        <w:tc>
          <w:tcPr>
            <w:tcW w:w="2880" w:type="dxa"/>
            <w:vAlign w:val="bottom"/>
            <w:shd w:val="clear" w:color="auto" w:fill="CCEEFF"/>
          </w:tcPr>
          <w:p>
            <w:pPr>
              <w:spacing w:after="0"/>
              <w:rPr>
                <w:sz w:val="24"/>
                <w:szCs w:val="24"/>
                <w:color w:val="auto"/>
              </w:rPr>
            </w:pPr>
          </w:p>
        </w:tc>
        <w:tc>
          <w:tcPr>
            <w:tcW w:w="206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r>
      <w:tr>
        <w:trPr>
          <w:trHeight w:val="270"/>
        </w:trPr>
        <w:tc>
          <w:tcPr>
            <w:tcW w:w="492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Other retail</w:t>
            </w:r>
            <w:r>
              <w:rPr>
                <w:rFonts w:ascii="Arial" w:cs="Arial" w:eastAsia="Arial" w:hAnsi="Arial"/>
                <w:sz w:val="21"/>
                <w:szCs w:val="21"/>
                <w:color w:val="auto"/>
                <w:vertAlign w:val="superscript"/>
              </w:rPr>
              <w:t>1</w:t>
            </w:r>
          </w:p>
        </w:tc>
        <w:tc>
          <w:tcPr>
            <w:tcW w:w="2880" w:type="dxa"/>
            <w:vAlign w:val="bottom"/>
            <w:tcBorders>
              <w:bottom w:val="single" w:sz="8" w:color="auto"/>
            </w:tcBorders>
          </w:tcPr>
          <w:p>
            <w:pPr>
              <w:jc w:val="right"/>
              <w:ind w:right="799"/>
              <w:spacing w:after="0"/>
              <w:rPr>
                <w:sz w:val="20"/>
                <w:szCs w:val="20"/>
                <w:color w:val="auto"/>
              </w:rPr>
            </w:pPr>
            <w:r>
              <w:rPr>
                <w:rFonts w:ascii="Arial" w:cs="Arial" w:eastAsia="Arial" w:hAnsi="Arial"/>
                <w:sz w:val="16"/>
                <w:szCs w:val="16"/>
                <w:b w:val="1"/>
                <w:bCs w:val="1"/>
                <w:color w:val="auto"/>
              </w:rPr>
              <w:t>554</w:t>
            </w:r>
          </w:p>
        </w:tc>
        <w:tc>
          <w:tcPr>
            <w:tcW w:w="2060" w:type="dxa"/>
            <w:vAlign w:val="bottom"/>
            <w:tcBorders>
              <w:bottom w:val="single" w:sz="8" w:color="auto"/>
            </w:tcBorders>
          </w:tcPr>
          <w:p>
            <w:pPr>
              <w:jc w:val="right"/>
              <w:ind w:right="779"/>
              <w:spacing w:after="0"/>
              <w:rPr>
                <w:sz w:val="20"/>
                <w:szCs w:val="20"/>
                <w:color w:val="auto"/>
              </w:rPr>
            </w:pPr>
            <w:r>
              <w:rPr>
                <w:rFonts w:ascii="Arial" w:cs="Arial" w:eastAsia="Arial" w:hAnsi="Arial"/>
                <w:sz w:val="16"/>
                <w:szCs w:val="16"/>
                <w:color w:val="auto"/>
              </w:rPr>
              <w:t>378</w:t>
            </w:r>
          </w:p>
        </w:tc>
        <w:tc>
          <w:tcPr>
            <w:tcW w:w="15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116</w:t>
            </w:r>
          </w:p>
        </w:tc>
      </w:tr>
      <w:tr>
        <w:trPr>
          <w:trHeight w:val="244"/>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Retail segment</w:t>
            </w:r>
          </w:p>
        </w:tc>
        <w:tc>
          <w:tcPr>
            <w:tcW w:w="288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6"/>
                <w:szCs w:val="16"/>
                <w:b w:val="1"/>
                <w:bCs w:val="1"/>
                <w:color w:val="auto"/>
              </w:rPr>
              <w:t>14,768</w:t>
            </w:r>
          </w:p>
        </w:tc>
        <w:tc>
          <w:tcPr>
            <w:tcW w:w="206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6"/>
                <w:szCs w:val="16"/>
                <w:color w:val="auto"/>
              </w:rPr>
              <w:t>14,376</w:t>
            </w:r>
          </w:p>
        </w:tc>
        <w:tc>
          <w:tcPr>
            <w:tcW w:w="15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13,369</w:t>
            </w:r>
          </w:p>
        </w:tc>
      </w:tr>
      <w:tr>
        <w:trPr>
          <w:trHeight w:val="237"/>
        </w:trPr>
        <w:tc>
          <w:tcPr>
            <w:tcW w:w="4920" w:type="dxa"/>
            <w:vAlign w:val="bottom"/>
          </w:tcPr>
          <w:p>
            <w:pPr>
              <w:ind w:left="40"/>
              <w:spacing w:after="0"/>
              <w:rPr>
                <w:sz w:val="20"/>
                <w:szCs w:val="20"/>
                <w:color w:val="auto"/>
              </w:rPr>
            </w:pPr>
            <w:r>
              <w:rPr>
                <w:rFonts w:ascii="Arial" w:cs="Arial" w:eastAsia="Arial" w:hAnsi="Arial"/>
                <w:sz w:val="16"/>
                <w:szCs w:val="16"/>
                <w:color w:val="auto"/>
              </w:rPr>
              <w:t>Corporate/Other</w:t>
            </w:r>
          </w:p>
        </w:tc>
        <w:tc>
          <w:tcPr>
            <w:tcW w:w="2880" w:type="dxa"/>
            <w:vAlign w:val="bottom"/>
          </w:tcPr>
          <w:p>
            <w:pPr>
              <w:jc w:val="right"/>
              <w:ind w:right="739"/>
              <w:spacing w:after="0"/>
              <w:rPr>
                <w:sz w:val="20"/>
                <w:szCs w:val="20"/>
                <w:color w:val="auto"/>
              </w:rPr>
            </w:pPr>
            <w:r>
              <w:rPr>
                <w:rFonts w:ascii="Arial" w:cs="Arial" w:eastAsia="Arial" w:hAnsi="Arial"/>
                <w:sz w:val="16"/>
                <w:szCs w:val="16"/>
                <w:b w:val="1"/>
                <w:bCs w:val="1"/>
                <w:color w:val="auto"/>
              </w:rPr>
              <w:t>(270)</w:t>
            </w:r>
          </w:p>
        </w:tc>
        <w:tc>
          <w:tcPr>
            <w:tcW w:w="2060" w:type="dxa"/>
            <w:vAlign w:val="bottom"/>
          </w:tcPr>
          <w:p>
            <w:pPr>
              <w:jc w:val="right"/>
              <w:ind w:right="719"/>
              <w:spacing w:after="0"/>
              <w:rPr>
                <w:sz w:val="20"/>
                <w:szCs w:val="20"/>
                <w:color w:val="auto"/>
              </w:rPr>
            </w:pPr>
            <w:r>
              <w:rPr>
                <w:rFonts w:ascii="Arial" w:cs="Arial" w:eastAsia="Arial" w:hAnsi="Arial"/>
                <w:sz w:val="16"/>
                <w:szCs w:val="16"/>
                <w:color w:val="auto"/>
              </w:rPr>
              <w:t>(281)</w:t>
            </w:r>
          </w:p>
        </w:tc>
        <w:tc>
          <w:tcPr>
            <w:tcW w:w="1560" w:type="dxa"/>
            <w:vAlign w:val="bottom"/>
          </w:tcPr>
          <w:p>
            <w:pPr>
              <w:jc w:val="right"/>
              <w:ind w:right="219"/>
              <w:spacing w:after="0"/>
              <w:rPr>
                <w:sz w:val="20"/>
                <w:szCs w:val="20"/>
                <w:color w:val="auto"/>
              </w:rPr>
            </w:pPr>
            <w:r>
              <w:rPr>
                <w:rFonts w:ascii="Arial" w:cs="Arial" w:eastAsia="Arial" w:hAnsi="Arial"/>
                <w:sz w:val="16"/>
                <w:szCs w:val="16"/>
                <w:color w:val="auto"/>
              </w:rPr>
              <w:t>(259)</w:t>
            </w:r>
          </w:p>
        </w:tc>
      </w:tr>
      <w:tr>
        <w:trPr>
          <w:trHeight w:val="33"/>
        </w:trPr>
        <w:tc>
          <w:tcPr>
            <w:tcW w:w="492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69"/>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net sales</w:t>
            </w:r>
          </w:p>
        </w:tc>
        <w:tc>
          <w:tcPr>
            <w:tcW w:w="288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6"/>
                <w:szCs w:val="16"/>
                <w:b w:val="1"/>
                <w:bCs w:val="1"/>
                <w:color w:val="auto"/>
              </w:rPr>
              <w:t>$14,498</w:t>
            </w:r>
          </w:p>
        </w:tc>
        <w:tc>
          <w:tcPr>
            <w:tcW w:w="206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6"/>
                <w:szCs w:val="16"/>
                <w:color w:val="auto"/>
              </w:rPr>
              <w:t>$14,095</w:t>
            </w:r>
          </w:p>
        </w:tc>
        <w:tc>
          <w:tcPr>
            <w:tcW w:w="15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$13,110</w:t>
            </w:r>
          </w:p>
        </w:tc>
      </w:tr>
      <w:tr>
        <w:trPr>
          <w:trHeight w:val="264"/>
        </w:trPr>
        <w:tc>
          <w:tcPr>
            <w:tcW w:w="4920" w:type="dxa"/>
            <w:vAlign w:val="bottom"/>
            <w:tcBorders>
              <w:top w:val="single" w:sz="8" w:color="auto"/>
            </w:tcBorders>
          </w:tcPr>
          <w:p>
            <w:pPr>
              <w:spacing w:after="0"/>
              <w:rPr>
                <w:sz w:val="22"/>
                <w:szCs w:val="22"/>
                <w:color w:val="auto"/>
              </w:rPr>
            </w:pPr>
          </w:p>
        </w:tc>
        <w:tc>
          <w:tcPr>
            <w:tcW w:w="2880" w:type="dxa"/>
            <w:vAlign w:val="bottom"/>
            <w:tcBorders>
              <w:top w:val="single" w:sz="8" w:color="auto"/>
            </w:tcBorders>
          </w:tcPr>
          <w:p>
            <w:pPr>
              <w:spacing w:after="0"/>
              <w:rPr>
                <w:sz w:val="22"/>
                <w:szCs w:val="22"/>
                <w:color w:val="auto"/>
              </w:rPr>
            </w:pPr>
          </w:p>
        </w:tc>
        <w:tc>
          <w:tcPr>
            <w:tcW w:w="2060" w:type="dxa"/>
            <w:vAlign w:val="bottom"/>
            <w:tcBorders>
              <w:top w:val="single" w:sz="8" w:color="auto"/>
            </w:tcBorders>
          </w:tcPr>
          <w:p>
            <w:pPr>
              <w:spacing w:after="0"/>
              <w:rPr>
                <w:sz w:val="22"/>
                <w:szCs w:val="22"/>
                <w:color w:val="auto"/>
              </w:rPr>
            </w:pPr>
          </w:p>
        </w:tc>
        <w:tc>
          <w:tcPr>
            <w:tcW w:w="1560" w:type="dxa"/>
            <w:vAlign w:val="bottom"/>
            <w:tcBorders>
              <w:top w:val="single" w:sz="8" w:color="auto"/>
            </w:tcBorders>
          </w:tcPr>
          <w:p>
            <w:pPr>
              <w:spacing w:after="0"/>
              <w:rPr>
                <w:sz w:val="22"/>
                <w:szCs w:val="22"/>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sales increase</w:t>
            </w:r>
          </w:p>
        </w:tc>
        <w:tc>
          <w:tcPr>
            <w:tcW w:w="2880" w:type="dxa"/>
            <w:vAlign w:val="bottom"/>
            <w:tcBorders>
              <w:bottom w:val="single" w:sz="8" w:color="CCEEFF"/>
            </w:tcBorders>
            <w:shd w:val="clear" w:color="auto" w:fill="CCEEFF"/>
          </w:tcPr>
          <w:p>
            <w:pPr>
              <w:jc w:val="right"/>
              <w:ind w:right="639"/>
              <w:spacing w:after="0"/>
              <w:rPr>
                <w:sz w:val="20"/>
                <w:szCs w:val="20"/>
                <w:color w:val="auto"/>
              </w:rPr>
            </w:pPr>
            <w:r>
              <w:rPr>
                <w:rFonts w:ascii="Arial" w:cs="Arial" w:eastAsia="Arial" w:hAnsi="Arial"/>
                <w:sz w:val="16"/>
                <w:szCs w:val="16"/>
                <w:b w:val="1"/>
                <w:bCs w:val="1"/>
                <w:color w:val="auto"/>
              </w:rPr>
              <w:t>2.9%</w:t>
            </w:r>
          </w:p>
        </w:tc>
        <w:tc>
          <w:tcPr>
            <w:tcW w:w="2060" w:type="dxa"/>
            <w:vAlign w:val="bottom"/>
            <w:tcBorders>
              <w:bottom w:val="single" w:sz="8" w:color="CCEEFF"/>
            </w:tcBorders>
            <w:shd w:val="clear" w:color="auto" w:fill="CCEEFF"/>
          </w:tcPr>
          <w:p>
            <w:pPr>
              <w:jc w:val="right"/>
              <w:ind w:right="639"/>
              <w:spacing w:after="0"/>
              <w:rPr>
                <w:sz w:val="20"/>
                <w:szCs w:val="20"/>
                <w:color w:val="auto"/>
              </w:rPr>
            </w:pPr>
            <w:r>
              <w:rPr>
                <w:rFonts w:ascii="Arial" w:cs="Arial" w:eastAsia="Arial" w:hAnsi="Arial"/>
                <w:sz w:val="16"/>
                <w:szCs w:val="16"/>
                <w:color w:val="auto"/>
              </w:rPr>
              <w:t>7.5%</w:t>
            </w:r>
          </w:p>
        </w:tc>
        <w:tc>
          <w:tcPr>
            <w:tcW w:w="15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7.8%</w:t>
            </w:r>
          </w:p>
        </w:tc>
      </w:tr>
      <w:tr>
        <w:trPr>
          <w:trHeight w:val="270"/>
        </w:trPr>
        <w:tc>
          <w:tcPr>
            <w:tcW w:w="4920" w:type="dxa"/>
            <w:vAlign w:val="bottom"/>
          </w:tcPr>
          <w:p>
            <w:pPr>
              <w:spacing w:after="0"/>
              <w:rPr>
                <w:sz w:val="23"/>
                <w:szCs w:val="23"/>
                <w:color w:val="auto"/>
              </w:rPr>
            </w:pPr>
          </w:p>
        </w:tc>
        <w:tc>
          <w:tcPr>
            <w:tcW w:w="2880" w:type="dxa"/>
            <w:vAlign w:val="bottom"/>
          </w:tcPr>
          <w:p>
            <w:pPr>
              <w:spacing w:after="0"/>
              <w:rPr>
                <w:sz w:val="23"/>
                <w:szCs w:val="23"/>
                <w:color w:val="auto"/>
              </w:rPr>
            </w:pPr>
          </w:p>
        </w:tc>
        <w:tc>
          <w:tcPr>
            <w:tcW w:w="2060" w:type="dxa"/>
            <w:vAlign w:val="bottom"/>
          </w:tcPr>
          <w:p>
            <w:pPr>
              <w:spacing w:after="0"/>
              <w:rPr>
                <w:sz w:val="23"/>
                <w:szCs w:val="23"/>
                <w:color w:val="auto"/>
              </w:rPr>
            </w:pPr>
          </w:p>
        </w:tc>
        <w:tc>
          <w:tcPr>
            <w:tcW w:w="1560" w:type="dxa"/>
            <w:vAlign w:val="bottom"/>
          </w:tcPr>
          <w:p>
            <w:pPr>
              <w:spacing w:after="0"/>
              <w:rPr>
                <w:sz w:val="23"/>
                <w:szCs w:val="23"/>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Comparable sales increase (decrease) by channel:</w:t>
            </w:r>
          </w:p>
        </w:tc>
        <w:tc>
          <w:tcPr>
            <w:tcW w:w="288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37"/>
        </w:trPr>
        <w:tc>
          <w:tcPr>
            <w:tcW w:w="4920" w:type="dxa"/>
            <w:vAlign w:val="bottom"/>
          </w:tcPr>
          <w:p>
            <w:pPr>
              <w:ind w:left="40"/>
              <w:spacing w:after="0"/>
              <w:rPr>
                <w:sz w:val="20"/>
                <w:szCs w:val="20"/>
                <w:color w:val="auto"/>
              </w:rPr>
            </w:pPr>
            <w:r>
              <w:rPr>
                <w:rFonts w:ascii="Arial" w:cs="Arial" w:eastAsia="Arial" w:hAnsi="Arial"/>
                <w:sz w:val="16"/>
                <w:szCs w:val="16"/>
                <w:color w:val="auto"/>
              </w:rPr>
              <w:t>Nordstrom full-line stores - U.S.</w:t>
            </w:r>
          </w:p>
        </w:tc>
        <w:tc>
          <w:tcPr>
            <w:tcW w:w="2880" w:type="dxa"/>
            <w:vAlign w:val="bottom"/>
          </w:tcPr>
          <w:p>
            <w:pPr>
              <w:jc w:val="right"/>
              <w:ind w:right="579"/>
              <w:spacing w:after="0"/>
              <w:rPr>
                <w:sz w:val="20"/>
                <w:szCs w:val="20"/>
                <w:color w:val="auto"/>
              </w:rPr>
            </w:pPr>
            <w:r>
              <w:rPr>
                <w:rFonts w:ascii="Arial" w:cs="Arial" w:eastAsia="Arial" w:hAnsi="Arial"/>
                <w:sz w:val="16"/>
                <w:szCs w:val="16"/>
                <w:b w:val="1"/>
                <w:bCs w:val="1"/>
                <w:color w:val="auto"/>
              </w:rPr>
              <w:t>(6.4%)</w:t>
            </w:r>
          </w:p>
        </w:tc>
        <w:tc>
          <w:tcPr>
            <w:tcW w:w="2060" w:type="dxa"/>
            <w:vAlign w:val="bottom"/>
          </w:tcPr>
          <w:p>
            <w:pPr>
              <w:jc w:val="right"/>
              <w:ind w:right="579"/>
              <w:spacing w:after="0"/>
              <w:rPr>
                <w:sz w:val="20"/>
                <w:szCs w:val="20"/>
                <w:color w:val="auto"/>
              </w:rPr>
            </w:pPr>
            <w:r>
              <w:rPr>
                <w:rFonts w:ascii="Arial" w:cs="Arial" w:eastAsia="Arial" w:hAnsi="Arial"/>
                <w:sz w:val="16"/>
                <w:szCs w:val="16"/>
                <w:color w:val="auto"/>
              </w:rPr>
              <w:t>(1.1%)</w:t>
            </w:r>
          </w:p>
        </w:tc>
        <w:tc>
          <w:tcPr>
            <w:tcW w:w="1560" w:type="dxa"/>
            <w:vAlign w:val="bottom"/>
          </w:tcPr>
          <w:p>
            <w:pPr>
              <w:jc w:val="right"/>
              <w:ind w:right="79"/>
              <w:spacing w:after="0"/>
              <w:rPr>
                <w:sz w:val="20"/>
                <w:szCs w:val="20"/>
                <w:color w:val="auto"/>
              </w:rPr>
            </w:pPr>
            <w:r>
              <w:rPr>
                <w:rFonts w:ascii="Arial" w:cs="Arial" w:eastAsia="Arial" w:hAnsi="Arial"/>
                <w:sz w:val="16"/>
                <w:szCs w:val="16"/>
                <w:color w:val="auto"/>
              </w:rPr>
              <w:t>(0.5%)</w:t>
            </w:r>
          </w:p>
        </w:tc>
      </w:tr>
      <w:tr>
        <w:trPr>
          <w:trHeight w:val="33"/>
        </w:trPr>
        <w:tc>
          <w:tcPr>
            <w:tcW w:w="49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Nordstrom.com</w:t>
            </w:r>
          </w:p>
        </w:tc>
        <w:tc>
          <w:tcPr>
            <w:tcW w:w="2880" w:type="dxa"/>
            <w:vAlign w:val="bottom"/>
            <w:tcBorders>
              <w:bottom w:val="single" w:sz="8" w:color="CCEEFF"/>
            </w:tcBorders>
            <w:shd w:val="clear" w:color="auto" w:fill="CCEEFF"/>
          </w:tcPr>
          <w:p>
            <w:pPr>
              <w:jc w:val="right"/>
              <w:ind w:right="639"/>
              <w:spacing w:after="0"/>
              <w:rPr>
                <w:sz w:val="20"/>
                <w:szCs w:val="20"/>
                <w:color w:val="auto"/>
              </w:rPr>
            </w:pPr>
            <w:r>
              <w:rPr>
                <w:rFonts w:ascii="Arial" w:cs="Arial" w:eastAsia="Arial" w:hAnsi="Arial"/>
                <w:sz w:val="16"/>
                <w:szCs w:val="16"/>
                <w:b w:val="1"/>
                <w:bCs w:val="1"/>
                <w:color w:val="auto"/>
              </w:rPr>
              <w:t>9.5%</w:t>
            </w:r>
          </w:p>
        </w:tc>
        <w:tc>
          <w:tcPr>
            <w:tcW w:w="2060" w:type="dxa"/>
            <w:vAlign w:val="bottom"/>
            <w:tcBorders>
              <w:bottom w:val="single" w:sz="8" w:color="CCEEFF"/>
            </w:tcBorders>
            <w:shd w:val="clear" w:color="auto" w:fill="CCEEFF"/>
          </w:tcPr>
          <w:p>
            <w:pPr>
              <w:jc w:val="right"/>
              <w:ind w:right="639"/>
              <w:spacing w:after="0"/>
              <w:rPr>
                <w:sz w:val="20"/>
                <w:szCs w:val="20"/>
                <w:color w:val="auto"/>
              </w:rPr>
            </w:pPr>
            <w:r>
              <w:rPr>
                <w:rFonts w:ascii="Arial" w:cs="Arial" w:eastAsia="Arial" w:hAnsi="Arial"/>
                <w:sz w:val="16"/>
                <w:szCs w:val="16"/>
                <w:color w:val="auto"/>
              </w:rPr>
              <w:t>15.2%</w:t>
            </w:r>
          </w:p>
        </w:tc>
        <w:tc>
          <w:tcPr>
            <w:tcW w:w="15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23.1%</w:t>
            </w:r>
          </w:p>
        </w:tc>
      </w:tr>
      <w:tr>
        <w:trPr>
          <w:trHeight w:val="237"/>
        </w:trPr>
        <w:tc>
          <w:tcPr>
            <w:tcW w:w="4920" w:type="dxa"/>
            <w:vAlign w:val="bottom"/>
          </w:tcPr>
          <w:p>
            <w:pPr>
              <w:ind w:left="40"/>
              <w:spacing w:after="0"/>
              <w:rPr>
                <w:sz w:val="20"/>
                <w:szCs w:val="20"/>
                <w:color w:val="auto"/>
              </w:rPr>
            </w:pPr>
            <w:r>
              <w:rPr>
                <w:rFonts w:ascii="Arial" w:cs="Arial" w:eastAsia="Arial" w:hAnsi="Arial"/>
                <w:sz w:val="16"/>
                <w:szCs w:val="16"/>
                <w:color w:val="auto"/>
              </w:rPr>
              <w:t>Full-price</w:t>
            </w:r>
          </w:p>
        </w:tc>
        <w:tc>
          <w:tcPr>
            <w:tcW w:w="2880" w:type="dxa"/>
            <w:vAlign w:val="bottom"/>
          </w:tcPr>
          <w:p>
            <w:pPr>
              <w:jc w:val="right"/>
              <w:ind w:right="579"/>
              <w:spacing w:after="0"/>
              <w:rPr>
                <w:sz w:val="20"/>
                <w:szCs w:val="20"/>
                <w:color w:val="auto"/>
              </w:rPr>
            </w:pPr>
            <w:r>
              <w:rPr>
                <w:rFonts w:ascii="Arial" w:cs="Arial" w:eastAsia="Arial" w:hAnsi="Arial"/>
                <w:sz w:val="16"/>
                <w:szCs w:val="16"/>
                <w:b w:val="1"/>
                <w:bCs w:val="1"/>
                <w:color w:val="auto"/>
              </w:rPr>
              <w:t>(2.7%)</w:t>
            </w:r>
          </w:p>
        </w:tc>
        <w:tc>
          <w:tcPr>
            <w:tcW w:w="2060" w:type="dxa"/>
            <w:vAlign w:val="bottom"/>
          </w:tcPr>
          <w:p>
            <w:pPr>
              <w:jc w:val="right"/>
              <w:ind w:right="639"/>
              <w:spacing w:after="0"/>
              <w:rPr>
                <w:sz w:val="20"/>
                <w:szCs w:val="20"/>
                <w:color w:val="auto"/>
              </w:rPr>
            </w:pPr>
            <w:r>
              <w:rPr>
                <w:rFonts w:ascii="Arial" w:cs="Arial" w:eastAsia="Arial" w:hAnsi="Arial"/>
                <w:sz w:val="16"/>
                <w:szCs w:val="16"/>
                <w:color w:val="auto"/>
              </w:rPr>
              <w:t>2.3%</w:t>
            </w:r>
          </w:p>
        </w:tc>
        <w:tc>
          <w:tcPr>
            <w:tcW w:w="1560" w:type="dxa"/>
            <w:vAlign w:val="bottom"/>
          </w:tcPr>
          <w:p>
            <w:pPr>
              <w:jc w:val="right"/>
              <w:ind w:right="139"/>
              <w:spacing w:after="0"/>
              <w:rPr>
                <w:sz w:val="20"/>
                <w:szCs w:val="20"/>
                <w:color w:val="auto"/>
              </w:rPr>
            </w:pPr>
            <w:r>
              <w:rPr>
                <w:rFonts w:ascii="Arial" w:cs="Arial" w:eastAsia="Arial" w:hAnsi="Arial"/>
                <w:sz w:val="16"/>
                <w:szCs w:val="16"/>
                <w:color w:val="auto"/>
              </w:rPr>
              <w:t>3.6%</w:t>
            </w:r>
          </w:p>
        </w:tc>
      </w:tr>
      <w:tr>
        <w:trPr>
          <w:trHeight w:val="33"/>
        </w:trPr>
        <w:tc>
          <w:tcPr>
            <w:tcW w:w="49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Nordstrom Rack</w:t>
            </w:r>
          </w:p>
        </w:tc>
        <w:tc>
          <w:tcPr>
            <w:tcW w:w="2880" w:type="dxa"/>
            <w:vAlign w:val="bottom"/>
            <w:tcBorders>
              <w:bottom w:val="single" w:sz="8" w:color="CCEEFF"/>
            </w:tcBorders>
            <w:shd w:val="clear" w:color="auto" w:fill="CCEEFF"/>
          </w:tcPr>
          <w:p>
            <w:pPr>
              <w:jc w:val="right"/>
              <w:ind w:right="639"/>
              <w:spacing w:after="0"/>
              <w:rPr>
                <w:sz w:val="20"/>
                <w:szCs w:val="20"/>
                <w:color w:val="auto"/>
              </w:rPr>
            </w:pPr>
            <w:r>
              <w:rPr>
                <w:rFonts w:ascii="Arial" w:cs="Arial" w:eastAsia="Arial" w:hAnsi="Arial"/>
                <w:sz w:val="16"/>
                <w:szCs w:val="16"/>
                <w:b w:val="1"/>
                <w:bCs w:val="1"/>
                <w:color w:val="auto"/>
              </w:rPr>
              <w:t>0.2%</w:t>
            </w:r>
          </w:p>
        </w:tc>
        <w:tc>
          <w:tcPr>
            <w:tcW w:w="2060" w:type="dxa"/>
            <w:vAlign w:val="bottom"/>
            <w:tcBorders>
              <w:bottom w:val="single" w:sz="8" w:color="CCEEFF"/>
            </w:tcBorders>
            <w:shd w:val="clear" w:color="auto" w:fill="CCEEFF"/>
          </w:tcPr>
          <w:p>
            <w:pPr>
              <w:jc w:val="right"/>
              <w:ind w:right="579"/>
              <w:spacing w:after="0"/>
              <w:rPr>
                <w:sz w:val="20"/>
                <w:szCs w:val="20"/>
                <w:color w:val="auto"/>
              </w:rPr>
            </w:pPr>
            <w:r>
              <w:rPr>
                <w:rFonts w:ascii="Arial" w:cs="Arial" w:eastAsia="Arial" w:hAnsi="Arial"/>
                <w:sz w:val="16"/>
                <w:szCs w:val="16"/>
                <w:color w:val="auto"/>
              </w:rPr>
              <w:t>(1.0%)</w:t>
            </w:r>
          </w:p>
        </w:tc>
        <w:tc>
          <w:tcPr>
            <w:tcW w:w="15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3.8%</w:t>
            </w:r>
          </w:p>
        </w:tc>
      </w:tr>
      <w:tr>
        <w:trPr>
          <w:trHeight w:val="237"/>
        </w:trPr>
        <w:tc>
          <w:tcPr>
            <w:tcW w:w="4920" w:type="dxa"/>
            <w:vAlign w:val="bottom"/>
          </w:tcPr>
          <w:p>
            <w:pPr>
              <w:ind w:left="40"/>
              <w:spacing w:after="0"/>
              <w:rPr>
                <w:sz w:val="20"/>
                <w:szCs w:val="20"/>
                <w:color w:val="auto"/>
              </w:rPr>
            </w:pPr>
            <w:r>
              <w:rPr>
                <w:rFonts w:ascii="Arial" w:cs="Arial" w:eastAsia="Arial" w:hAnsi="Arial"/>
                <w:sz w:val="16"/>
                <w:szCs w:val="16"/>
                <w:color w:val="auto"/>
              </w:rPr>
              <w:t>Nordstromrack.com/HauteLook</w:t>
            </w:r>
          </w:p>
        </w:tc>
        <w:tc>
          <w:tcPr>
            <w:tcW w:w="2880" w:type="dxa"/>
            <w:vAlign w:val="bottom"/>
          </w:tcPr>
          <w:p>
            <w:pPr>
              <w:jc w:val="right"/>
              <w:ind w:right="639"/>
              <w:spacing w:after="0"/>
              <w:rPr>
                <w:sz w:val="20"/>
                <w:szCs w:val="20"/>
                <w:color w:val="auto"/>
              </w:rPr>
            </w:pPr>
            <w:r>
              <w:rPr>
                <w:rFonts w:ascii="Arial" w:cs="Arial" w:eastAsia="Arial" w:hAnsi="Arial"/>
                <w:sz w:val="16"/>
                <w:szCs w:val="16"/>
                <w:b w:val="1"/>
                <w:bCs w:val="1"/>
                <w:color w:val="auto"/>
              </w:rPr>
              <w:t>31.7%</w:t>
            </w:r>
          </w:p>
        </w:tc>
        <w:tc>
          <w:tcPr>
            <w:tcW w:w="2060" w:type="dxa"/>
            <w:vAlign w:val="bottom"/>
          </w:tcPr>
          <w:p>
            <w:pPr>
              <w:jc w:val="right"/>
              <w:ind w:right="639"/>
              <w:spacing w:after="0"/>
              <w:rPr>
                <w:sz w:val="20"/>
                <w:szCs w:val="20"/>
                <w:color w:val="auto"/>
              </w:rPr>
            </w:pPr>
            <w:r>
              <w:rPr>
                <w:rFonts w:ascii="Arial" w:cs="Arial" w:eastAsia="Arial" w:hAnsi="Arial"/>
                <w:sz w:val="16"/>
                <w:szCs w:val="16"/>
                <w:color w:val="auto"/>
              </w:rPr>
              <w:t>47.4%</w:t>
            </w:r>
          </w:p>
        </w:tc>
        <w:tc>
          <w:tcPr>
            <w:tcW w:w="1560" w:type="dxa"/>
            <w:vAlign w:val="bottom"/>
          </w:tcPr>
          <w:p>
            <w:pPr>
              <w:jc w:val="right"/>
              <w:ind w:right="139"/>
              <w:spacing w:after="0"/>
              <w:rPr>
                <w:sz w:val="20"/>
                <w:szCs w:val="20"/>
                <w:color w:val="auto"/>
              </w:rPr>
            </w:pPr>
            <w:r>
              <w:rPr>
                <w:rFonts w:ascii="Arial" w:cs="Arial" w:eastAsia="Arial" w:hAnsi="Arial"/>
                <w:sz w:val="16"/>
                <w:szCs w:val="16"/>
                <w:color w:val="auto"/>
              </w:rPr>
              <w:t>22.1%</w:t>
            </w:r>
          </w:p>
        </w:tc>
      </w:tr>
      <w:tr>
        <w:trPr>
          <w:trHeight w:val="33"/>
        </w:trPr>
        <w:tc>
          <w:tcPr>
            <w:tcW w:w="49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Off-price</w:t>
            </w:r>
          </w:p>
        </w:tc>
        <w:tc>
          <w:tcPr>
            <w:tcW w:w="2880" w:type="dxa"/>
            <w:vAlign w:val="bottom"/>
            <w:tcBorders>
              <w:bottom w:val="single" w:sz="8" w:color="CCEEFF"/>
            </w:tcBorders>
            <w:shd w:val="clear" w:color="auto" w:fill="CCEEFF"/>
          </w:tcPr>
          <w:p>
            <w:pPr>
              <w:jc w:val="right"/>
              <w:ind w:right="639"/>
              <w:spacing w:after="0"/>
              <w:rPr>
                <w:sz w:val="20"/>
                <w:szCs w:val="20"/>
                <w:color w:val="auto"/>
              </w:rPr>
            </w:pPr>
            <w:r>
              <w:rPr>
                <w:rFonts w:ascii="Arial" w:cs="Arial" w:eastAsia="Arial" w:hAnsi="Arial"/>
                <w:sz w:val="16"/>
                <w:szCs w:val="16"/>
                <w:b w:val="1"/>
                <w:bCs w:val="1"/>
                <w:color w:val="auto"/>
              </w:rPr>
              <w:t>4.5%</w:t>
            </w:r>
          </w:p>
        </w:tc>
        <w:tc>
          <w:tcPr>
            <w:tcW w:w="2060" w:type="dxa"/>
            <w:vAlign w:val="bottom"/>
            <w:tcBorders>
              <w:bottom w:val="single" w:sz="8" w:color="CCEEFF"/>
            </w:tcBorders>
            <w:shd w:val="clear" w:color="auto" w:fill="CCEEFF"/>
          </w:tcPr>
          <w:p>
            <w:pPr>
              <w:jc w:val="right"/>
              <w:ind w:right="639"/>
              <w:spacing w:after="0"/>
              <w:rPr>
                <w:sz w:val="20"/>
                <w:szCs w:val="20"/>
                <w:color w:val="auto"/>
              </w:rPr>
            </w:pPr>
            <w:r>
              <w:rPr>
                <w:rFonts w:ascii="Arial" w:cs="Arial" w:eastAsia="Arial" w:hAnsi="Arial"/>
                <w:sz w:val="16"/>
                <w:szCs w:val="16"/>
                <w:color w:val="auto"/>
              </w:rPr>
              <w:t>4.3%</w:t>
            </w:r>
          </w:p>
        </w:tc>
        <w:tc>
          <w:tcPr>
            <w:tcW w:w="15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5.7%</w:t>
            </w:r>
          </w:p>
        </w:tc>
      </w:tr>
      <w:tr>
        <w:trPr>
          <w:trHeight w:val="237"/>
        </w:trPr>
        <w:tc>
          <w:tcPr>
            <w:tcW w:w="4920" w:type="dxa"/>
            <w:vAlign w:val="bottom"/>
          </w:tcPr>
          <w:p>
            <w:pPr>
              <w:ind w:left="40"/>
              <w:spacing w:after="0"/>
              <w:rPr>
                <w:sz w:val="20"/>
                <w:szCs w:val="20"/>
                <w:color w:val="auto"/>
              </w:rPr>
            </w:pPr>
            <w:r>
              <w:rPr>
                <w:rFonts w:ascii="Arial" w:cs="Arial" w:eastAsia="Arial" w:hAnsi="Arial"/>
                <w:sz w:val="16"/>
                <w:szCs w:val="16"/>
                <w:b w:val="1"/>
                <w:bCs w:val="1"/>
                <w:color w:val="auto"/>
              </w:rPr>
              <w:t>Total Company</w:t>
            </w:r>
          </w:p>
        </w:tc>
        <w:tc>
          <w:tcPr>
            <w:tcW w:w="2880" w:type="dxa"/>
            <w:vAlign w:val="bottom"/>
          </w:tcPr>
          <w:p>
            <w:pPr>
              <w:jc w:val="right"/>
              <w:ind w:right="579"/>
              <w:spacing w:after="0"/>
              <w:rPr>
                <w:sz w:val="20"/>
                <w:szCs w:val="20"/>
                <w:color w:val="auto"/>
              </w:rPr>
            </w:pPr>
            <w:r>
              <w:rPr>
                <w:rFonts w:ascii="Arial" w:cs="Arial" w:eastAsia="Arial" w:hAnsi="Arial"/>
                <w:sz w:val="16"/>
                <w:szCs w:val="16"/>
                <w:b w:val="1"/>
                <w:bCs w:val="1"/>
                <w:color w:val="auto"/>
              </w:rPr>
              <w:t>(0.4%)</w:t>
            </w:r>
          </w:p>
        </w:tc>
        <w:tc>
          <w:tcPr>
            <w:tcW w:w="2060" w:type="dxa"/>
            <w:vAlign w:val="bottom"/>
          </w:tcPr>
          <w:p>
            <w:pPr>
              <w:jc w:val="right"/>
              <w:ind w:right="639"/>
              <w:spacing w:after="0"/>
              <w:rPr>
                <w:sz w:val="20"/>
                <w:szCs w:val="20"/>
                <w:color w:val="auto"/>
              </w:rPr>
            </w:pPr>
            <w:r>
              <w:rPr>
                <w:rFonts w:ascii="Arial" w:cs="Arial" w:eastAsia="Arial" w:hAnsi="Arial"/>
                <w:sz w:val="16"/>
                <w:szCs w:val="16"/>
                <w:color w:val="auto"/>
              </w:rPr>
              <w:t>2.7%</w:t>
            </w:r>
          </w:p>
        </w:tc>
        <w:tc>
          <w:tcPr>
            <w:tcW w:w="1560" w:type="dxa"/>
            <w:vAlign w:val="bottom"/>
          </w:tcPr>
          <w:p>
            <w:pPr>
              <w:jc w:val="right"/>
              <w:ind w:right="139"/>
              <w:spacing w:after="0"/>
              <w:rPr>
                <w:sz w:val="20"/>
                <w:szCs w:val="20"/>
                <w:color w:val="auto"/>
              </w:rPr>
            </w:pPr>
            <w:r>
              <w:rPr>
                <w:rFonts w:ascii="Arial" w:cs="Arial" w:eastAsia="Arial" w:hAnsi="Arial"/>
                <w:sz w:val="16"/>
                <w:szCs w:val="16"/>
                <w:color w:val="auto"/>
              </w:rPr>
              <w:t>4.0%</w:t>
            </w:r>
          </w:p>
        </w:tc>
      </w:tr>
      <w:tr>
        <w:trPr>
          <w:trHeight w:val="33"/>
        </w:trPr>
        <w:tc>
          <w:tcPr>
            <w:tcW w:w="49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4920" w:type="dxa"/>
            <w:vAlign w:val="bottom"/>
            <w:shd w:val="clear" w:color="auto" w:fill="CCEEFF"/>
          </w:tcPr>
          <w:p>
            <w:pPr>
              <w:spacing w:after="0"/>
              <w:rPr>
                <w:sz w:val="23"/>
                <w:szCs w:val="23"/>
                <w:color w:val="auto"/>
              </w:rPr>
            </w:pPr>
          </w:p>
        </w:tc>
        <w:tc>
          <w:tcPr>
            <w:tcW w:w="2880" w:type="dxa"/>
            <w:vAlign w:val="bottom"/>
            <w:shd w:val="clear" w:color="auto" w:fill="CCEEFF"/>
          </w:tcPr>
          <w:p>
            <w:pPr>
              <w:spacing w:after="0"/>
              <w:rPr>
                <w:sz w:val="23"/>
                <w:szCs w:val="23"/>
                <w:color w:val="auto"/>
              </w:rPr>
            </w:pPr>
          </w:p>
        </w:tc>
        <w:tc>
          <w:tcPr>
            <w:tcW w:w="206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r>
      <w:tr>
        <w:trPr>
          <w:trHeight w:val="237"/>
        </w:trPr>
        <w:tc>
          <w:tcPr>
            <w:tcW w:w="4920" w:type="dxa"/>
            <w:vAlign w:val="bottom"/>
          </w:tcPr>
          <w:p>
            <w:pPr>
              <w:ind w:left="40"/>
              <w:spacing w:after="0"/>
              <w:rPr>
                <w:sz w:val="20"/>
                <w:szCs w:val="20"/>
                <w:color w:val="auto"/>
              </w:rPr>
            </w:pPr>
            <w:r>
              <w:rPr>
                <w:rFonts w:ascii="Arial" w:cs="Arial" w:eastAsia="Arial" w:hAnsi="Arial"/>
                <w:sz w:val="16"/>
                <w:szCs w:val="16"/>
                <w:b w:val="1"/>
                <w:bCs w:val="1"/>
                <w:color w:val="auto"/>
              </w:rPr>
              <w:t>Sales per square foot:</w:t>
            </w:r>
          </w:p>
        </w:tc>
        <w:tc>
          <w:tcPr>
            <w:tcW w:w="28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33"/>
        </w:trPr>
        <w:tc>
          <w:tcPr>
            <w:tcW w:w="49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sales per square foot</w:t>
            </w:r>
          </w:p>
        </w:tc>
        <w:tc>
          <w:tcPr>
            <w:tcW w:w="288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6"/>
                <w:szCs w:val="16"/>
                <w:b w:val="1"/>
                <w:bCs w:val="1"/>
                <w:color w:val="auto"/>
              </w:rPr>
              <w:t>$498</w:t>
            </w:r>
          </w:p>
        </w:tc>
        <w:tc>
          <w:tcPr>
            <w:tcW w:w="206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6"/>
                <w:szCs w:val="16"/>
                <w:color w:val="auto"/>
              </w:rPr>
              <w:t>$507</w:t>
            </w:r>
          </w:p>
        </w:tc>
        <w:tc>
          <w:tcPr>
            <w:tcW w:w="15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$493</w:t>
            </w:r>
          </w:p>
        </w:tc>
      </w:tr>
      <w:tr>
        <w:trPr>
          <w:trHeight w:val="237"/>
        </w:trPr>
        <w:tc>
          <w:tcPr>
            <w:tcW w:w="4920" w:type="dxa"/>
            <w:vAlign w:val="bottom"/>
          </w:tcPr>
          <w:p>
            <w:pPr>
              <w:ind w:left="40"/>
              <w:spacing w:after="0"/>
              <w:rPr>
                <w:sz w:val="20"/>
                <w:szCs w:val="20"/>
                <w:color w:val="auto"/>
              </w:rPr>
            </w:pPr>
            <w:r>
              <w:rPr>
                <w:rFonts w:ascii="Arial" w:cs="Arial" w:eastAsia="Arial" w:hAnsi="Arial"/>
                <w:sz w:val="16"/>
                <w:szCs w:val="16"/>
                <w:color w:val="auto"/>
              </w:rPr>
              <w:t>4-wall sales per square foot</w:t>
            </w:r>
          </w:p>
        </w:tc>
        <w:tc>
          <w:tcPr>
            <w:tcW w:w="2880" w:type="dxa"/>
            <w:vAlign w:val="bottom"/>
          </w:tcPr>
          <w:p>
            <w:pPr>
              <w:jc w:val="right"/>
              <w:ind w:right="799"/>
              <w:spacing w:after="0"/>
              <w:rPr>
                <w:sz w:val="20"/>
                <w:szCs w:val="20"/>
                <w:color w:val="auto"/>
              </w:rPr>
            </w:pPr>
            <w:r>
              <w:rPr>
                <w:rFonts w:ascii="Arial" w:cs="Arial" w:eastAsia="Arial" w:hAnsi="Arial"/>
                <w:sz w:val="16"/>
                <w:szCs w:val="16"/>
                <w:b w:val="1"/>
                <w:bCs w:val="1"/>
                <w:color w:val="auto"/>
              </w:rPr>
              <w:t>392</w:t>
            </w:r>
          </w:p>
        </w:tc>
        <w:tc>
          <w:tcPr>
            <w:tcW w:w="2060" w:type="dxa"/>
            <w:vAlign w:val="bottom"/>
          </w:tcPr>
          <w:p>
            <w:pPr>
              <w:jc w:val="right"/>
              <w:ind w:right="779"/>
              <w:spacing w:after="0"/>
              <w:rPr>
                <w:sz w:val="20"/>
                <w:szCs w:val="20"/>
                <w:color w:val="auto"/>
              </w:rPr>
            </w:pPr>
            <w:r>
              <w:rPr>
                <w:rFonts w:ascii="Arial" w:cs="Arial" w:eastAsia="Arial" w:hAnsi="Arial"/>
                <w:sz w:val="16"/>
                <w:szCs w:val="16"/>
                <w:color w:val="auto"/>
              </w:rPr>
              <w:t>410</w:t>
            </w:r>
          </w:p>
        </w:tc>
        <w:tc>
          <w:tcPr>
            <w:tcW w:w="1560" w:type="dxa"/>
            <w:vAlign w:val="bottom"/>
          </w:tcPr>
          <w:p>
            <w:pPr>
              <w:jc w:val="right"/>
              <w:ind w:right="279"/>
              <w:spacing w:after="0"/>
              <w:rPr>
                <w:sz w:val="20"/>
                <w:szCs w:val="20"/>
                <w:color w:val="auto"/>
              </w:rPr>
            </w:pPr>
            <w:r>
              <w:rPr>
                <w:rFonts w:ascii="Arial" w:cs="Arial" w:eastAsia="Arial" w:hAnsi="Arial"/>
                <w:sz w:val="16"/>
                <w:szCs w:val="16"/>
                <w:color w:val="auto"/>
              </w:rPr>
              <w:t>413</w:t>
            </w:r>
          </w:p>
        </w:tc>
      </w:tr>
      <w:tr>
        <w:trPr>
          <w:trHeight w:val="33"/>
        </w:trPr>
        <w:tc>
          <w:tcPr>
            <w:tcW w:w="49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Full-line sales per square foot - U.S.</w:t>
            </w:r>
          </w:p>
        </w:tc>
        <w:tc>
          <w:tcPr>
            <w:tcW w:w="288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6"/>
                <w:szCs w:val="16"/>
                <w:b w:val="1"/>
                <w:bCs w:val="1"/>
                <w:color w:val="auto"/>
              </w:rPr>
              <w:t>346</w:t>
            </w:r>
          </w:p>
        </w:tc>
        <w:tc>
          <w:tcPr>
            <w:tcW w:w="206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6"/>
                <w:szCs w:val="16"/>
                <w:color w:val="auto"/>
              </w:rPr>
              <w:t>370</w:t>
            </w:r>
          </w:p>
        </w:tc>
        <w:tc>
          <w:tcPr>
            <w:tcW w:w="15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371</w:t>
            </w:r>
          </w:p>
        </w:tc>
      </w:tr>
      <w:tr>
        <w:trPr>
          <w:trHeight w:val="237"/>
        </w:trPr>
        <w:tc>
          <w:tcPr>
            <w:tcW w:w="4920" w:type="dxa"/>
            <w:vAlign w:val="bottom"/>
          </w:tcPr>
          <w:p>
            <w:pPr>
              <w:ind w:left="40"/>
              <w:spacing w:after="0"/>
              <w:rPr>
                <w:sz w:val="20"/>
                <w:szCs w:val="20"/>
                <w:color w:val="auto"/>
              </w:rPr>
            </w:pPr>
            <w:r>
              <w:rPr>
                <w:rFonts w:ascii="Arial" w:cs="Arial" w:eastAsia="Arial" w:hAnsi="Arial"/>
                <w:sz w:val="16"/>
                <w:szCs w:val="16"/>
                <w:color w:val="auto"/>
              </w:rPr>
              <w:t>Nordstrom Rack sales per square foot</w:t>
            </w:r>
          </w:p>
        </w:tc>
        <w:tc>
          <w:tcPr>
            <w:tcW w:w="2880" w:type="dxa"/>
            <w:vAlign w:val="bottom"/>
          </w:tcPr>
          <w:p>
            <w:pPr>
              <w:jc w:val="right"/>
              <w:ind w:right="799"/>
              <w:spacing w:after="0"/>
              <w:rPr>
                <w:sz w:val="20"/>
                <w:szCs w:val="20"/>
                <w:color w:val="auto"/>
              </w:rPr>
            </w:pPr>
            <w:r>
              <w:rPr>
                <w:rFonts w:ascii="Arial" w:cs="Arial" w:eastAsia="Arial" w:hAnsi="Arial"/>
                <w:sz w:val="16"/>
                <w:szCs w:val="16"/>
                <w:b w:val="1"/>
                <w:bCs w:val="1"/>
                <w:color w:val="auto"/>
              </w:rPr>
              <w:t>507</w:t>
            </w:r>
          </w:p>
        </w:tc>
        <w:tc>
          <w:tcPr>
            <w:tcW w:w="2060" w:type="dxa"/>
            <w:vAlign w:val="bottom"/>
          </w:tcPr>
          <w:p>
            <w:pPr>
              <w:jc w:val="right"/>
              <w:ind w:right="779"/>
              <w:spacing w:after="0"/>
              <w:rPr>
                <w:sz w:val="20"/>
                <w:szCs w:val="20"/>
                <w:color w:val="auto"/>
              </w:rPr>
            </w:pPr>
            <w:r>
              <w:rPr>
                <w:rFonts w:ascii="Arial" w:cs="Arial" w:eastAsia="Arial" w:hAnsi="Arial"/>
                <w:sz w:val="16"/>
                <w:szCs w:val="16"/>
                <w:color w:val="auto"/>
              </w:rPr>
              <w:t>523</w:t>
            </w:r>
          </w:p>
        </w:tc>
        <w:tc>
          <w:tcPr>
            <w:tcW w:w="1560" w:type="dxa"/>
            <w:vAlign w:val="bottom"/>
          </w:tcPr>
          <w:p>
            <w:pPr>
              <w:jc w:val="right"/>
              <w:ind w:right="279"/>
              <w:spacing w:after="0"/>
              <w:rPr>
                <w:sz w:val="20"/>
                <w:szCs w:val="20"/>
                <w:color w:val="auto"/>
              </w:rPr>
            </w:pPr>
            <w:r>
              <w:rPr>
                <w:rFonts w:ascii="Arial" w:cs="Arial" w:eastAsia="Arial" w:hAnsi="Arial"/>
                <w:sz w:val="16"/>
                <w:szCs w:val="16"/>
                <w:color w:val="auto"/>
              </w:rPr>
              <w:t>552</w:t>
            </w:r>
          </w:p>
        </w:tc>
      </w:tr>
    </w:tbl>
    <w:p>
      <w:pPr>
        <w:spacing w:after="0" w:line="28" w:lineRule="exact"/>
        <w:rPr>
          <w:sz w:val="20"/>
          <w:szCs w:val="20"/>
          <w:color w:val="auto"/>
        </w:rPr>
      </w:pPr>
    </w:p>
    <w:p>
      <w:pPr>
        <w:ind w:left="80" w:hanging="72"/>
        <w:spacing w:after="0"/>
        <w:tabs>
          <w:tab w:leader="none" w:pos="80" w:val="left"/>
        </w:tabs>
        <w:numPr>
          <w:ilvl w:val="0"/>
          <w:numId w:val="21"/>
        </w:numPr>
        <w:rPr>
          <w:rFonts w:ascii="Arial" w:cs="Arial" w:eastAsia="Arial" w:hAnsi="Arial"/>
          <w:sz w:val="9"/>
          <w:szCs w:val="9"/>
          <w:color w:val="auto"/>
        </w:rPr>
      </w:pPr>
      <w:r>
        <w:rPr>
          <w:rFonts w:ascii="Arial" w:cs="Arial" w:eastAsia="Arial" w:hAnsi="Arial"/>
          <w:sz w:val="14"/>
          <w:szCs w:val="14"/>
          <w:color w:val="auto"/>
        </w:rPr>
        <w:t>Other retail includes Nordstrom Canada full-line stores, Trunk Club and Jeffrey boutiques.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Net Sales (2016 vs. 2015)</w:t>
      </w:r>
    </w:p>
    <w:p>
      <w:pPr>
        <w:spacing w:after="0" w:line="23" w:lineRule="exact"/>
        <w:rPr>
          <w:sz w:val="20"/>
          <w:szCs w:val="20"/>
          <w:color w:val="auto"/>
        </w:rPr>
      </w:pPr>
    </w:p>
    <w:p>
      <w:pPr>
        <w:ind w:right="520"/>
        <w:spacing w:after="0" w:line="261" w:lineRule="auto"/>
        <w:rPr>
          <w:sz w:val="20"/>
          <w:szCs w:val="20"/>
          <w:color w:val="auto"/>
        </w:rPr>
      </w:pPr>
      <w:r>
        <w:rPr>
          <w:rFonts w:ascii="Arial" w:cs="Arial" w:eastAsia="Arial" w:hAnsi="Arial"/>
          <w:sz w:val="18"/>
          <w:szCs w:val="18"/>
          <w:color w:val="auto"/>
        </w:rPr>
        <w:t>In 2016, total Company net sales increased 2.9%, while comparable sales decreased 0.4%. During the year, we opened three Nordstrom full-line stores, including two in Canada, and 21 Nordstrom Rack stores.</w:t>
      </w:r>
    </w:p>
    <w:p>
      <w:pPr>
        <w:spacing w:after="0" w:line="130" w:lineRule="exact"/>
        <w:rPr>
          <w:sz w:val="20"/>
          <w:szCs w:val="20"/>
          <w:color w:val="auto"/>
        </w:rPr>
      </w:pPr>
    </w:p>
    <w:p>
      <w:pPr>
        <w:jc w:val="both"/>
        <w:ind w:right="100"/>
        <w:spacing w:after="0" w:line="286" w:lineRule="auto"/>
        <w:rPr>
          <w:sz w:val="20"/>
          <w:szCs w:val="20"/>
          <w:color w:val="auto"/>
        </w:rPr>
      </w:pPr>
      <w:r>
        <w:rPr>
          <w:rFonts w:ascii="Arial" w:cs="Arial" w:eastAsia="Arial" w:hAnsi="Arial"/>
          <w:sz w:val="17"/>
          <w:szCs w:val="17"/>
          <w:color w:val="auto"/>
        </w:rPr>
        <w:t>Full-price net sales, which consist of the U.S. full-line and Nordstrom.com channels, decreased 2.3% compared with 2015, while comparable sales decreased 2.7%. Also on a comparable basis, full-price sales reflected a decrease in the total number of items sold, partially offset by an increase in the average selling price per item sold. The top-performing merchandise category was Beauty. The West was the top-performing geographic region.</w:t>
      </w:r>
    </w:p>
    <w:p>
      <w:pPr>
        <w:spacing w:after="0" w:line="11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Off-price net sales, which consists of Nordstrom Rack and Nordstromrack.com/HauteLook channels, increased 10.9%, compared with 2015 and comparable sales increased 4.5%. Nordstromrack.com/HauteLook had a comparable sales increase of 31.7% and now represents over 15% of off-price sales. Nordstrom Rack net sales increased 7.8%, primarily attributable to 21 new store openings in 2016. On a comparable basis, the total number of items sold increased at Nordstrom Rack, partially offset by a decrease in the average selling price per item sold. Kids was the top-performing merchandise category, and the East was the top-performing geographic region.</w:t>
      </w:r>
    </w:p>
    <w:p>
      <w:pPr>
        <w:sectPr>
          <w:pgSz w:w="11900" w:h="16838" w:orient="portrait"/>
          <w:cols w:equalWidth="0" w:num="1">
            <w:col w:w="11420"/>
          </w:cols>
          <w:pgMar w:left="240" w:top="126" w:right="239" w:bottom="1440" w:gutter="0" w:footer="0" w:header="0"/>
        </w:sect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126" w:right="239" w:bottom="1440" w:gutter="0" w:footer="0" w:header="0"/>
          <w:type w:val="continuous"/>
        </w:sectPr>
      </w:pPr>
    </w:p>
    <w:bookmarkStart w:id="20" w:name="page21"/>
    <w:bookmarkEnd w:id="20"/>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color w:val="auto"/>
        </w:rPr>
        <w:t>Net Sales (2015 vs. 2014)</w:t>
      </w:r>
    </w:p>
    <w:p>
      <w:pPr>
        <w:spacing w:after="0" w:line="23" w:lineRule="exact"/>
        <w:rPr>
          <w:sz w:val="20"/>
          <w:szCs w:val="20"/>
          <w:color w:val="auto"/>
        </w:rPr>
      </w:pPr>
    </w:p>
    <w:p>
      <w:pPr>
        <w:ind w:right="620"/>
        <w:spacing w:after="0" w:line="261" w:lineRule="auto"/>
        <w:rPr>
          <w:sz w:val="20"/>
          <w:szCs w:val="20"/>
          <w:color w:val="auto"/>
        </w:rPr>
      </w:pPr>
      <w:r>
        <w:rPr>
          <w:rFonts w:ascii="Arial" w:cs="Arial" w:eastAsia="Arial" w:hAnsi="Arial"/>
          <w:sz w:val="18"/>
          <w:szCs w:val="18"/>
          <w:color w:val="auto"/>
        </w:rPr>
        <w:t>In 2015, total Company net sales increased 7.5%, while comparable sales increased 2.7%. During the year, we opened five Nordstrom full-line stores, including two in Canada, and 27 Nordstrom Rack stores.</w:t>
      </w:r>
    </w:p>
    <w:p>
      <w:pPr>
        <w:spacing w:after="0" w:line="13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Full-price net sales increased 2.6% compared with 2014, while on a comparable basis, sales increased 2.3%. These increases reflected continued momentum in our Nordstrom.com channel, which increased 15%. Also on a comparable basis, the total number of items sold and the average selling price per item sold increased. The top-performing merchandise categories included Beauty and Women’s Apparel. The Northwest was the top-performing U.S. full-line store geographic region.</w:t>
      </w:r>
    </w:p>
    <w:p>
      <w:pPr>
        <w:spacing w:after="0" w:line="133"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Off-price net sales increased 13.7%, compared with 2014, while on a comparable basis, sales increased 4.3%. Nordstromrack.com/HauteLook experienced outsized growth, with a net sales increase of 47%. Nordstrom Rack net sales increased 9.9%, attributable to new store openings. On a comparable basis, the average retail price per item sold increased at Nordstrom Rack, offset by a decrease in the total number of items sold. Shoes and Beauty were the top-performing merchandise categories and the South was the top-performing geographic region.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Retail Business Gross Profit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Retail Business gross profit (“Retail GP”):</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440" w:type="dxa"/>
            <w:vAlign w:val="bottom"/>
          </w:tcPr>
          <w:p>
            <w:pPr>
              <w:ind w:left="40"/>
              <w:spacing w:after="0"/>
              <w:rPr>
                <w:sz w:val="20"/>
                <w:szCs w:val="20"/>
                <w:color w:val="auto"/>
              </w:rPr>
            </w:pPr>
            <w:r>
              <w:rPr>
                <w:rFonts w:ascii="Arial" w:cs="Arial" w:eastAsia="Arial" w:hAnsi="Arial"/>
                <w:sz w:val="16"/>
                <w:szCs w:val="16"/>
                <w:b w:val="1"/>
                <w:bCs w:val="1"/>
                <w:color w:val="auto"/>
              </w:rPr>
              <w:t>Fiscal year</w:t>
            </w:r>
          </w:p>
        </w:tc>
        <w:tc>
          <w:tcPr>
            <w:tcW w:w="3300" w:type="dxa"/>
            <w:vAlign w:val="bottom"/>
          </w:tcPr>
          <w:p>
            <w:pPr>
              <w:jc w:val="right"/>
              <w:ind w:right="799"/>
              <w:spacing w:after="0"/>
              <w:rPr>
                <w:sz w:val="20"/>
                <w:szCs w:val="20"/>
                <w:color w:val="auto"/>
              </w:rPr>
            </w:pPr>
            <w:r>
              <w:rPr>
                <w:rFonts w:ascii="Arial" w:cs="Arial" w:eastAsia="Arial" w:hAnsi="Arial"/>
                <w:sz w:val="16"/>
                <w:szCs w:val="16"/>
                <w:b w:val="1"/>
                <w:bCs w:val="1"/>
                <w:color w:val="auto"/>
              </w:rPr>
              <w:t>2016</w:t>
            </w:r>
          </w:p>
        </w:tc>
        <w:tc>
          <w:tcPr>
            <w:tcW w:w="2120" w:type="dxa"/>
            <w:vAlign w:val="bottom"/>
          </w:tcPr>
          <w:p>
            <w:pPr>
              <w:jc w:val="right"/>
              <w:ind w:right="879"/>
              <w:spacing w:after="0"/>
              <w:rPr>
                <w:sz w:val="20"/>
                <w:szCs w:val="20"/>
                <w:color w:val="auto"/>
              </w:rPr>
            </w:pPr>
            <w:r>
              <w:rPr>
                <w:rFonts w:ascii="Arial" w:cs="Arial" w:eastAsia="Arial" w:hAnsi="Arial"/>
                <w:sz w:val="16"/>
                <w:szCs w:val="16"/>
                <w:b w:val="1"/>
                <w:bCs w:val="1"/>
                <w:color w:val="auto"/>
              </w:rPr>
              <w:t>2015</w:t>
            </w:r>
          </w:p>
        </w:tc>
        <w:tc>
          <w:tcPr>
            <w:tcW w:w="1560" w:type="dxa"/>
            <w:vAlign w:val="bottom"/>
          </w:tcPr>
          <w:p>
            <w:pPr>
              <w:jc w:val="right"/>
              <w:ind w:right="219"/>
              <w:spacing w:after="0"/>
              <w:rPr>
                <w:sz w:val="20"/>
                <w:szCs w:val="20"/>
                <w:color w:val="auto"/>
              </w:rPr>
            </w:pPr>
            <w:r>
              <w:rPr>
                <w:rFonts w:ascii="Arial" w:cs="Arial" w:eastAsia="Arial" w:hAnsi="Arial"/>
                <w:sz w:val="16"/>
                <w:szCs w:val="16"/>
                <w:b w:val="1"/>
                <w:bCs w:val="1"/>
                <w:color w:val="auto"/>
              </w:rPr>
              <w:t>2014</w:t>
            </w:r>
          </w:p>
        </w:tc>
      </w:tr>
      <w:tr>
        <w:trPr>
          <w:trHeight w:val="33"/>
        </w:trPr>
        <w:tc>
          <w:tcPr>
            <w:tcW w:w="4440" w:type="dxa"/>
            <w:vAlign w:val="bottom"/>
            <w:tcBorders>
              <w:bottom w:val="single" w:sz="8" w:color="auto"/>
            </w:tcBorders>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Retail gross profit</w:t>
            </w:r>
          </w:p>
        </w:tc>
        <w:tc>
          <w:tcPr>
            <w:tcW w:w="330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6"/>
                <w:szCs w:val="16"/>
                <w:b w:val="1"/>
                <w:bCs w:val="1"/>
                <w:color w:val="auto"/>
              </w:rPr>
              <w:t>$5,064</w:t>
            </w:r>
          </w:p>
        </w:tc>
        <w:tc>
          <w:tcPr>
            <w:tcW w:w="212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6"/>
                <w:szCs w:val="16"/>
                <w:color w:val="auto"/>
              </w:rPr>
              <w:t>$4,934</w:t>
            </w:r>
          </w:p>
        </w:tc>
        <w:tc>
          <w:tcPr>
            <w:tcW w:w="156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$4,709</w:t>
            </w:r>
          </w:p>
        </w:tc>
      </w:tr>
      <w:tr>
        <w:trPr>
          <w:trHeight w:val="237"/>
        </w:trPr>
        <w:tc>
          <w:tcPr>
            <w:tcW w:w="4440" w:type="dxa"/>
            <w:vAlign w:val="bottom"/>
          </w:tcPr>
          <w:p>
            <w:pPr>
              <w:ind w:left="40"/>
              <w:spacing w:after="0"/>
              <w:rPr>
                <w:sz w:val="20"/>
                <w:szCs w:val="20"/>
                <w:color w:val="auto"/>
              </w:rPr>
            </w:pPr>
            <w:r>
              <w:rPr>
                <w:rFonts w:ascii="Arial" w:cs="Arial" w:eastAsia="Arial" w:hAnsi="Arial"/>
                <w:sz w:val="16"/>
                <w:szCs w:val="16"/>
                <w:color w:val="auto"/>
              </w:rPr>
              <w:t>Retail gross profit as a % of net sales</w:t>
            </w:r>
          </w:p>
        </w:tc>
        <w:tc>
          <w:tcPr>
            <w:tcW w:w="3300" w:type="dxa"/>
            <w:vAlign w:val="bottom"/>
          </w:tcPr>
          <w:p>
            <w:pPr>
              <w:jc w:val="right"/>
              <w:ind w:right="619"/>
              <w:spacing w:after="0"/>
              <w:rPr>
                <w:sz w:val="20"/>
                <w:szCs w:val="20"/>
                <w:color w:val="auto"/>
              </w:rPr>
            </w:pPr>
            <w:r>
              <w:rPr>
                <w:rFonts w:ascii="Arial" w:cs="Arial" w:eastAsia="Arial" w:hAnsi="Arial"/>
                <w:sz w:val="16"/>
                <w:szCs w:val="16"/>
                <w:b w:val="1"/>
                <w:bCs w:val="1"/>
                <w:color w:val="auto"/>
              </w:rPr>
              <w:t>34.9%</w:t>
            </w:r>
          </w:p>
        </w:tc>
        <w:tc>
          <w:tcPr>
            <w:tcW w:w="2120" w:type="dxa"/>
            <w:vAlign w:val="bottom"/>
          </w:tcPr>
          <w:p>
            <w:pPr>
              <w:jc w:val="right"/>
              <w:ind w:right="739"/>
              <w:spacing w:after="0"/>
              <w:rPr>
                <w:sz w:val="20"/>
                <w:szCs w:val="20"/>
                <w:color w:val="auto"/>
              </w:rPr>
            </w:pPr>
            <w:r>
              <w:rPr>
                <w:rFonts w:ascii="Arial" w:cs="Arial" w:eastAsia="Arial" w:hAnsi="Arial"/>
                <w:sz w:val="16"/>
                <w:szCs w:val="16"/>
                <w:color w:val="auto"/>
              </w:rPr>
              <w:t>35.0%</w:t>
            </w:r>
          </w:p>
        </w:tc>
        <w:tc>
          <w:tcPr>
            <w:tcW w:w="1560" w:type="dxa"/>
            <w:vAlign w:val="bottom"/>
          </w:tcPr>
          <w:p>
            <w:pPr>
              <w:jc w:val="right"/>
              <w:ind w:right="79"/>
              <w:spacing w:after="0"/>
              <w:rPr>
                <w:sz w:val="20"/>
                <w:szCs w:val="20"/>
                <w:color w:val="auto"/>
              </w:rPr>
            </w:pPr>
            <w:r>
              <w:rPr>
                <w:rFonts w:ascii="Arial" w:cs="Arial" w:eastAsia="Arial" w:hAnsi="Arial"/>
                <w:sz w:val="16"/>
                <w:szCs w:val="16"/>
                <w:color w:val="auto"/>
              </w:rPr>
              <w:t>35.9%</w:t>
            </w:r>
          </w:p>
        </w:tc>
      </w:tr>
      <w:tr>
        <w:trPr>
          <w:trHeight w:val="33"/>
        </w:trPr>
        <w:tc>
          <w:tcPr>
            <w:tcW w:w="4440" w:type="dxa"/>
            <w:vAlign w:val="bottom"/>
          </w:tcPr>
          <w:p>
            <w:pPr>
              <w:spacing w:after="0"/>
              <w:rPr>
                <w:sz w:val="2"/>
                <w:szCs w:val="2"/>
                <w:color w:val="auto"/>
              </w:rPr>
            </w:pPr>
          </w:p>
        </w:tc>
        <w:tc>
          <w:tcPr>
            <w:tcW w:w="330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Ending inventory per square foot</w:t>
            </w:r>
          </w:p>
        </w:tc>
        <w:tc>
          <w:tcPr>
            <w:tcW w:w="330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6"/>
                <w:szCs w:val="16"/>
                <w:b w:val="1"/>
                <w:bCs w:val="1"/>
                <w:color w:val="auto"/>
              </w:rPr>
              <w:t>$63.64</w:t>
            </w:r>
          </w:p>
        </w:tc>
        <w:tc>
          <w:tcPr>
            <w:tcW w:w="212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6"/>
                <w:szCs w:val="16"/>
                <w:color w:val="auto"/>
              </w:rPr>
              <w:t>$67.97</w:t>
            </w:r>
          </w:p>
        </w:tc>
        <w:tc>
          <w:tcPr>
            <w:tcW w:w="156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$64.05</w:t>
            </w:r>
          </w:p>
        </w:tc>
      </w:tr>
      <w:tr>
        <w:trPr>
          <w:trHeight w:val="237"/>
        </w:trPr>
        <w:tc>
          <w:tcPr>
            <w:tcW w:w="4440" w:type="dxa"/>
            <w:vAlign w:val="bottom"/>
          </w:tcPr>
          <w:p>
            <w:pPr>
              <w:ind w:left="40"/>
              <w:spacing w:after="0"/>
              <w:rPr>
                <w:sz w:val="20"/>
                <w:szCs w:val="20"/>
                <w:color w:val="auto"/>
              </w:rPr>
            </w:pPr>
            <w:r>
              <w:rPr>
                <w:rFonts w:ascii="Arial" w:cs="Arial" w:eastAsia="Arial" w:hAnsi="Arial"/>
                <w:sz w:val="16"/>
                <w:szCs w:val="16"/>
                <w:color w:val="auto"/>
              </w:rPr>
              <w:t>Inventory turnover rate</w:t>
            </w:r>
          </w:p>
        </w:tc>
        <w:tc>
          <w:tcPr>
            <w:tcW w:w="3300" w:type="dxa"/>
            <w:vAlign w:val="bottom"/>
          </w:tcPr>
          <w:p>
            <w:pPr>
              <w:jc w:val="right"/>
              <w:ind w:right="799"/>
              <w:spacing w:after="0"/>
              <w:rPr>
                <w:sz w:val="20"/>
                <w:szCs w:val="20"/>
                <w:color w:val="auto"/>
              </w:rPr>
            </w:pPr>
            <w:r>
              <w:rPr>
                <w:rFonts w:ascii="Arial" w:cs="Arial" w:eastAsia="Arial" w:hAnsi="Arial"/>
                <w:sz w:val="16"/>
                <w:szCs w:val="16"/>
                <w:b w:val="1"/>
                <w:bCs w:val="1"/>
                <w:color w:val="auto"/>
              </w:rPr>
              <w:t>4.53</w:t>
            </w:r>
          </w:p>
        </w:tc>
        <w:tc>
          <w:tcPr>
            <w:tcW w:w="2120" w:type="dxa"/>
            <w:vAlign w:val="bottom"/>
          </w:tcPr>
          <w:p>
            <w:pPr>
              <w:jc w:val="right"/>
              <w:ind w:right="879"/>
              <w:spacing w:after="0"/>
              <w:rPr>
                <w:sz w:val="20"/>
                <w:szCs w:val="20"/>
                <w:color w:val="auto"/>
              </w:rPr>
            </w:pPr>
            <w:r>
              <w:rPr>
                <w:rFonts w:ascii="Arial" w:cs="Arial" w:eastAsia="Arial" w:hAnsi="Arial"/>
                <w:sz w:val="16"/>
                <w:szCs w:val="16"/>
                <w:color w:val="auto"/>
              </w:rPr>
              <w:t>4.54</w:t>
            </w:r>
          </w:p>
        </w:tc>
        <w:tc>
          <w:tcPr>
            <w:tcW w:w="1560" w:type="dxa"/>
            <w:vAlign w:val="bottom"/>
          </w:tcPr>
          <w:p>
            <w:pPr>
              <w:jc w:val="right"/>
              <w:ind w:right="219"/>
              <w:spacing w:after="0"/>
              <w:rPr>
                <w:sz w:val="20"/>
                <w:szCs w:val="20"/>
                <w:color w:val="auto"/>
              </w:rPr>
            </w:pPr>
            <w:r>
              <w:rPr>
                <w:rFonts w:ascii="Arial" w:cs="Arial" w:eastAsia="Arial" w:hAnsi="Arial"/>
                <w:sz w:val="16"/>
                <w:szCs w:val="16"/>
                <w:color w:val="auto"/>
              </w:rPr>
              <w:t>4.67</w:t>
            </w:r>
          </w:p>
        </w:tc>
      </w:tr>
      <w:tr>
        <w:trPr>
          <w:trHeight w:val="33"/>
        </w:trPr>
        <w:tc>
          <w:tcPr>
            <w:tcW w:w="4440" w:type="dxa"/>
            <w:vAlign w:val="bottom"/>
            <w:tcBorders>
              <w:bottom w:val="single" w:sz="8" w:color="auto"/>
            </w:tcBorders>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Gross Profit (2016 vs. 2015)</w:t>
      </w:r>
    </w:p>
    <w:p>
      <w:pPr>
        <w:spacing w:after="0" w:line="23"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Our Retail GP rate was relatively flat compared with 2015, reflecting higher occupancy costs associated with Nordstrom Rack and Canada store growth, in addition to increased markdowns in the first half of the year to realign inventory to sales trends. This was offset by strong inventory execution during the remainder of the year and reduced competitive markdowns. Our ending inventory per square foot decrease of 6.4% in 2016 reflected this strong inventory execution.</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Gross Profit (2015 vs. 2014)</w:t>
      </w:r>
    </w:p>
    <w:p>
      <w:pPr>
        <w:spacing w:after="0" w:line="23" w:lineRule="exact"/>
        <w:rPr>
          <w:sz w:val="20"/>
          <w:szCs w:val="20"/>
          <w:color w:val="auto"/>
        </w:rPr>
      </w:pPr>
    </w:p>
    <w:p>
      <w:pPr>
        <w:ind w:right="280"/>
        <w:spacing w:after="0" w:line="255" w:lineRule="auto"/>
        <w:rPr>
          <w:sz w:val="20"/>
          <w:szCs w:val="20"/>
          <w:color w:val="auto"/>
        </w:rPr>
      </w:pPr>
      <w:r>
        <w:rPr>
          <w:rFonts w:ascii="Arial" w:cs="Arial" w:eastAsia="Arial" w:hAnsi="Arial"/>
          <w:sz w:val="18"/>
          <w:szCs w:val="18"/>
          <w:color w:val="auto"/>
        </w:rPr>
        <w:t>Our Retail GP rate decreased 92 basis points compared with 2014 primarily due to higher cost of sales driven by increased markdowns from lower than planned sales and in response to an elevated promotional environment during the second half of the year. Retail GP increased $225 in 2015 compared with 2014 due to an increase in net sales, partially offset by increased markdowns.</w:t>
      </w:r>
    </w:p>
    <w:p>
      <w:pPr>
        <w:spacing w:after="0" w:line="136"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Our inventory turnover rate decreased to 4.54 in 2015 due to softer sales trends experienced during the second half of the year. Our ending inventory per square foot increased 6.1% in 2015, which outpaced our sales per square foot increase of 2.9%. The growth of our online channels contributed to increases in inventory without corresponding increases in square footage.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Retail Business Selling, General and Administrative Expenses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Retail Business selling, general and administrative expenses (“Retail SG&amp;A”) are summarized in the following table: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360" w:type="dxa"/>
            <w:vAlign w:val="bottom"/>
          </w:tcPr>
          <w:p>
            <w:pPr>
              <w:ind w:left="40"/>
              <w:spacing w:after="0"/>
              <w:rPr>
                <w:sz w:val="20"/>
                <w:szCs w:val="20"/>
                <w:color w:val="auto"/>
              </w:rPr>
            </w:pPr>
            <w:r>
              <w:rPr>
                <w:rFonts w:ascii="Arial" w:cs="Arial" w:eastAsia="Arial" w:hAnsi="Arial"/>
                <w:sz w:val="16"/>
                <w:szCs w:val="16"/>
                <w:b w:val="1"/>
                <w:bCs w:val="1"/>
                <w:color w:val="auto"/>
              </w:rPr>
              <w:t>Fiscal year</w:t>
            </w:r>
          </w:p>
        </w:tc>
        <w:tc>
          <w:tcPr>
            <w:tcW w:w="2540" w:type="dxa"/>
            <w:vAlign w:val="bottom"/>
          </w:tcPr>
          <w:p>
            <w:pPr>
              <w:jc w:val="right"/>
              <w:ind w:right="799"/>
              <w:spacing w:after="0"/>
              <w:rPr>
                <w:sz w:val="20"/>
                <w:szCs w:val="20"/>
                <w:color w:val="auto"/>
              </w:rPr>
            </w:pPr>
            <w:r>
              <w:rPr>
                <w:rFonts w:ascii="Arial" w:cs="Arial" w:eastAsia="Arial" w:hAnsi="Arial"/>
                <w:sz w:val="16"/>
                <w:szCs w:val="16"/>
                <w:b w:val="1"/>
                <w:bCs w:val="1"/>
                <w:color w:val="auto"/>
              </w:rPr>
              <w:t>2016</w:t>
            </w:r>
          </w:p>
        </w:tc>
        <w:tc>
          <w:tcPr>
            <w:tcW w:w="2040" w:type="dxa"/>
            <w:vAlign w:val="bottom"/>
          </w:tcPr>
          <w:p>
            <w:pPr>
              <w:jc w:val="right"/>
              <w:ind w:right="779"/>
              <w:spacing w:after="0"/>
              <w:rPr>
                <w:sz w:val="20"/>
                <w:szCs w:val="20"/>
                <w:color w:val="auto"/>
              </w:rPr>
            </w:pPr>
            <w:r>
              <w:rPr>
                <w:rFonts w:ascii="Arial" w:cs="Arial" w:eastAsia="Arial" w:hAnsi="Arial"/>
                <w:sz w:val="16"/>
                <w:szCs w:val="16"/>
                <w:b w:val="1"/>
                <w:bCs w:val="1"/>
                <w:color w:val="auto"/>
              </w:rPr>
              <w:t>2015</w:t>
            </w:r>
          </w:p>
        </w:tc>
        <w:tc>
          <w:tcPr>
            <w:tcW w:w="1480" w:type="dxa"/>
            <w:vAlign w:val="bottom"/>
          </w:tcPr>
          <w:p>
            <w:pPr>
              <w:jc w:val="right"/>
              <w:ind w:right="219"/>
              <w:spacing w:after="0"/>
              <w:rPr>
                <w:sz w:val="20"/>
                <w:szCs w:val="20"/>
                <w:color w:val="auto"/>
              </w:rPr>
            </w:pPr>
            <w:r>
              <w:rPr>
                <w:rFonts w:ascii="Arial" w:cs="Arial" w:eastAsia="Arial" w:hAnsi="Arial"/>
                <w:sz w:val="16"/>
                <w:szCs w:val="16"/>
                <w:b w:val="1"/>
                <w:bCs w:val="1"/>
                <w:color w:val="auto"/>
              </w:rPr>
              <w:t>2014</w:t>
            </w:r>
          </w:p>
        </w:tc>
      </w:tr>
      <w:tr>
        <w:trPr>
          <w:trHeight w:val="33"/>
        </w:trPr>
        <w:tc>
          <w:tcPr>
            <w:tcW w:w="536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Selling, general and administrative expenses</w:t>
            </w:r>
          </w:p>
        </w:tc>
        <w:tc>
          <w:tcPr>
            <w:tcW w:w="254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6"/>
                <w:szCs w:val="16"/>
                <w:b w:val="1"/>
                <w:bCs w:val="1"/>
                <w:color w:val="auto"/>
              </w:rPr>
              <w:t>$4,159</w:t>
            </w:r>
          </w:p>
        </w:tc>
        <w:tc>
          <w:tcPr>
            <w:tcW w:w="204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6"/>
                <w:szCs w:val="16"/>
                <w:color w:val="auto"/>
              </w:rPr>
              <w:t>$4,016</w:t>
            </w:r>
          </w:p>
        </w:tc>
        <w:tc>
          <w:tcPr>
            <w:tcW w:w="148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$3,588</w:t>
            </w:r>
          </w:p>
        </w:tc>
      </w:tr>
      <w:tr>
        <w:trPr>
          <w:trHeight w:val="237"/>
        </w:trPr>
        <w:tc>
          <w:tcPr>
            <w:tcW w:w="5360" w:type="dxa"/>
            <w:vAlign w:val="bottom"/>
          </w:tcPr>
          <w:p>
            <w:pPr>
              <w:ind w:left="40"/>
              <w:spacing w:after="0"/>
              <w:rPr>
                <w:sz w:val="20"/>
                <w:szCs w:val="20"/>
                <w:color w:val="auto"/>
              </w:rPr>
            </w:pPr>
            <w:r>
              <w:rPr>
                <w:rFonts w:ascii="Arial" w:cs="Arial" w:eastAsia="Arial" w:hAnsi="Arial"/>
                <w:sz w:val="16"/>
                <w:szCs w:val="16"/>
                <w:color w:val="auto"/>
              </w:rPr>
              <w:t>Selling, general and administrative expenses as a % of net sales</w:t>
            </w:r>
          </w:p>
        </w:tc>
        <w:tc>
          <w:tcPr>
            <w:tcW w:w="2540" w:type="dxa"/>
            <w:vAlign w:val="bottom"/>
          </w:tcPr>
          <w:p>
            <w:pPr>
              <w:jc w:val="right"/>
              <w:ind w:right="639"/>
              <w:spacing w:after="0"/>
              <w:rPr>
                <w:sz w:val="20"/>
                <w:szCs w:val="20"/>
                <w:color w:val="auto"/>
              </w:rPr>
            </w:pPr>
            <w:r>
              <w:rPr>
                <w:rFonts w:ascii="Arial" w:cs="Arial" w:eastAsia="Arial" w:hAnsi="Arial"/>
                <w:sz w:val="16"/>
                <w:szCs w:val="16"/>
                <w:b w:val="1"/>
                <w:bCs w:val="1"/>
                <w:color w:val="auto"/>
              </w:rPr>
              <w:t>28.7%</w:t>
            </w:r>
          </w:p>
        </w:tc>
        <w:tc>
          <w:tcPr>
            <w:tcW w:w="2040" w:type="dxa"/>
            <w:vAlign w:val="bottom"/>
          </w:tcPr>
          <w:p>
            <w:pPr>
              <w:jc w:val="right"/>
              <w:ind w:right="639"/>
              <w:spacing w:after="0"/>
              <w:rPr>
                <w:sz w:val="20"/>
                <w:szCs w:val="20"/>
                <w:color w:val="auto"/>
              </w:rPr>
            </w:pPr>
            <w:r>
              <w:rPr>
                <w:rFonts w:ascii="Arial" w:cs="Arial" w:eastAsia="Arial" w:hAnsi="Arial"/>
                <w:sz w:val="16"/>
                <w:szCs w:val="16"/>
                <w:color w:val="auto"/>
              </w:rPr>
              <w:t>28.5%</w:t>
            </w:r>
          </w:p>
        </w:tc>
        <w:tc>
          <w:tcPr>
            <w:tcW w:w="1480" w:type="dxa"/>
            <w:vAlign w:val="bottom"/>
          </w:tcPr>
          <w:p>
            <w:pPr>
              <w:jc w:val="right"/>
              <w:ind w:right="79"/>
              <w:spacing w:after="0"/>
              <w:rPr>
                <w:sz w:val="20"/>
                <w:szCs w:val="20"/>
                <w:color w:val="auto"/>
              </w:rPr>
            </w:pPr>
            <w:r>
              <w:rPr>
                <w:rFonts w:ascii="Arial" w:cs="Arial" w:eastAsia="Arial" w:hAnsi="Arial"/>
                <w:sz w:val="16"/>
                <w:szCs w:val="16"/>
                <w:color w:val="auto"/>
              </w:rPr>
              <w:t>27.4%</w:t>
            </w:r>
          </w:p>
        </w:tc>
      </w:tr>
      <w:tr>
        <w:trPr>
          <w:trHeight w:val="33"/>
        </w:trPr>
        <w:tc>
          <w:tcPr>
            <w:tcW w:w="536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Selling, General and Administrative Expenses (2016 vs. 2015)</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Our Retail SG&amp;A rate increased 19 basis points in 2016 and increased $143 compared with 2015 primarily due to technology and fulfillment expenses.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Selling, General and Administrative Expenses (2015 vs. 2014)</w:t>
      </w:r>
    </w:p>
    <w:p>
      <w:pPr>
        <w:spacing w:after="0" w:line="23" w:lineRule="exact"/>
        <w:rPr>
          <w:sz w:val="20"/>
          <w:szCs w:val="20"/>
          <w:color w:val="auto"/>
        </w:rPr>
      </w:pPr>
    </w:p>
    <w:p>
      <w:pPr>
        <w:jc w:val="both"/>
        <w:ind w:right="120"/>
        <w:spacing w:after="0" w:line="277" w:lineRule="auto"/>
        <w:rPr>
          <w:sz w:val="20"/>
          <w:szCs w:val="20"/>
          <w:color w:val="auto"/>
        </w:rPr>
      </w:pPr>
      <w:r>
        <w:rPr>
          <w:rFonts w:ascii="Arial" w:cs="Arial" w:eastAsia="Arial" w:hAnsi="Arial"/>
          <w:sz w:val="17"/>
          <w:szCs w:val="17"/>
          <w:color w:val="auto"/>
        </w:rPr>
        <w:t>Our Retail SG&amp;A rate increased 112 basis points in 2015 compared with 2014 due to growth initiatives related to Trunk Club and Canada, higher fulfillment costs supporting online growth and asset impairment charges (see Note 1: Nature of Operations and Summary of Significant Accounting Policies in Item 8). Our Retail SG&amp;A increased $428 in 2015 due primarily to increased sales and growth initiatives related to Canada and Trunk Club.</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Retail Business Goodwill Impairment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We recognized a goodwill impairment charge of $197 in 2016 related to Trunk Club (see Note 8: Fair Value Measurements in Item 8).</w:t>
      </w:r>
    </w:p>
    <w:p>
      <w:pPr>
        <w:spacing w:after="0" w:line="200" w:lineRule="exact"/>
        <w:rPr>
          <w:sz w:val="20"/>
          <w:szCs w:val="20"/>
          <w:color w:val="auto"/>
        </w:rPr>
      </w:pPr>
    </w:p>
    <w:p>
      <w:pPr>
        <w:spacing w:after="0" w:line="204" w:lineRule="exact"/>
        <w:rPr>
          <w:sz w:val="20"/>
          <w:szCs w:val="20"/>
          <w:color w:val="auto"/>
        </w:rPr>
      </w:pPr>
    </w:p>
    <w:p>
      <w:pPr>
        <w:jc w:val="right"/>
        <w:spacing w:after="0"/>
        <w:rPr>
          <w:sz w:val="20"/>
          <w:szCs w:val="20"/>
          <w:color w:val="auto"/>
        </w:rPr>
      </w:pPr>
      <w:r>
        <w:rPr>
          <w:rFonts w:ascii="Arial" w:cs="Arial" w:eastAsia="Arial" w:hAnsi="Arial"/>
          <w:sz w:val="13"/>
          <w:szCs w:val="13"/>
          <w:color w:val="auto"/>
        </w:rPr>
        <w:t xml:space="preserve">Nordstrom, Inc. and subsidiaries </w:t>
      </w:r>
      <w:r>
        <w:rPr>
          <w:rFonts w:ascii="Arial" w:cs="Arial" w:eastAsia="Arial" w:hAnsi="Arial"/>
          <w:sz w:val="16"/>
          <w:szCs w:val="16"/>
          <w:color w:val="auto"/>
        </w:rPr>
        <w:t>21</w:t>
      </w:r>
    </w:p>
    <w:p>
      <w:pPr>
        <w:sectPr>
          <w:pgSz w:w="11900" w:h="16838" w:orient="portrait"/>
          <w:cols w:equalWidth="0" w:num="1">
            <w:col w:w="11420"/>
          </w:cols>
          <w:pgMar w:left="240" w:top="126" w:right="239" w:bottom="1440" w:gutter="0" w:footer="0" w:header="0"/>
        </w:sectPr>
      </w:pPr>
    </w:p>
    <w:bookmarkStart w:id="21" w:name="page22"/>
    <w:bookmarkEnd w:id="21"/>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color w:val="auto"/>
        </w:rPr>
        <w:t>CREDIT SEGMENT</w:t>
      </w:r>
    </w:p>
    <w:p>
      <w:pPr>
        <w:spacing w:after="0" w:line="23"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The Nordstrom credit and debit card products are designed to strengthen customer relationships and grow retail sales by providing loyalty benefits, valuable services and payment products. We believe our credit business allows us to build deeper relationships with our customers by fully integrating the Nordstrom Rewards program with our retail business and providing better service, which in turn fosters greater customer loyalty. Nordstrom cardholders tend to visit our stores more frequently and spend more than non-cardholders. Nordstrom private label credit and debit cards can be used at all of our U.S. retail channels, while Nordstrom Visa credit cards also may be used for purchases outside of Nordstrom (“outside volume”).</w:t>
      </w:r>
    </w:p>
    <w:p>
      <w:pPr>
        <w:spacing w:after="0" w:line="125"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In October 2015, we completed the sale of a substantial majority of our U.S. Visa and private label credit card portfolio to TD (see Note 2: Credit Card Receivable Transaction in Item 8).</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provides a detailed view of the operational results of our Credit segment, consistent with Note 15: Segment Reporting in Item 8:</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940" w:type="dxa"/>
            <w:vAlign w:val="bottom"/>
          </w:tcPr>
          <w:p>
            <w:pPr>
              <w:ind w:left="40"/>
              <w:spacing w:after="0"/>
              <w:rPr>
                <w:sz w:val="20"/>
                <w:szCs w:val="20"/>
                <w:color w:val="auto"/>
              </w:rPr>
            </w:pPr>
            <w:r>
              <w:rPr>
                <w:rFonts w:ascii="Arial" w:cs="Arial" w:eastAsia="Arial" w:hAnsi="Arial"/>
                <w:sz w:val="16"/>
                <w:szCs w:val="16"/>
                <w:b w:val="1"/>
                <w:bCs w:val="1"/>
                <w:color w:val="auto"/>
              </w:rPr>
              <w:t>Fiscal year</w:t>
            </w:r>
          </w:p>
        </w:tc>
        <w:tc>
          <w:tcPr>
            <w:tcW w:w="3260" w:type="dxa"/>
            <w:vAlign w:val="bottom"/>
          </w:tcPr>
          <w:p>
            <w:pPr>
              <w:jc w:val="right"/>
              <w:ind w:right="659"/>
              <w:spacing w:after="0"/>
              <w:rPr>
                <w:sz w:val="20"/>
                <w:szCs w:val="20"/>
                <w:color w:val="auto"/>
              </w:rPr>
            </w:pPr>
            <w:r>
              <w:rPr>
                <w:rFonts w:ascii="Arial" w:cs="Arial" w:eastAsia="Arial" w:hAnsi="Arial"/>
                <w:sz w:val="16"/>
                <w:szCs w:val="16"/>
                <w:b w:val="1"/>
                <w:bCs w:val="1"/>
                <w:color w:val="auto"/>
              </w:rPr>
              <w:t>2016</w:t>
            </w:r>
          </w:p>
        </w:tc>
        <w:tc>
          <w:tcPr>
            <w:tcW w:w="1960" w:type="dxa"/>
            <w:vAlign w:val="bottom"/>
          </w:tcPr>
          <w:p>
            <w:pPr>
              <w:jc w:val="right"/>
              <w:ind w:right="679"/>
              <w:spacing w:after="0"/>
              <w:rPr>
                <w:sz w:val="20"/>
                <w:szCs w:val="20"/>
                <w:color w:val="auto"/>
              </w:rPr>
            </w:pPr>
            <w:r>
              <w:rPr>
                <w:rFonts w:ascii="Arial" w:cs="Arial" w:eastAsia="Arial" w:hAnsi="Arial"/>
                <w:sz w:val="16"/>
                <w:szCs w:val="16"/>
                <w:b w:val="1"/>
                <w:bCs w:val="1"/>
                <w:color w:val="auto"/>
              </w:rPr>
              <w:t>2015</w:t>
            </w:r>
          </w:p>
        </w:tc>
        <w:tc>
          <w:tcPr>
            <w:tcW w:w="1260" w:type="dxa"/>
            <w:vAlign w:val="bottom"/>
          </w:tcPr>
          <w:p>
            <w:pPr>
              <w:jc w:val="right"/>
              <w:ind w:right="19"/>
              <w:spacing w:after="0"/>
              <w:rPr>
                <w:sz w:val="20"/>
                <w:szCs w:val="20"/>
                <w:color w:val="auto"/>
              </w:rPr>
            </w:pPr>
            <w:r>
              <w:rPr>
                <w:rFonts w:ascii="Arial" w:cs="Arial" w:eastAsia="Arial" w:hAnsi="Arial"/>
                <w:sz w:val="16"/>
                <w:szCs w:val="16"/>
                <w:b w:val="1"/>
                <w:bCs w:val="1"/>
                <w:color w:val="auto"/>
              </w:rPr>
              <w:t>2014</w:t>
            </w:r>
          </w:p>
        </w:tc>
      </w:tr>
      <w:tr>
        <w:trPr>
          <w:trHeight w:val="33"/>
        </w:trPr>
        <w:tc>
          <w:tcPr>
            <w:tcW w:w="4940" w:type="dxa"/>
            <w:vAlign w:val="bottom"/>
            <w:tcBorders>
              <w:bottom w:val="single" w:sz="8" w:color="auto"/>
            </w:tcBorders>
          </w:tcPr>
          <w:p>
            <w:pPr>
              <w:spacing w:after="0"/>
              <w:rPr>
                <w:sz w:val="2"/>
                <w:szCs w:val="2"/>
                <w:color w:val="auto"/>
              </w:rPr>
            </w:pPr>
          </w:p>
        </w:tc>
        <w:tc>
          <w:tcPr>
            <w:tcW w:w="32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Credit card revenues, net</w:t>
            </w:r>
          </w:p>
        </w:tc>
        <w:tc>
          <w:tcPr>
            <w:tcW w:w="3260" w:type="dxa"/>
            <w:vAlign w:val="bottom"/>
            <w:tcBorders>
              <w:bottom w:val="single" w:sz="8" w:color="CCEEFF"/>
            </w:tcBorders>
            <w:shd w:val="clear" w:color="auto" w:fill="CCEEFF"/>
          </w:tcPr>
          <w:p>
            <w:pPr>
              <w:jc w:val="right"/>
              <w:ind w:right="659"/>
              <w:spacing w:after="0"/>
              <w:rPr>
                <w:sz w:val="20"/>
                <w:szCs w:val="20"/>
                <w:color w:val="auto"/>
              </w:rPr>
            </w:pPr>
            <w:r>
              <w:rPr>
                <w:rFonts w:ascii="Arial" w:cs="Arial" w:eastAsia="Arial" w:hAnsi="Arial"/>
                <w:sz w:val="16"/>
                <w:szCs w:val="16"/>
                <w:b w:val="1"/>
                <w:bCs w:val="1"/>
                <w:color w:val="auto"/>
              </w:rPr>
              <w:t>$259</w:t>
            </w:r>
          </w:p>
        </w:tc>
        <w:tc>
          <w:tcPr>
            <w:tcW w:w="1960" w:type="dxa"/>
            <w:vAlign w:val="bottom"/>
            <w:tcBorders>
              <w:bottom w:val="single" w:sz="8" w:color="CCEEFF"/>
            </w:tcBorders>
            <w:shd w:val="clear" w:color="auto" w:fill="CCEEFF"/>
          </w:tcPr>
          <w:p>
            <w:pPr>
              <w:jc w:val="right"/>
              <w:ind w:right="679"/>
              <w:spacing w:after="0"/>
              <w:rPr>
                <w:sz w:val="20"/>
                <w:szCs w:val="20"/>
                <w:color w:val="auto"/>
              </w:rPr>
            </w:pPr>
            <w:r>
              <w:rPr>
                <w:rFonts w:ascii="Arial" w:cs="Arial" w:eastAsia="Arial" w:hAnsi="Arial"/>
                <w:sz w:val="16"/>
                <w:szCs w:val="16"/>
                <w:color w:val="auto"/>
              </w:rPr>
              <w:t>$342</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$396</w:t>
            </w:r>
          </w:p>
        </w:tc>
      </w:tr>
      <w:tr>
        <w:trPr>
          <w:trHeight w:val="237"/>
        </w:trPr>
        <w:tc>
          <w:tcPr>
            <w:tcW w:w="4940" w:type="dxa"/>
            <w:vAlign w:val="bottom"/>
          </w:tcPr>
          <w:p>
            <w:pPr>
              <w:ind w:left="40"/>
              <w:spacing w:after="0"/>
              <w:rPr>
                <w:sz w:val="20"/>
                <w:szCs w:val="20"/>
                <w:color w:val="auto"/>
              </w:rPr>
            </w:pPr>
            <w:r>
              <w:rPr>
                <w:rFonts w:ascii="Arial" w:cs="Arial" w:eastAsia="Arial" w:hAnsi="Arial"/>
                <w:sz w:val="16"/>
                <w:szCs w:val="16"/>
                <w:color w:val="auto"/>
              </w:rPr>
              <w:t>Credit expenses</w:t>
            </w:r>
          </w:p>
        </w:tc>
        <w:tc>
          <w:tcPr>
            <w:tcW w:w="3260" w:type="dxa"/>
            <w:vAlign w:val="bottom"/>
          </w:tcPr>
          <w:p>
            <w:pPr>
              <w:jc w:val="right"/>
              <w:ind w:right="599"/>
              <w:spacing w:after="0"/>
              <w:rPr>
                <w:sz w:val="20"/>
                <w:szCs w:val="20"/>
                <w:color w:val="auto"/>
              </w:rPr>
            </w:pPr>
            <w:r>
              <w:rPr>
                <w:rFonts w:ascii="Arial" w:cs="Arial" w:eastAsia="Arial" w:hAnsi="Arial"/>
                <w:sz w:val="16"/>
                <w:szCs w:val="16"/>
                <w:b w:val="1"/>
                <w:bCs w:val="1"/>
                <w:color w:val="auto"/>
              </w:rPr>
              <w:t>(162)</w:t>
            </w:r>
          </w:p>
        </w:tc>
        <w:tc>
          <w:tcPr>
            <w:tcW w:w="1960" w:type="dxa"/>
            <w:vAlign w:val="bottom"/>
          </w:tcPr>
          <w:p>
            <w:pPr>
              <w:jc w:val="right"/>
              <w:ind w:right="639"/>
              <w:spacing w:after="0"/>
              <w:rPr>
                <w:sz w:val="20"/>
                <w:szCs w:val="20"/>
                <w:color w:val="auto"/>
              </w:rPr>
            </w:pPr>
            <w:r>
              <w:rPr>
                <w:rFonts w:ascii="Arial" w:cs="Arial" w:eastAsia="Arial" w:hAnsi="Arial"/>
                <w:sz w:val="16"/>
                <w:szCs w:val="16"/>
                <w:color w:val="auto"/>
              </w:rPr>
              <w:t>(159)</w:t>
            </w:r>
          </w:p>
        </w:tc>
        <w:tc>
          <w:tcPr>
            <w:tcW w:w="1260" w:type="dxa"/>
            <w:vAlign w:val="bottom"/>
          </w:tcPr>
          <w:p>
            <w:pPr>
              <w:jc w:val="right"/>
              <w:spacing w:after="0"/>
              <w:rPr>
                <w:sz w:val="20"/>
                <w:szCs w:val="20"/>
                <w:color w:val="auto"/>
              </w:rPr>
            </w:pPr>
            <w:r>
              <w:rPr>
                <w:rFonts w:ascii="Arial" w:cs="Arial" w:eastAsia="Arial" w:hAnsi="Arial"/>
                <w:sz w:val="16"/>
                <w:szCs w:val="16"/>
                <w:color w:val="auto"/>
              </w:rPr>
              <w:t>(194)</w:t>
            </w:r>
          </w:p>
        </w:tc>
      </w:tr>
      <w:tr>
        <w:trPr>
          <w:trHeight w:val="33"/>
        </w:trPr>
        <w:tc>
          <w:tcPr>
            <w:tcW w:w="4940" w:type="dxa"/>
            <w:vAlign w:val="bottom"/>
            <w:tcBorders>
              <w:bottom w:val="single" w:sz="8" w:color="auto"/>
            </w:tcBorders>
          </w:tcPr>
          <w:p>
            <w:pPr>
              <w:spacing w:after="0"/>
              <w:rPr>
                <w:sz w:val="2"/>
                <w:szCs w:val="2"/>
                <w:color w:val="auto"/>
              </w:rPr>
            </w:pPr>
          </w:p>
        </w:tc>
        <w:tc>
          <w:tcPr>
            <w:tcW w:w="32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9"/>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Earnings before interest and income taxes</w:t>
            </w:r>
          </w:p>
        </w:tc>
        <w:tc>
          <w:tcPr>
            <w:tcW w:w="3260" w:type="dxa"/>
            <w:vAlign w:val="bottom"/>
            <w:tcBorders>
              <w:bottom w:val="single" w:sz="8" w:color="CCEEFF"/>
            </w:tcBorders>
            <w:shd w:val="clear" w:color="auto" w:fill="CCEEFF"/>
          </w:tcPr>
          <w:p>
            <w:pPr>
              <w:jc w:val="right"/>
              <w:ind w:right="659"/>
              <w:spacing w:after="0"/>
              <w:rPr>
                <w:sz w:val="20"/>
                <w:szCs w:val="20"/>
                <w:color w:val="auto"/>
              </w:rPr>
            </w:pPr>
            <w:r>
              <w:rPr>
                <w:rFonts w:ascii="Arial" w:cs="Arial" w:eastAsia="Arial" w:hAnsi="Arial"/>
                <w:sz w:val="16"/>
                <w:szCs w:val="16"/>
                <w:b w:val="1"/>
                <w:bCs w:val="1"/>
                <w:color w:val="auto"/>
              </w:rPr>
              <w:t>97</w:t>
            </w:r>
          </w:p>
        </w:tc>
        <w:tc>
          <w:tcPr>
            <w:tcW w:w="1960" w:type="dxa"/>
            <w:vAlign w:val="bottom"/>
            <w:tcBorders>
              <w:bottom w:val="single" w:sz="8" w:color="CCEEFF"/>
            </w:tcBorders>
            <w:shd w:val="clear" w:color="auto" w:fill="CCEEFF"/>
          </w:tcPr>
          <w:p>
            <w:pPr>
              <w:jc w:val="right"/>
              <w:ind w:right="679"/>
              <w:spacing w:after="0"/>
              <w:rPr>
                <w:sz w:val="20"/>
                <w:szCs w:val="20"/>
                <w:color w:val="auto"/>
              </w:rPr>
            </w:pPr>
            <w:r>
              <w:rPr>
                <w:rFonts w:ascii="Arial" w:cs="Arial" w:eastAsia="Arial" w:hAnsi="Arial"/>
                <w:sz w:val="16"/>
                <w:szCs w:val="16"/>
                <w:color w:val="auto"/>
              </w:rPr>
              <w:t>183</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202</w:t>
            </w:r>
          </w:p>
        </w:tc>
      </w:tr>
      <w:tr>
        <w:trPr>
          <w:trHeight w:val="264"/>
        </w:trPr>
        <w:tc>
          <w:tcPr>
            <w:tcW w:w="49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Interest expense</w:t>
            </w:r>
            <w:r>
              <w:rPr>
                <w:rFonts w:ascii="Arial" w:cs="Arial" w:eastAsia="Arial" w:hAnsi="Arial"/>
                <w:sz w:val="21"/>
                <w:szCs w:val="21"/>
                <w:color w:val="auto"/>
                <w:vertAlign w:val="superscript"/>
              </w:rPr>
              <w:t>1</w:t>
            </w:r>
          </w:p>
        </w:tc>
        <w:tc>
          <w:tcPr>
            <w:tcW w:w="3260" w:type="dxa"/>
            <w:vAlign w:val="bottom"/>
            <w:tcBorders>
              <w:top w:val="single" w:sz="8" w:color="auto"/>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w:t>
            </w:r>
          </w:p>
        </w:tc>
        <w:tc>
          <w:tcPr>
            <w:tcW w:w="1960" w:type="dxa"/>
            <w:vAlign w:val="bottom"/>
            <w:tcBorders>
              <w:top w:val="single" w:sz="8" w:color="auto"/>
              <w:bottom w:val="single" w:sz="8" w:color="auto"/>
            </w:tcBorders>
          </w:tcPr>
          <w:p>
            <w:pPr>
              <w:jc w:val="right"/>
              <w:ind w:right="639"/>
              <w:spacing w:after="0"/>
              <w:rPr>
                <w:sz w:val="20"/>
                <w:szCs w:val="20"/>
                <w:color w:val="auto"/>
              </w:rPr>
            </w:pPr>
            <w:r>
              <w:rPr>
                <w:rFonts w:ascii="Arial" w:cs="Arial" w:eastAsia="Arial" w:hAnsi="Arial"/>
                <w:sz w:val="16"/>
                <w:szCs w:val="16"/>
                <w:color w:val="auto"/>
              </w:rPr>
              <w:t>(13)</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w:t>
            </w:r>
          </w:p>
        </w:tc>
      </w:tr>
      <w:tr>
        <w:trPr>
          <w:trHeight w:val="269"/>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Earnings before income taxes</w:t>
            </w:r>
          </w:p>
        </w:tc>
        <w:tc>
          <w:tcPr>
            <w:tcW w:w="3260" w:type="dxa"/>
            <w:vAlign w:val="bottom"/>
            <w:tcBorders>
              <w:bottom w:val="single" w:sz="8" w:color="CCEEFF"/>
            </w:tcBorders>
            <w:shd w:val="clear" w:color="auto" w:fill="CCEEFF"/>
          </w:tcPr>
          <w:p>
            <w:pPr>
              <w:jc w:val="right"/>
              <w:ind w:right="659"/>
              <w:spacing w:after="0"/>
              <w:rPr>
                <w:sz w:val="20"/>
                <w:szCs w:val="20"/>
                <w:color w:val="auto"/>
              </w:rPr>
            </w:pPr>
            <w:r>
              <w:rPr>
                <w:rFonts w:ascii="Arial" w:cs="Arial" w:eastAsia="Arial" w:hAnsi="Arial"/>
                <w:sz w:val="16"/>
                <w:szCs w:val="16"/>
                <w:b w:val="1"/>
                <w:bCs w:val="1"/>
                <w:color w:val="auto"/>
              </w:rPr>
              <w:t>$97</w:t>
            </w:r>
          </w:p>
        </w:tc>
        <w:tc>
          <w:tcPr>
            <w:tcW w:w="1960" w:type="dxa"/>
            <w:vAlign w:val="bottom"/>
            <w:tcBorders>
              <w:bottom w:val="single" w:sz="8" w:color="CCEEFF"/>
            </w:tcBorders>
            <w:shd w:val="clear" w:color="auto" w:fill="CCEEFF"/>
          </w:tcPr>
          <w:p>
            <w:pPr>
              <w:jc w:val="right"/>
              <w:ind w:right="679"/>
              <w:spacing w:after="0"/>
              <w:rPr>
                <w:sz w:val="20"/>
                <w:szCs w:val="20"/>
                <w:color w:val="auto"/>
              </w:rPr>
            </w:pPr>
            <w:r>
              <w:rPr>
                <w:rFonts w:ascii="Arial" w:cs="Arial" w:eastAsia="Arial" w:hAnsi="Arial"/>
                <w:sz w:val="16"/>
                <w:szCs w:val="16"/>
                <w:color w:val="auto"/>
              </w:rPr>
              <w:t>$170</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$184</w:t>
            </w:r>
          </w:p>
        </w:tc>
      </w:tr>
      <w:tr>
        <w:trPr>
          <w:trHeight w:val="291"/>
        </w:trPr>
        <w:tc>
          <w:tcPr>
            <w:tcW w:w="4940" w:type="dxa"/>
            <w:vAlign w:val="bottom"/>
            <w:tcBorders>
              <w:top w:val="single" w:sz="8" w:color="auto"/>
            </w:tcBorders>
          </w:tcPr>
          <w:p>
            <w:pPr>
              <w:spacing w:after="0"/>
              <w:rPr>
                <w:sz w:val="24"/>
                <w:szCs w:val="24"/>
                <w:color w:val="auto"/>
              </w:rPr>
            </w:pPr>
          </w:p>
        </w:tc>
        <w:tc>
          <w:tcPr>
            <w:tcW w:w="3260" w:type="dxa"/>
            <w:vAlign w:val="bottom"/>
            <w:tcBorders>
              <w:top w:val="single" w:sz="8" w:color="auto"/>
            </w:tcBorders>
          </w:tcPr>
          <w:p>
            <w:pPr>
              <w:spacing w:after="0"/>
              <w:rPr>
                <w:sz w:val="24"/>
                <w:szCs w:val="24"/>
                <w:color w:val="auto"/>
              </w:rPr>
            </w:pPr>
          </w:p>
        </w:tc>
        <w:tc>
          <w:tcPr>
            <w:tcW w:w="196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r>
      <w:tr>
        <w:trPr>
          <w:trHeight w:val="270"/>
        </w:trPr>
        <w:tc>
          <w:tcPr>
            <w:tcW w:w="4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Credit and debit card volume</w:t>
            </w:r>
            <w:r>
              <w:rPr>
                <w:rFonts w:ascii="Arial" w:cs="Arial" w:eastAsia="Arial" w:hAnsi="Arial"/>
                <w:sz w:val="21"/>
                <w:szCs w:val="21"/>
                <w:color w:val="auto"/>
                <w:vertAlign w:val="superscript"/>
              </w:rPr>
              <w:t>2</w:t>
            </w:r>
            <w:r>
              <w:rPr>
                <w:rFonts w:ascii="Arial" w:cs="Arial" w:eastAsia="Arial" w:hAnsi="Arial"/>
                <w:sz w:val="16"/>
                <w:szCs w:val="16"/>
                <w:color w:val="auto"/>
              </w:rPr>
              <w:t>:</w:t>
            </w:r>
          </w:p>
        </w:tc>
        <w:tc>
          <w:tcPr>
            <w:tcW w:w="3260" w:type="dxa"/>
            <w:vAlign w:val="bottom"/>
            <w:shd w:val="clear" w:color="auto" w:fill="CCEEFF"/>
          </w:tcPr>
          <w:p>
            <w:pPr>
              <w:spacing w:after="0"/>
              <w:rPr>
                <w:sz w:val="23"/>
                <w:szCs w:val="23"/>
                <w:color w:val="auto"/>
              </w:rPr>
            </w:pPr>
          </w:p>
        </w:tc>
        <w:tc>
          <w:tcPr>
            <w:tcW w:w="196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r>
      <w:tr>
        <w:trPr>
          <w:trHeight w:val="237"/>
        </w:trPr>
        <w:tc>
          <w:tcPr>
            <w:tcW w:w="4940" w:type="dxa"/>
            <w:vAlign w:val="bottom"/>
          </w:tcPr>
          <w:p>
            <w:pPr>
              <w:ind w:left="180"/>
              <w:spacing w:after="0"/>
              <w:rPr>
                <w:sz w:val="20"/>
                <w:szCs w:val="20"/>
                <w:color w:val="auto"/>
              </w:rPr>
            </w:pPr>
            <w:r>
              <w:rPr>
                <w:rFonts w:ascii="Arial" w:cs="Arial" w:eastAsia="Arial" w:hAnsi="Arial"/>
                <w:sz w:val="16"/>
                <w:szCs w:val="16"/>
                <w:color w:val="auto"/>
              </w:rPr>
              <w:t>Outside</w:t>
            </w:r>
          </w:p>
        </w:tc>
        <w:tc>
          <w:tcPr>
            <w:tcW w:w="3260" w:type="dxa"/>
            <w:vAlign w:val="bottom"/>
          </w:tcPr>
          <w:p>
            <w:pPr>
              <w:jc w:val="right"/>
              <w:ind w:right="659"/>
              <w:spacing w:after="0"/>
              <w:rPr>
                <w:sz w:val="20"/>
                <w:szCs w:val="20"/>
                <w:color w:val="auto"/>
              </w:rPr>
            </w:pPr>
            <w:r>
              <w:rPr>
                <w:rFonts w:ascii="Arial" w:cs="Arial" w:eastAsia="Arial" w:hAnsi="Arial"/>
                <w:sz w:val="16"/>
                <w:szCs w:val="16"/>
                <w:b w:val="1"/>
                <w:bCs w:val="1"/>
                <w:color w:val="auto"/>
              </w:rPr>
              <w:t>$4,160</w:t>
            </w:r>
          </w:p>
        </w:tc>
        <w:tc>
          <w:tcPr>
            <w:tcW w:w="1960" w:type="dxa"/>
            <w:vAlign w:val="bottom"/>
          </w:tcPr>
          <w:p>
            <w:pPr>
              <w:jc w:val="right"/>
              <w:ind w:right="679"/>
              <w:spacing w:after="0"/>
              <w:rPr>
                <w:sz w:val="20"/>
                <w:szCs w:val="20"/>
                <w:color w:val="auto"/>
              </w:rPr>
            </w:pPr>
            <w:r>
              <w:rPr>
                <w:rFonts w:ascii="Arial" w:cs="Arial" w:eastAsia="Arial" w:hAnsi="Arial"/>
                <w:sz w:val="16"/>
                <w:szCs w:val="16"/>
                <w:color w:val="auto"/>
              </w:rPr>
              <w:t>$4,309</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$4,331</w:t>
            </w:r>
          </w:p>
        </w:tc>
      </w:tr>
      <w:tr>
        <w:trPr>
          <w:trHeight w:val="33"/>
        </w:trPr>
        <w:tc>
          <w:tcPr>
            <w:tcW w:w="494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5"/>
        </w:trPr>
        <w:tc>
          <w:tcPr>
            <w:tcW w:w="4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Inside</w:t>
            </w:r>
          </w:p>
        </w:tc>
        <w:tc>
          <w:tcPr>
            <w:tcW w:w="3260" w:type="dxa"/>
            <w:vAlign w:val="bottom"/>
            <w:tcBorders>
              <w:bottom w:val="single" w:sz="8" w:color="CCEEFF"/>
            </w:tcBorders>
            <w:shd w:val="clear" w:color="auto" w:fill="CCEEFF"/>
          </w:tcPr>
          <w:p>
            <w:pPr>
              <w:jc w:val="right"/>
              <w:ind w:right="659"/>
              <w:spacing w:after="0"/>
              <w:rPr>
                <w:sz w:val="20"/>
                <w:szCs w:val="20"/>
                <w:color w:val="auto"/>
              </w:rPr>
            </w:pPr>
            <w:r>
              <w:rPr>
                <w:rFonts w:ascii="Arial" w:cs="Arial" w:eastAsia="Arial" w:hAnsi="Arial"/>
                <w:sz w:val="16"/>
                <w:szCs w:val="16"/>
                <w:b w:val="1"/>
                <w:bCs w:val="1"/>
                <w:color w:val="auto"/>
              </w:rPr>
              <w:t>5,858</w:t>
            </w:r>
          </w:p>
        </w:tc>
        <w:tc>
          <w:tcPr>
            <w:tcW w:w="1960" w:type="dxa"/>
            <w:vAlign w:val="bottom"/>
            <w:tcBorders>
              <w:bottom w:val="single" w:sz="8" w:color="CCEEFF"/>
            </w:tcBorders>
            <w:shd w:val="clear" w:color="auto" w:fill="CCEEFF"/>
          </w:tcPr>
          <w:p>
            <w:pPr>
              <w:jc w:val="right"/>
              <w:ind w:right="679"/>
              <w:spacing w:after="0"/>
              <w:rPr>
                <w:sz w:val="20"/>
                <w:szCs w:val="20"/>
                <w:color w:val="auto"/>
              </w:rPr>
            </w:pPr>
            <w:r>
              <w:rPr>
                <w:rFonts w:ascii="Arial" w:cs="Arial" w:eastAsia="Arial" w:hAnsi="Arial"/>
                <w:sz w:val="16"/>
                <w:szCs w:val="16"/>
                <w:color w:val="auto"/>
              </w:rPr>
              <w:t>5,953</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5,475</w:t>
            </w:r>
          </w:p>
        </w:tc>
      </w:tr>
      <w:tr>
        <w:trPr>
          <w:trHeight w:val="231"/>
        </w:trPr>
        <w:tc>
          <w:tcPr>
            <w:tcW w:w="494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 volume</w:t>
            </w:r>
          </w:p>
        </w:tc>
        <w:tc>
          <w:tcPr>
            <w:tcW w:w="3260" w:type="dxa"/>
            <w:vAlign w:val="bottom"/>
            <w:tcBorders>
              <w:top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$10,018</w:t>
            </w:r>
          </w:p>
        </w:tc>
        <w:tc>
          <w:tcPr>
            <w:tcW w:w="1960" w:type="dxa"/>
            <w:vAlign w:val="bottom"/>
            <w:tcBorders>
              <w:top w:val="single" w:sz="8" w:color="auto"/>
            </w:tcBorders>
          </w:tcPr>
          <w:p>
            <w:pPr>
              <w:jc w:val="right"/>
              <w:ind w:right="679"/>
              <w:spacing w:after="0"/>
              <w:rPr>
                <w:sz w:val="20"/>
                <w:szCs w:val="20"/>
                <w:color w:val="auto"/>
              </w:rPr>
            </w:pPr>
            <w:r>
              <w:rPr>
                <w:rFonts w:ascii="Arial" w:cs="Arial" w:eastAsia="Arial" w:hAnsi="Arial"/>
                <w:sz w:val="16"/>
                <w:szCs w:val="16"/>
                <w:color w:val="auto"/>
              </w:rPr>
              <w:t>$10,262</w:t>
            </w: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$9,806</w:t>
            </w:r>
          </w:p>
        </w:tc>
      </w:tr>
    </w:tbl>
    <w:p>
      <w:pPr>
        <w:spacing w:after="0" w:line="28" w:lineRule="exact"/>
        <w:rPr>
          <w:sz w:val="20"/>
          <w:szCs w:val="20"/>
          <w:color w:val="auto"/>
        </w:rPr>
      </w:pPr>
    </w:p>
    <w:p>
      <w:pPr>
        <w:ind w:left="80" w:hanging="72"/>
        <w:spacing w:after="0"/>
        <w:tabs>
          <w:tab w:leader="none" w:pos="80" w:val="left"/>
        </w:tabs>
        <w:numPr>
          <w:ilvl w:val="0"/>
          <w:numId w:val="22"/>
        </w:numPr>
        <w:rPr>
          <w:rFonts w:ascii="Arial" w:cs="Arial" w:eastAsia="Arial" w:hAnsi="Arial"/>
          <w:sz w:val="9"/>
          <w:szCs w:val="9"/>
          <w:color w:val="auto"/>
        </w:rPr>
      </w:pPr>
      <w:r>
        <w:rPr>
          <w:rFonts w:ascii="Arial" w:cs="Arial" w:eastAsia="Arial" w:hAnsi="Arial"/>
          <w:sz w:val="14"/>
          <w:szCs w:val="14"/>
          <w:color w:val="auto"/>
        </w:rPr>
        <w:t>Prior to the credit card receivable transaction on October 1, 2015, interest expense was allocated to the Credit segment as if it carried debt of up to 80% of the credit card receivables.</w:t>
      </w:r>
    </w:p>
    <w:p>
      <w:pPr>
        <w:spacing w:after="0" w:line="13" w:lineRule="exact"/>
        <w:rPr>
          <w:rFonts w:ascii="Arial" w:cs="Arial" w:eastAsia="Arial" w:hAnsi="Arial"/>
          <w:sz w:val="9"/>
          <w:szCs w:val="9"/>
          <w:color w:val="auto"/>
        </w:rPr>
      </w:pPr>
    </w:p>
    <w:p>
      <w:pPr>
        <w:spacing w:after="0"/>
        <w:rPr>
          <w:rFonts w:ascii="Arial" w:cs="Arial" w:eastAsia="Arial" w:hAnsi="Arial"/>
          <w:sz w:val="9"/>
          <w:szCs w:val="9"/>
          <w:color w:val="auto"/>
        </w:rPr>
      </w:pPr>
      <w:r>
        <w:rPr>
          <w:rFonts w:ascii="Arial" w:cs="Arial" w:eastAsia="Arial" w:hAnsi="Arial"/>
          <w:sz w:val="9"/>
          <w:szCs w:val="9"/>
          <w:color w:val="auto"/>
        </w:rPr>
        <w:t xml:space="preserve">2 </w:t>
      </w:r>
      <w:r>
        <w:rPr>
          <w:rFonts w:ascii="Arial" w:cs="Arial" w:eastAsia="Arial" w:hAnsi="Arial"/>
          <w:sz w:val="14"/>
          <w:szCs w:val="14"/>
          <w:color w:val="auto"/>
        </w:rPr>
        <w:t>Volume represents sales on the total portfolio plus applicable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-208915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Card Revenues, net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credit card revenues, net</w:t>
      </w:r>
      <w:r>
        <w:rPr>
          <w:rFonts w:ascii="Arial" w:cs="Arial" w:eastAsia="Arial" w:hAnsi="Arial"/>
          <w:sz w:val="16"/>
          <w:szCs w:val="16"/>
          <w:color w:val="auto"/>
        </w:rPr>
        <w: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620" w:type="dxa"/>
            <w:vAlign w:val="bottom"/>
          </w:tcPr>
          <w:p>
            <w:pPr>
              <w:ind w:left="40"/>
              <w:spacing w:after="0"/>
              <w:rPr>
                <w:sz w:val="20"/>
                <w:szCs w:val="20"/>
                <w:color w:val="auto"/>
              </w:rPr>
            </w:pPr>
            <w:r>
              <w:rPr>
                <w:rFonts w:ascii="Arial" w:cs="Arial" w:eastAsia="Arial" w:hAnsi="Arial"/>
                <w:sz w:val="16"/>
                <w:szCs w:val="16"/>
                <w:b w:val="1"/>
                <w:bCs w:val="1"/>
                <w:color w:val="auto"/>
              </w:rPr>
              <w:t>Fiscal year</w:t>
            </w:r>
          </w:p>
        </w:tc>
        <w:tc>
          <w:tcPr>
            <w:tcW w:w="3640" w:type="dxa"/>
            <w:vAlign w:val="bottom"/>
          </w:tcPr>
          <w:p>
            <w:pPr>
              <w:jc w:val="right"/>
              <w:ind w:right="739"/>
              <w:spacing w:after="0"/>
              <w:rPr>
                <w:sz w:val="20"/>
                <w:szCs w:val="20"/>
                <w:color w:val="auto"/>
              </w:rPr>
            </w:pPr>
            <w:r>
              <w:rPr>
                <w:rFonts w:ascii="Arial" w:cs="Arial" w:eastAsia="Arial" w:hAnsi="Arial"/>
                <w:sz w:val="16"/>
                <w:szCs w:val="16"/>
                <w:b w:val="1"/>
                <w:bCs w:val="1"/>
                <w:color w:val="auto"/>
              </w:rPr>
              <w:t>2016</w:t>
            </w:r>
          </w:p>
        </w:tc>
        <w:tc>
          <w:tcPr>
            <w:tcW w:w="1940" w:type="dxa"/>
            <w:vAlign w:val="bottom"/>
          </w:tcPr>
          <w:p>
            <w:pPr>
              <w:jc w:val="right"/>
              <w:ind w:right="719"/>
              <w:spacing w:after="0"/>
              <w:rPr>
                <w:sz w:val="20"/>
                <w:szCs w:val="20"/>
                <w:color w:val="auto"/>
              </w:rPr>
            </w:pPr>
            <w:r>
              <w:rPr>
                <w:rFonts w:ascii="Arial" w:cs="Arial" w:eastAsia="Arial" w:hAnsi="Arial"/>
                <w:sz w:val="16"/>
                <w:szCs w:val="16"/>
                <w:b w:val="1"/>
                <w:bCs w:val="1"/>
                <w:color w:val="auto"/>
              </w:rPr>
              <w:t>2015</w:t>
            </w:r>
          </w:p>
        </w:tc>
        <w:tc>
          <w:tcPr>
            <w:tcW w:w="1220" w:type="dxa"/>
            <w:vAlign w:val="bottom"/>
          </w:tcPr>
          <w:p>
            <w:pPr>
              <w:jc w:val="right"/>
              <w:ind w:right="19"/>
              <w:spacing w:after="0"/>
              <w:rPr>
                <w:sz w:val="20"/>
                <w:szCs w:val="20"/>
                <w:color w:val="auto"/>
              </w:rPr>
            </w:pPr>
            <w:r>
              <w:rPr>
                <w:rFonts w:ascii="Arial" w:cs="Arial" w:eastAsia="Arial" w:hAnsi="Arial"/>
                <w:sz w:val="16"/>
                <w:szCs w:val="16"/>
                <w:b w:val="1"/>
                <w:bCs w:val="1"/>
                <w:color w:val="auto"/>
              </w:rPr>
              <w:t>2014</w:t>
            </w:r>
          </w:p>
        </w:tc>
      </w:tr>
      <w:tr>
        <w:trPr>
          <w:trHeight w:val="33"/>
        </w:trPr>
        <w:tc>
          <w:tcPr>
            <w:tcW w:w="4620" w:type="dxa"/>
            <w:vAlign w:val="bottom"/>
            <w:tcBorders>
              <w:bottom w:val="single" w:sz="8" w:color="auto"/>
            </w:tcBorders>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Finance charge revenue</w:t>
            </w:r>
          </w:p>
        </w:tc>
        <w:tc>
          <w:tcPr>
            <w:tcW w:w="364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b w:val="1"/>
                <w:bCs w:val="1"/>
                <w:color w:val="auto"/>
              </w:rPr>
              <w:t>$6</w:t>
            </w:r>
          </w:p>
        </w:tc>
        <w:tc>
          <w:tcPr>
            <w:tcW w:w="1940" w:type="dxa"/>
            <w:vAlign w:val="bottom"/>
            <w:tcBorders>
              <w:bottom w:val="single" w:sz="8" w:color="CCEEFF"/>
            </w:tcBorders>
            <w:shd w:val="clear" w:color="auto" w:fill="CCEEFF"/>
          </w:tcPr>
          <w:p>
            <w:pPr>
              <w:jc w:val="right"/>
              <w:ind w:right="719"/>
              <w:spacing w:after="0"/>
              <w:rPr>
                <w:sz w:val="20"/>
                <w:szCs w:val="20"/>
                <w:color w:val="auto"/>
              </w:rPr>
            </w:pPr>
            <w:r>
              <w:rPr>
                <w:rFonts w:ascii="Arial" w:cs="Arial" w:eastAsia="Arial" w:hAnsi="Arial"/>
                <w:sz w:val="16"/>
                <w:szCs w:val="16"/>
                <w:color w:val="auto"/>
              </w:rPr>
              <w:t>$173</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$253</w:t>
            </w:r>
          </w:p>
        </w:tc>
      </w:tr>
      <w:tr>
        <w:trPr>
          <w:trHeight w:val="237"/>
        </w:trPr>
        <w:tc>
          <w:tcPr>
            <w:tcW w:w="4620" w:type="dxa"/>
            <w:vAlign w:val="bottom"/>
          </w:tcPr>
          <w:p>
            <w:pPr>
              <w:ind w:left="40"/>
              <w:spacing w:after="0"/>
              <w:rPr>
                <w:sz w:val="20"/>
                <w:szCs w:val="20"/>
                <w:color w:val="auto"/>
              </w:rPr>
            </w:pPr>
            <w:r>
              <w:rPr>
                <w:rFonts w:ascii="Arial" w:cs="Arial" w:eastAsia="Arial" w:hAnsi="Arial"/>
                <w:sz w:val="16"/>
                <w:szCs w:val="16"/>
                <w:color w:val="auto"/>
              </w:rPr>
              <w:t>Interchange fees</w:t>
            </w:r>
          </w:p>
        </w:tc>
        <w:tc>
          <w:tcPr>
            <w:tcW w:w="3640" w:type="dxa"/>
            <w:vAlign w:val="bottom"/>
          </w:tcPr>
          <w:p>
            <w:pPr>
              <w:jc w:val="right"/>
              <w:ind w:right="739"/>
              <w:spacing w:after="0"/>
              <w:rPr>
                <w:sz w:val="20"/>
                <w:szCs w:val="20"/>
                <w:color w:val="auto"/>
              </w:rPr>
            </w:pPr>
            <w:r>
              <w:rPr>
                <w:rFonts w:ascii="Arial" w:cs="Arial" w:eastAsia="Arial" w:hAnsi="Arial"/>
                <w:sz w:val="16"/>
                <w:szCs w:val="16"/>
                <w:b w:val="1"/>
                <w:bCs w:val="1"/>
                <w:color w:val="auto"/>
              </w:rPr>
              <w:t>5</w:t>
            </w:r>
          </w:p>
        </w:tc>
        <w:tc>
          <w:tcPr>
            <w:tcW w:w="1940" w:type="dxa"/>
            <w:vAlign w:val="bottom"/>
          </w:tcPr>
          <w:p>
            <w:pPr>
              <w:jc w:val="right"/>
              <w:ind w:right="719"/>
              <w:spacing w:after="0"/>
              <w:rPr>
                <w:sz w:val="20"/>
                <w:szCs w:val="20"/>
                <w:color w:val="auto"/>
              </w:rPr>
            </w:pPr>
            <w:r>
              <w:rPr>
                <w:rFonts w:ascii="Arial" w:cs="Arial" w:eastAsia="Arial" w:hAnsi="Arial"/>
                <w:sz w:val="16"/>
                <w:szCs w:val="16"/>
                <w:color w:val="auto"/>
              </w:rPr>
              <w:t>61</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89</w:t>
            </w:r>
          </w:p>
        </w:tc>
      </w:tr>
      <w:tr>
        <w:trPr>
          <w:trHeight w:val="33"/>
        </w:trPr>
        <w:tc>
          <w:tcPr>
            <w:tcW w:w="462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Late fees and other revenue</w:t>
            </w:r>
          </w:p>
        </w:tc>
        <w:tc>
          <w:tcPr>
            <w:tcW w:w="364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b w:val="1"/>
                <w:bCs w:val="1"/>
                <w:color w:val="auto"/>
              </w:rPr>
              <w:t>2</w:t>
            </w:r>
          </w:p>
        </w:tc>
        <w:tc>
          <w:tcPr>
            <w:tcW w:w="1940" w:type="dxa"/>
            <w:vAlign w:val="bottom"/>
            <w:tcBorders>
              <w:bottom w:val="single" w:sz="8" w:color="CCEEFF"/>
            </w:tcBorders>
            <w:shd w:val="clear" w:color="auto" w:fill="CCEEFF"/>
          </w:tcPr>
          <w:p>
            <w:pPr>
              <w:jc w:val="right"/>
              <w:ind w:right="719"/>
              <w:spacing w:after="0"/>
              <w:rPr>
                <w:sz w:val="20"/>
                <w:szCs w:val="20"/>
                <w:color w:val="auto"/>
              </w:rPr>
            </w:pPr>
            <w:r>
              <w:rPr>
                <w:rFonts w:ascii="Arial" w:cs="Arial" w:eastAsia="Arial" w:hAnsi="Arial"/>
                <w:sz w:val="16"/>
                <w:szCs w:val="16"/>
                <w:color w:val="auto"/>
              </w:rPr>
              <w:t>44</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w:t>
            </w:r>
          </w:p>
        </w:tc>
      </w:tr>
      <w:tr>
        <w:trPr>
          <w:trHeight w:val="237"/>
        </w:trPr>
        <w:tc>
          <w:tcPr>
            <w:tcW w:w="4620" w:type="dxa"/>
            <w:vAlign w:val="bottom"/>
          </w:tcPr>
          <w:p>
            <w:pPr>
              <w:ind w:left="40"/>
              <w:spacing w:after="0"/>
              <w:rPr>
                <w:sz w:val="20"/>
                <w:szCs w:val="20"/>
                <w:color w:val="auto"/>
              </w:rPr>
            </w:pPr>
            <w:r>
              <w:rPr>
                <w:rFonts w:ascii="Arial" w:cs="Arial" w:eastAsia="Arial" w:hAnsi="Arial"/>
                <w:sz w:val="16"/>
                <w:szCs w:val="16"/>
                <w:color w:val="auto"/>
              </w:rPr>
              <w:t>Credit program revenues, net</w:t>
            </w:r>
          </w:p>
        </w:tc>
        <w:tc>
          <w:tcPr>
            <w:tcW w:w="3640" w:type="dxa"/>
            <w:vAlign w:val="bottom"/>
          </w:tcPr>
          <w:p>
            <w:pPr>
              <w:jc w:val="right"/>
              <w:ind w:right="739"/>
              <w:spacing w:after="0"/>
              <w:rPr>
                <w:sz w:val="20"/>
                <w:szCs w:val="20"/>
                <w:color w:val="auto"/>
              </w:rPr>
            </w:pPr>
            <w:r>
              <w:rPr>
                <w:rFonts w:ascii="Arial" w:cs="Arial" w:eastAsia="Arial" w:hAnsi="Arial"/>
                <w:sz w:val="16"/>
                <w:szCs w:val="16"/>
                <w:b w:val="1"/>
                <w:bCs w:val="1"/>
                <w:color w:val="auto"/>
              </w:rPr>
              <w:t>246</w:t>
            </w:r>
          </w:p>
        </w:tc>
        <w:tc>
          <w:tcPr>
            <w:tcW w:w="1940" w:type="dxa"/>
            <w:vAlign w:val="bottom"/>
          </w:tcPr>
          <w:p>
            <w:pPr>
              <w:jc w:val="right"/>
              <w:ind w:right="719"/>
              <w:spacing w:after="0"/>
              <w:rPr>
                <w:sz w:val="20"/>
                <w:szCs w:val="20"/>
                <w:color w:val="auto"/>
              </w:rPr>
            </w:pPr>
            <w:r>
              <w:rPr>
                <w:rFonts w:ascii="Arial" w:cs="Arial" w:eastAsia="Arial" w:hAnsi="Arial"/>
                <w:sz w:val="16"/>
                <w:szCs w:val="16"/>
                <w:color w:val="auto"/>
              </w:rPr>
              <w:t>64</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4620" w:type="dxa"/>
            <w:vAlign w:val="bottom"/>
            <w:tcBorders>
              <w:bottom w:val="single" w:sz="8" w:color="auto"/>
            </w:tcBorders>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credit card revenues, net</w:t>
            </w:r>
          </w:p>
        </w:tc>
        <w:tc>
          <w:tcPr>
            <w:tcW w:w="364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b w:val="1"/>
                <w:bCs w:val="1"/>
                <w:color w:val="auto"/>
              </w:rPr>
              <w:t>$259</w:t>
            </w:r>
          </w:p>
        </w:tc>
        <w:tc>
          <w:tcPr>
            <w:tcW w:w="1940" w:type="dxa"/>
            <w:vAlign w:val="bottom"/>
            <w:tcBorders>
              <w:bottom w:val="single" w:sz="8" w:color="CCEEFF"/>
            </w:tcBorders>
            <w:shd w:val="clear" w:color="auto" w:fill="CCEEFF"/>
          </w:tcPr>
          <w:p>
            <w:pPr>
              <w:jc w:val="right"/>
              <w:ind w:right="719"/>
              <w:spacing w:after="0"/>
              <w:rPr>
                <w:sz w:val="20"/>
                <w:szCs w:val="20"/>
                <w:color w:val="auto"/>
              </w:rPr>
            </w:pPr>
            <w:r>
              <w:rPr>
                <w:rFonts w:ascii="Arial" w:cs="Arial" w:eastAsia="Arial" w:hAnsi="Arial"/>
                <w:sz w:val="16"/>
                <w:szCs w:val="16"/>
                <w:color w:val="auto"/>
              </w:rPr>
              <w:t>$342</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$396</w:t>
            </w:r>
          </w:p>
        </w:tc>
      </w:tr>
      <w:tr>
        <w:trPr>
          <w:trHeight w:val="20"/>
        </w:trPr>
        <w:tc>
          <w:tcPr>
            <w:tcW w:w="4620" w:type="dxa"/>
            <w:vAlign w:val="bottom"/>
            <w:shd w:val="clear" w:color="auto" w:fill="000000"/>
          </w:tcPr>
          <w:p>
            <w:pPr>
              <w:spacing w:after="0" w:line="20" w:lineRule="exact"/>
              <w:rPr>
                <w:sz w:val="1"/>
                <w:szCs w:val="1"/>
                <w:color w:val="auto"/>
              </w:rPr>
            </w:pPr>
          </w:p>
        </w:tc>
        <w:tc>
          <w:tcPr>
            <w:tcW w:w="3640" w:type="dxa"/>
            <w:vAlign w:val="bottom"/>
            <w:shd w:val="clear" w:color="auto" w:fill="000000"/>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r>
    </w:tbl>
    <w:p>
      <w:pPr>
        <w:spacing w:after="0" w:line="148"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Following the close of the credit card receivable transaction and pursuant to the program agreement with TD, we receive our portion of the ongoing credit card revenue, net of credit losses, from both the sold and newly generated credit card receivables, which is recorded in credit program revenues, net. Asset amortization and deferred revenue recognition associated with the assets and liabilities recorded as part of the transaction are also recorded in credit program revenues, net. Revenue earned under the program agreement is impacted by the credit quality of receivables, both owned and serviced, and factors such as deteriorating economic conditions, declining creditworthiness of cardholders and the success of account management and collection activities may heighten the risk of credit losses.</w:t>
      </w:r>
    </w:p>
    <w:p>
      <w:pPr>
        <w:spacing w:after="0" w:line="139"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Prior to the close of the credit card receivable transaction, credit card revenues included finance charges, interchange fees, late fees and other revenue, recorded net of estimated uncollectible finance charges and fees. Finance charges represent interest earned on unpaid balances while interchange fees are earned from the use of Nordstrom Visa credit cards at merchants outside of Nordstrom. Late fees are assessed when a credit card account becomes past due. We continue to recognize revenue in this manner for the credit card receivables retained subsequent to the close of the credit card receivable transaction.</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color w:val="auto"/>
        </w:rPr>
        <w:t>Credit Card Revenues, net decreased $83 in 2016 and $54 in 2015 due to the credit card receivable transaction and the new program agreement.</w:t>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126" w:right="239" w:bottom="1440" w:gutter="0" w:footer="0" w:header="0"/>
        </w:sectPr>
      </w:pPr>
    </w:p>
    <w:bookmarkStart w:id="22" w:name="page23"/>
    <w:bookmarkEnd w:id="22"/>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Expenses</w:t>
      </w:r>
    </w:p>
    <w:p>
      <w:pPr>
        <w:spacing w:after="0" w:line="27" w:lineRule="exact"/>
        <w:rPr>
          <w:sz w:val="20"/>
          <w:szCs w:val="20"/>
          <w:color w:val="auto"/>
        </w:rPr>
      </w:pPr>
    </w:p>
    <w:p>
      <w:pPr>
        <w:jc w:val="both"/>
        <w:ind w:right="40"/>
        <w:spacing w:after="0" w:line="302" w:lineRule="auto"/>
        <w:rPr>
          <w:sz w:val="20"/>
          <w:szCs w:val="20"/>
          <w:color w:val="auto"/>
        </w:rPr>
      </w:pPr>
      <w:r>
        <w:rPr>
          <w:rFonts w:ascii="Arial" w:cs="Arial" w:eastAsia="Arial" w:hAnsi="Arial"/>
          <w:sz w:val="16"/>
          <w:szCs w:val="16"/>
          <w:color w:val="auto"/>
        </w:rPr>
        <w:t>Credit expenses consist of operational, bad debt and occupancy expenses. Credit expenses in 2016 were relatively flat compared with 2015 as there was a $64 gain partially offset by $32 of expenses incurred in 2015 associated with the credit card receivable transaction. Excluding the net impact of these items, credit expenses decreased $29 in 2016 primarily due to the decrease in bad debt expense since the sale of the credit card receivables in October of 2015.</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TOTAL COMPANY RESULTS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 Net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 is summarized in the following table:</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80" w:type="dxa"/>
            <w:vAlign w:val="bottom"/>
          </w:tcPr>
          <w:p>
            <w:pPr>
              <w:ind w:left="40"/>
              <w:spacing w:after="0"/>
              <w:rPr>
                <w:sz w:val="20"/>
                <w:szCs w:val="20"/>
                <w:color w:val="auto"/>
              </w:rPr>
            </w:pPr>
            <w:r>
              <w:rPr>
                <w:rFonts w:ascii="Arial" w:cs="Arial" w:eastAsia="Arial" w:hAnsi="Arial"/>
                <w:sz w:val="16"/>
                <w:szCs w:val="16"/>
                <w:b w:val="1"/>
                <w:bCs w:val="1"/>
                <w:color w:val="auto"/>
              </w:rPr>
              <w:t>Fiscal year</w:t>
            </w:r>
          </w:p>
        </w:tc>
        <w:tc>
          <w:tcPr>
            <w:tcW w:w="2900" w:type="dxa"/>
            <w:vAlign w:val="bottom"/>
          </w:tcPr>
          <w:p>
            <w:pPr>
              <w:jc w:val="right"/>
              <w:ind w:right="799"/>
              <w:spacing w:after="0"/>
              <w:rPr>
                <w:sz w:val="20"/>
                <w:szCs w:val="20"/>
                <w:color w:val="auto"/>
              </w:rPr>
            </w:pPr>
            <w:r>
              <w:rPr>
                <w:rFonts w:ascii="Arial" w:cs="Arial" w:eastAsia="Arial" w:hAnsi="Arial"/>
                <w:sz w:val="16"/>
                <w:szCs w:val="16"/>
                <w:b w:val="1"/>
                <w:bCs w:val="1"/>
                <w:color w:val="auto"/>
              </w:rPr>
              <w:t>2016</w:t>
            </w:r>
          </w:p>
        </w:tc>
        <w:tc>
          <w:tcPr>
            <w:tcW w:w="1980" w:type="dxa"/>
            <w:vAlign w:val="bottom"/>
          </w:tcPr>
          <w:p>
            <w:pPr>
              <w:jc w:val="right"/>
              <w:ind w:right="779"/>
              <w:spacing w:after="0"/>
              <w:rPr>
                <w:sz w:val="20"/>
                <w:szCs w:val="20"/>
                <w:color w:val="auto"/>
              </w:rPr>
            </w:pPr>
            <w:r>
              <w:rPr>
                <w:rFonts w:ascii="Arial" w:cs="Arial" w:eastAsia="Arial" w:hAnsi="Arial"/>
                <w:sz w:val="16"/>
                <w:szCs w:val="16"/>
                <w:b w:val="1"/>
                <w:bCs w:val="1"/>
                <w:color w:val="auto"/>
              </w:rPr>
              <w:t>2015</w:t>
            </w:r>
          </w:p>
        </w:tc>
        <w:tc>
          <w:tcPr>
            <w:tcW w:w="1360" w:type="dxa"/>
            <w:vAlign w:val="bottom"/>
          </w:tcPr>
          <w:p>
            <w:pPr>
              <w:jc w:val="right"/>
              <w:ind w:right="139"/>
              <w:spacing w:after="0"/>
              <w:rPr>
                <w:sz w:val="20"/>
                <w:szCs w:val="20"/>
                <w:color w:val="auto"/>
              </w:rPr>
            </w:pPr>
            <w:r>
              <w:rPr>
                <w:rFonts w:ascii="Arial" w:cs="Arial" w:eastAsia="Arial" w:hAnsi="Arial"/>
                <w:sz w:val="16"/>
                <w:szCs w:val="16"/>
                <w:b w:val="1"/>
                <w:bCs w:val="1"/>
                <w:color w:val="auto"/>
              </w:rPr>
              <w:t>2014</w:t>
            </w:r>
          </w:p>
        </w:tc>
      </w:tr>
      <w:tr>
        <w:trPr>
          <w:trHeight w:val="33"/>
        </w:trPr>
        <w:tc>
          <w:tcPr>
            <w:tcW w:w="518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5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on long-term debt and short-term borrowings</w:t>
            </w:r>
          </w:p>
        </w:tc>
        <w:tc>
          <w:tcPr>
            <w:tcW w:w="290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6"/>
                <w:szCs w:val="16"/>
                <w:b w:val="1"/>
                <w:bCs w:val="1"/>
                <w:color w:val="auto"/>
              </w:rPr>
              <w:t>$147</w:t>
            </w:r>
          </w:p>
        </w:tc>
        <w:tc>
          <w:tcPr>
            <w:tcW w:w="198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6"/>
                <w:szCs w:val="16"/>
                <w:color w:val="auto"/>
              </w:rPr>
              <w:t>$153</w:t>
            </w:r>
          </w:p>
        </w:tc>
        <w:tc>
          <w:tcPr>
            <w:tcW w:w="13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$156</w:t>
            </w:r>
          </w:p>
        </w:tc>
      </w:tr>
      <w:tr>
        <w:trPr>
          <w:trHeight w:val="237"/>
        </w:trPr>
        <w:tc>
          <w:tcPr>
            <w:tcW w:w="5180" w:type="dxa"/>
            <w:vAlign w:val="bottom"/>
          </w:tcPr>
          <w:p>
            <w:pPr>
              <w:ind w:left="40"/>
              <w:spacing w:after="0"/>
              <w:rPr>
                <w:sz w:val="20"/>
                <w:szCs w:val="20"/>
                <w:color w:val="auto"/>
              </w:rPr>
            </w:pPr>
            <w:r>
              <w:rPr>
                <w:rFonts w:ascii="Arial" w:cs="Arial" w:eastAsia="Arial" w:hAnsi="Arial"/>
                <w:sz w:val="16"/>
                <w:szCs w:val="16"/>
                <w:color w:val="auto"/>
              </w:rPr>
              <w:t>Less:</w:t>
            </w:r>
          </w:p>
        </w:tc>
        <w:tc>
          <w:tcPr>
            <w:tcW w:w="29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33"/>
        </w:trPr>
        <w:tc>
          <w:tcPr>
            <w:tcW w:w="5180" w:type="dxa"/>
            <w:vAlign w:val="bottom"/>
          </w:tcPr>
          <w:p>
            <w:pPr>
              <w:spacing w:after="0"/>
              <w:rPr>
                <w:sz w:val="2"/>
                <w:szCs w:val="2"/>
                <w:color w:val="auto"/>
              </w:rPr>
            </w:pPr>
          </w:p>
        </w:tc>
        <w:tc>
          <w:tcPr>
            <w:tcW w:w="29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Interest income</w:t>
            </w:r>
          </w:p>
        </w:tc>
        <w:tc>
          <w:tcPr>
            <w:tcW w:w="290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b w:val="1"/>
                <w:bCs w:val="1"/>
                <w:color w:val="auto"/>
              </w:rPr>
              <w:t>(1)</w:t>
            </w:r>
          </w:p>
        </w:tc>
        <w:tc>
          <w:tcPr>
            <w:tcW w:w="198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w:t>
            </w:r>
          </w:p>
        </w:tc>
      </w:tr>
      <w:tr>
        <w:trPr>
          <w:trHeight w:val="237"/>
        </w:trPr>
        <w:tc>
          <w:tcPr>
            <w:tcW w:w="5180" w:type="dxa"/>
            <w:vAlign w:val="bottom"/>
          </w:tcPr>
          <w:p>
            <w:pPr>
              <w:ind w:left="280"/>
              <w:spacing w:after="0"/>
              <w:rPr>
                <w:sz w:val="20"/>
                <w:szCs w:val="20"/>
                <w:color w:val="auto"/>
              </w:rPr>
            </w:pPr>
            <w:r>
              <w:rPr>
                <w:rFonts w:ascii="Arial" w:cs="Arial" w:eastAsia="Arial" w:hAnsi="Arial"/>
                <w:sz w:val="16"/>
                <w:szCs w:val="16"/>
                <w:color w:val="auto"/>
              </w:rPr>
              <w:t>Capitalized interest</w:t>
            </w:r>
          </w:p>
        </w:tc>
        <w:tc>
          <w:tcPr>
            <w:tcW w:w="2900" w:type="dxa"/>
            <w:vAlign w:val="bottom"/>
          </w:tcPr>
          <w:p>
            <w:pPr>
              <w:jc w:val="right"/>
              <w:ind w:right="739"/>
              <w:spacing w:after="0"/>
              <w:rPr>
                <w:sz w:val="20"/>
                <w:szCs w:val="20"/>
                <w:color w:val="auto"/>
              </w:rPr>
            </w:pPr>
            <w:r>
              <w:rPr>
                <w:rFonts w:ascii="Arial" w:cs="Arial" w:eastAsia="Arial" w:hAnsi="Arial"/>
                <w:sz w:val="16"/>
                <w:szCs w:val="16"/>
                <w:b w:val="1"/>
                <w:bCs w:val="1"/>
                <w:color w:val="auto"/>
              </w:rPr>
              <w:t>(25)</w:t>
            </w:r>
          </w:p>
        </w:tc>
        <w:tc>
          <w:tcPr>
            <w:tcW w:w="1980" w:type="dxa"/>
            <w:vAlign w:val="bottom"/>
          </w:tcPr>
          <w:p>
            <w:pPr>
              <w:jc w:val="right"/>
              <w:ind w:right="719"/>
              <w:spacing w:after="0"/>
              <w:rPr>
                <w:sz w:val="20"/>
                <w:szCs w:val="20"/>
                <w:color w:val="auto"/>
              </w:rPr>
            </w:pPr>
            <w:r>
              <w:rPr>
                <w:rFonts w:ascii="Arial" w:cs="Arial" w:eastAsia="Arial" w:hAnsi="Arial"/>
                <w:sz w:val="16"/>
                <w:szCs w:val="16"/>
                <w:color w:val="auto"/>
              </w:rPr>
              <w:t>(28)</w:t>
            </w:r>
          </w:p>
        </w:tc>
        <w:tc>
          <w:tcPr>
            <w:tcW w:w="1360" w:type="dxa"/>
            <w:vAlign w:val="bottom"/>
          </w:tcPr>
          <w:p>
            <w:pPr>
              <w:jc w:val="right"/>
              <w:ind w:right="79"/>
              <w:spacing w:after="0"/>
              <w:rPr>
                <w:sz w:val="20"/>
                <w:szCs w:val="20"/>
                <w:color w:val="auto"/>
              </w:rPr>
            </w:pPr>
            <w:r>
              <w:rPr>
                <w:rFonts w:ascii="Arial" w:cs="Arial" w:eastAsia="Arial" w:hAnsi="Arial"/>
                <w:sz w:val="16"/>
                <w:szCs w:val="16"/>
                <w:color w:val="auto"/>
              </w:rPr>
              <w:t>(17)</w:t>
            </w:r>
          </w:p>
        </w:tc>
      </w:tr>
      <w:tr>
        <w:trPr>
          <w:trHeight w:val="33"/>
        </w:trPr>
        <w:tc>
          <w:tcPr>
            <w:tcW w:w="518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5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Interest expense, net</w:t>
            </w:r>
          </w:p>
        </w:tc>
        <w:tc>
          <w:tcPr>
            <w:tcW w:w="290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6"/>
                <w:szCs w:val="16"/>
                <w:b w:val="1"/>
                <w:bCs w:val="1"/>
                <w:color w:val="auto"/>
              </w:rPr>
              <w:t>$121</w:t>
            </w:r>
          </w:p>
        </w:tc>
        <w:tc>
          <w:tcPr>
            <w:tcW w:w="198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6"/>
                <w:szCs w:val="16"/>
                <w:color w:val="auto"/>
              </w:rPr>
              <w:t>$125</w:t>
            </w:r>
          </w:p>
        </w:tc>
        <w:tc>
          <w:tcPr>
            <w:tcW w:w="13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$138</w:t>
            </w:r>
          </w:p>
        </w:tc>
      </w:tr>
      <w:tr>
        <w:trPr>
          <w:trHeight w:val="20"/>
        </w:trPr>
        <w:tc>
          <w:tcPr>
            <w:tcW w:w="5180" w:type="dxa"/>
            <w:vAlign w:val="bottom"/>
            <w:shd w:val="clear" w:color="auto" w:fill="000000"/>
          </w:tcPr>
          <w:p>
            <w:pPr>
              <w:spacing w:after="0" w:line="20" w:lineRule="exact"/>
              <w:rPr>
                <w:sz w:val="1"/>
                <w:szCs w:val="1"/>
                <w:color w:val="auto"/>
              </w:rPr>
            </w:pPr>
          </w:p>
        </w:tc>
        <w:tc>
          <w:tcPr>
            <w:tcW w:w="2900" w:type="dxa"/>
            <w:vAlign w:val="bottom"/>
            <w:shd w:val="clear" w:color="auto" w:fill="000000"/>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 Net (2016 vs. 2015)</w:t>
      </w:r>
    </w:p>
    <w:p>
      <w:pPr>
        <w:spacing w:after="0" w:line="23" w:lineRule="exact"/>
        <w:rPr>
          <w:sz w:val="20"/>
          <w:szCs w:val="20"/>
          <w:color w:val="auto"/>
        </w:rPr>
      </w:pPr>
    </w:p>
    <w:p>
      <w:pPr>
        <w:jc w:val="both"/>
        <w:ind w:right="160"/>
        <w:spacing w:after="0" w:line="261" w:lineRule="auto"/>
        <w:rPr>
          <w:sz w:val="20"/>
          <w:szCs w:val="20"/>
          <w:color w:val="auto"/>
        </w:rPr>
      </w:pPr>
      <w:r>
        <w:rPr>
          <w:rFonts w:ascii="Arial" w:cs="Arial" w:eastAsia="Arial" w:hAnsi="Arial"/>
          <w:sz w:val="18"/>
          <w:szCs w:val="18"/>
          <w:color w:val="auto"/>
        </w:rPr>
        <w:t>Interest expense, net decreased $4 in 2016 compared with 2015 primarily due to the defeasance of our $325 Series 2011-1 Class A Notes in the third quarter of 2015.</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 Net (2015 vs. 2014)</w:t>
      </w:r>
    </w:p>
    <w:p>
      <w:pPr>
        <w:spacing w:after="0" w:line="23"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Interest expense, net decreased $13 in 2015 compared with 2014 due to an increase in capitalized interest resulting from planned capital investments related to technology, our Manhattan store and Nordstrom Rack and Canada store openings in 2015.</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Income tax expense is summarized in the following table: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00" w:type="dxa"/>
            <w:vAlign w:val="bottom"/>
          </w:tcPr>
          <w:p>
            <w:pPr>
              <w:ind w:left="40"/>
              <w:spacing w:after="0"/>
              <w:rPr>
                <w:sz w:val="20"/>
                <w:szCs w:val="20"/>
                <w:color w:val="auto"/>
              </w:rPr>
            </w:pPr>
            <w:r>
              <w:rPr>
                <w:rFonts w:ascii="Arial" w:cs="Arial" w:eastAsia="Arial" w:hAnsi="Arial"/>
                <w:sz w:val="16"/>
                <w:szCs w:val="16"/>
                <w:b w:val="1"/>
                <w:bCs w:val="1"/>
                <w:color w:val="auto"/>
              </w:rPr>
              <w:t>Fiscal year</w:t>
            </w:r>
          </w:p>
        </w:tc>
        <w:tc>
          <w:tcPr>
            <w:tcW w:w="3960" w:type="dxa"/>
            <w:vAlign w:val="bottom"/>
          </w:tcPr>
          <w:p>
            <w:pPr>
              <w:jc w:val="right"/>
              <w:ind w:right="859"/>
              <w:spacing w:after="0"/>
              <w:rPr>
                <w:sz w:val="20"/>
                <w:szCs w:val="20"/>
                <w:color w:val="auto"/>
              </w:rPr>
            </w:pPr>
            <w:r>
              <w:rPr>
                <w:rFonts w:ascii="Arial" w:cs="Arial" w:eastAsia="Arial" w:hAnsi="Arial"/>
                <w:sz w:val="16"/>
                <w:szCs w:val="16"/>
                <w:b w:val="1"/>
                <w:bCs w:val="1"/>
                <w:color w:val="auto"/>
              </w:rPr>
              <w:t>2016</w:t>
            </w:r>
          </w:p>
        </w:tc>
        <w:tc>
          <w:tcPr>
            <w:tcW w:w="2040" w:type="dxa"/>
            <w:vAlign w:val="bottom"/>
          </w:tcPr>
          <w:p>
            <w:pPr>
              <w:jc w:val="right"/>
              <w:ind w:right="839"/>
              <w:spacing w:after="0"/>
              <w:rPr>
                <w:sz w:val="20"/>
                <w:szCs w:val="20"/>
                <w:color w:val="auto"/>
              </w:rPr>
            </w:pPr>
            <w:r>
              <w:rPr>
                <w:rFonts w:ascii="Arial" w:cs="Arial" w:eastAsia="Arial" w:hAnsi="Arial"/>
                <w:sz w:val="16"/>
                <w:szCs w:val="16"/>
                <w:b w:val="1"/>
                <w:bCs w:val="1"/>
                <w:color w:val="auto"/>
              </w:rPr>
              <w:t>2015</w:t>
            </w:r>
          </w:p>
        </w:tc>
        <w:tc>
          <w:tcPr>
            <w:tcW w:w="1420" w:type="dxa"/>
            <w:vAlign w:val="bottom"/>
          </w:tcPr>
          <w:p>
            <w:pPr>
              <w:jc w:val="right"/>
              <w:ind w:right="219"/>
              <w:spacing w:after="0"/>
              <w:rPr>
                <w:sz w:val="20"/>
                <w:szCs w:val="20"/>
                <w:color w:val="auto"/>
              </w:rPr>
            </w:pPr>
            <w:r>
              <w:rPr>
                <w:rFonts w:ascii="Arial" w:cs="Arial" w:eastAsia="Arial" w:hAnsi="Arial"/>
                <w:sz w:val="16"/>
                <w:szCs w:val="16"/>
                <w:b w:val="1"/>
                <w:bCs w:val="1"/>
                <w:color w:val="auto"/>
              </w:rPr>
              <w:t>2014</w:t>
            </w:r>
          </w:p>
        </w:tc>
      </w:tr>
      <w:tr>
        <w:trPr>
          <w:trHeight w:val="33"/>
        </w:trPr>
        <w:tc>
          <w:tcPr>
            <w:tcW w:w="4000" w:type="dxa"/>
            <w:vAlign w:val="bottom"/>
            <w:tcBorders>
              <w:bottom w:val="single" w:sz="8" w:color="auto"/>
            </w:tcBorders>
          </w:tcPr>
          <w:p>
            <w:pPr>
              <w:spacing w:after="0"/>
              <w:rPr>
                <w:sz w:val="2"/>
                <w:szCs w:val="2"/>
                <w:color w:val="auto"/>
              </w:rPr>
            </w:pPr>
          </w:p>
        </w:tc>
        <w:tc>
          <w:tcPr>
            <w:tcW w:w="396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tax expense</w:t>
            </w:r>
          </w:p>
        </w:tc>
        <w:tc>
          <w:tcPr>
            <w:tcW w:w="396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6"/>
                <w:szCs w:val="16"/>
                <w:b w:val="1"/>
                <w:bCs w:val="1"/>
                <w:color w:val="auto"/>
              </w:rPr>
              <w:t>$330</w:t>
            </w:r>
          </w:p>
        </w:tc>
        <w:tc>
          <w:tcPr>
            <w:tcW w:w="204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6"/>
                <w:szCs w:val="16"/>
                <w:color w:val="auto"/>
              </w:rPr>
              <w:t>$376</w:t>
            </w:r>
          </w:p>
        </w:tc>
        <w:tc>
          <w:tcPr>
            <w:tcW w:w="14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$465</w:t>
            </w: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Effective tax rate</w:t>
            </w:r>
          </w:p>
        </w:tc>
        <w:tc>
          <w:tcPr>
            <w:tcW w:w="3960" w:type="dxa"/>
            <w:vAlign w:val="bottom"/>
          </w:tcPr>
          <w:p>
            <w:pPr>
              <w:jc w:val="right"/>
              <w:ind w:right="699"/>
              <w:spacing w:after="0"/>
              <w:rPr>
                <w:sz w:val="20"/>
                <w:szCs w:val="20"/>
                <w:color w:val="auto"/>
              </w:rPr>
            </w:pPr>
            <w:r>
              <w:rPr>
                <w:rFonts w:ascii="Arial" w:cs="Arial" w:eastAsia="Arial" w:hAnsi="Arial"/>
                <w:sz w:val="16"/>
                <w:szCs w:val="16"/>
                <w:b w:val="1"/>
                <w:bCs w:val="1"/>
                <w:color w:val="auto"/>
              </w:rPr>
              <w:t>48.2%</w:t>
            </w:r>
          </w:p>
        </w:tc>
        <w:tc>
          <w:tcPr>
            <w:tcW w:w="2040" w:type="dxa"/>
            <w:vAlign w:val="bottom"/>
          </w:tcPr>
          <w:p>
            <w:pPr>
              <w:jc w:val="right"/>
              <w:ind w:right="699"/>
              <w:spacing w:after="0"/>
              <w:rPr>
                <w:sz w:val="20"/>
                <w:szCs w:val="20"/>
                <w:color w:val="auto"/>
              </w:rPr>
            </w:pPr>
            <w:r>
              <w:rPr>
                <w:rFonts w:ascii="Arial" w:cs="Arial" w:eastAsia="Arial" w:hAnsi="Arial"/>
                <w:sz w:val="16"/>
                <w:szCs w:val="16"/>
                <w:color w:val="auto"/>
              </w:rPr>
              <w:t>38.6%</w:t>
            </w:r>
          </w:p>
        </w:tc>
        <w:tc>
          <w:tcPr>
            <w:tcW w:w="1420" w:type="dxa"/>
            <w:vAlign w:val="bottom"/>
          </w:tcPr>
          <w:p>
            <w:pPr>
              <w:jc w:val="right"/>
              <w:ind w:right="79"/>
              <w:spacing w:after="0"/>
              <w:rPr>
                <w:sz w:val="20"/>
                <w:szCs w:val="20"/>
                <w:color w:val="auto"/>
              </w:rPr>
            </w:pPr>
            <w:r>
              <w:rPr>
                <w:rFonts w:ascii="Arial" w:cs="Arial" w:eastAsia="Arial" w:hAnsi="Arial"/>
                <w:sz w:val="16"/>
                <w:szCs w:val="16"/>
                <w:color w:val="auto"/>
              </w:rPr>
              <w:t>39.2%</w:t>
            </w:r>
          </w:p>
        </w:tc>
      </w:tr>
      <w:tr>
        <w:trPr>
          <w:trHeight w:val="33"/>
        </w:trPr>
        <w:tc>
          <w:tcPr>
            <w:tcW w:w="4000" w:type="dxa"/>
            <w:vAlign w:val="bottom"/>
            <w:tcBorders>
              <w:bottom w:val="single" w:sz="8" w:color="auto"/>
            </w:tcBorders>
          </w:tcPr>
          <w:p>
            <w:pPr>
              <w:spacing w:after="0"/>
              <w:rPr>
                <w:sz w:val="2"/>
                <w:szCs w:val="2"/>
                <w:color w:val="auto"/>
              </w:rPr>
            </w:pPr>
          </w:p>
        </w:tc>
        <w:tc>
          <w:tcPr>
            <w:tcW w:w="396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illustrates the components of our effective tax rate: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60" w:type="dxa"/>
            <w:vAlign w:val="bottom"/>
          </w:tcPr>
          <w:p>
            <w:pPr>
              <w:ind w:left="40"/>
              <w:spacing w:after="0"/>
              <w:rPr>
                <w:sz w:val="20"/>
                <w:szCs w:val="20"/>
                <w:color w:val="auto"/>
              </w:rPr>
            </w:pPr>
            <w:r>
              <w:rPr>
                <w:rFonts w:ascii="Arial" w:cs="Arial" w:eastAsia="Arial" w:hAnsi="Arial"/>
                <w:sz w:val="16"/>
                <w:szCs w:val="16"/>
                <w:b w:val="1"/>
                <w:bCs w:val="1"/>
                <w:color w:val="auto"/>
              </w:rPr>
              <w:t>Fiscal year</w:t>
            </w:r>
          </w:p>
        </w:tc>
        <w:tc>
          <w:tcPr>
            <w:tcW w:w="2740" w:type="dxa"/>
            <w:vAlign w:val="bottom"/>
          </w:tcPr>
          <w:p>
            <w:pPr>
              <w:jc w:val="right"/>
              <w:ind w:right="919"/>
              <w:spacing w:after="0"/>
              <w:rPr>
                <w:sz w:val="20"/>
                <w:szCs w:val="20"/>
                <w:color w:val="auto"/>
              </w:rPr>
            </w:pPr>
            <w:r>
              <w:rPr>
                <w:rFonts w:ascii="Arial" w:cs="Arial" w:eastAsia="Arial" w:hAnsi="Arial"/>
                <w:sz w:val="16"/>
                <w:szCs w:val="16"/>
                <w:b w:val="1"/>
                <w:bCs w:val="1"/>
                <w:color w:val="auto"/>
              </w:rPr>
              <w:t>2016</w:t>
            </w:r>
          </w:p>
        </w:tc>
        <w:tc>
          <w:tcPr>
            <w:tcW w:w="2060" w:type="dxa"/>
            <w:vAlign w:val="bottom"/>
          </w:tcPr>
          <w:p>
            <w:pPr>
              <w:jc w:val="right"/>
              <w:ind w:right="879"/>
              <w:spacing w:after="0"/>
              <w:rPr>
                <w:sz w:val="20"/>
                <w:szCs w:val="20"/>
                <w:color w:val="auto"/>
              </w:rPr>
            </w:pPr>
            <w:r>
              <w:rPr>
                <w:rFonts w:ascii="Arial" w:cs="Arial" w:eastAsia="Arial" w:hAnsi="Arial"/>
                <w:sz w:val="16"/>
                <w:szCs w:val="16"/>
                <w:b w:val="1"/>
                <w:bCs w:val="1"/>
                <w:color w:val="auto"/>
              </w:rPr>
              <w:t>2015</w:t>
            </w:r>
          </w:p>
        </w:tc>
        <w:tc>
          <w:tcPr>
            <w:tcW w:w="1460" w:type="dxa"/>
            <w:vAlign w:val="bottom"/>
          </w:tcPr>
          <w:p>
            <w:pPr>
              <w:jc w:val="right"/>
              <w:ind w:right="279"/>
              <w:spacing w:after="0"/>
              <w:rPr>
                <w:sz w:val="20"/>
                <w:szCs w:val="20"/>
                <w:color w:val="auto"/>
              </w:rPr>
            </w:pPr>
            <w:r>
              <w:rPr>
                <w:rFonts w:ascii="Arial" w:cs="Arial" w:eastAsia="Arial" w:hAnsi="Arial"/>
                <w:sz w:val="16"/>
                <w:szCs w:val="16"/>
                <w:b w:val="1"/>
                <w:bCs w:val="1"/>
                <w:color w:val="auto"/>
              </w:rPr>
              <w:t>2014</w:t>
            </w:r>
          </w:p>
        </w:tc>
      </w:tr>
      <w:tr>
        <w:trPr>
          <w:trHeight w:val="33"/>
        </w:trPr>
        <w:tc>
          <w:tcPr>
            <w:tcW w:w="516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Statutory rate</w:t>
            </w:r>
          </w:p>
        </w:tc>
        <w:tc>
          <w:tcPr>
            <w:tcW w:w="274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b w:val="1"/>
                <w:bCs w:val="1"/>
                <w:color w:val="auto"/>
              </w:rPr>
              <w:t>35.0%</w:t>
            </w:r>
          </w:p>
        </w:tc>
        <w:tc>
          <w:tcPr>
            <w:tcW w:w="206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color w:val="auto"/>
              </w:rPr>
              <w:t>35.0%</w:t>
            </w:r>
          </w:p>
        </w:tc>
        <w:tc>
          <w:tcPr>
            <w:tcW w:w="14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35.0%</w:t>
            </w: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color w:val="auto"/>
              </w:rPr>
              <w:t>Goodwill impairment</w:t>
            </w:r>
          </w:p>
        </w:tc>
        <w:tc>
          <w:tcPr>
            <w:tcW w:w="2740" w:type="dxa"/>
            <w:vAlign w:val="bottom"/>
          </w:tcPr>
          <w:p>
            <w:pPr>
              <w:jc w:val="right"/>
              <w:ind w:right="739"/>
              <w:spacing w:after="0"/>
              <w:rPr>
                <w:sz w:val="20"/>
                <w:szCs w:val="20"/>
                <w:color w:val="auto"/>
              </w:rPr>
            </w:pPr>
            <w:r>
              <w:rPr>
                <w:rFonts w:ascii="Arial" w:cs="Arial" w:eastAsia="Arial" w:hAnsi="Arial"/>
                <w:sz w:val="16"/>
                <w:szCs w:val="16"/>
                <w:b w:val="1"/>
                <w:bCs w:val="1"/>
                <w:color w:val="auto"/>
              </w:rPr>
              <w:t>10.1%</w:t>
            </w:r>
          </w:p>
        </w:tc>
        <w:tc>
          <w:tcPr>
            <w:tcW w:w="2060" w:type="dxa"/>
            <w:vAlign w:val="bottom"/>
          </w:tcPr>
          <w:p>
            <w:pPr>
              <w:jc w:val="right"/>
              <w:ind w:right="879"/>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279"/>
              <w:spacing w:after="0"/>
              <w:rPr>
                <w:sz w:val="20"/>
                <w:szCs w:val="20"/>
                <w:color w:val="auto"/>
              </w:rPr>
            </w:pPr>
            <w:r>
              <w:rPr>
                <w:rFonts w:ascii="Arial" w:cs="Arial" w:eastAsia="Arial" w:hAnsi="Arial"/>
                <w:sz w:val="16"/>
                <w:szCs w:val="16"/>
                <w:color w:val="auto"/>
              </w:rPr>
              <w:t>—</w:t>
            </w:r>
          </w:p>
        </w:tc>
      </w:tr>
      <w:tr>
        <w:trPr>
          <w:trHeight w:val="33"/>
        </w:trPr>
        <w:tc>
          <w:tcPr>
            <w:tcW w:w="5160" w:type="dxa"/>
            <w:vAlign w:val="bottom"/>
          </w:tcPr>
          <w:p>
            <w:pPr>
              <w:spacing w:after="0"/>
              <w:rPr>
                <w:sz w:val="2"/>
                <w:szCs w:val="2"/>
                <w:color w:val="auto"/>
              </w:rPr>
            </w:pPr>
          </w:p>
        </w:tc>
        <w:tc>
          <w:tcPr>
            <w:tcW w:w="27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State and local income taxes, net of federal income taxes</w:t>
            </w:r>
          </w:p>
        </w:tc>
        <w:tc>
          <w:tcPr>
            <w:tcW w:w="274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b w:val="1"/>
                <w:bCs w:val="1"/>
                <w:color w:val="auto"/>
              </w:rPr>
              <w:t>5.1%</w:t>
            </w:r>
          </w:p>
        </w:tc>
        <w:tc>
          <w:tcPr>
            <w:tcW w:w="206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color w:val="auto"/>
              </w:rPr>
              <w:t>4.1%</w:t>
            </w:r>
          </w:p>
        </w:tc>
        <w:tc>
          <w:tcPr>
            <w:tcW w:w="14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3.8%</w:t>
            </w: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color w:val="auto"/>
              </w:rPr>
              <w:t>Non-deductible acquisition-related items</w:t>
            </w:r>
          </w:p>
        </w:tc>
        <w:tc>
          <w:tcPr>
            <w:tcW w:w="2740" w:type="dxa"/>
            <w:vAlign w:val="bottom"/>
          </w:tcPr>
          <w:p>
            <w:pPr>
              <w:jc w:val="right"/>
              <w:ind w:right="739"/>
              <w:spacing w:after="0"/>
              <w:rPr>
                <w:sz w:val="20"/>
                <w:szCs w:val="20"/>
                <w:color w:val="auto"/>
              </w:rPr>
            </w:pPr>
            <w:r>
              <w:rPr>
                <w:rFonts w:ascii="Arial" w:cs="Arial" w:eastAsia="Arial" w:hAnsi="Arial"/>
                <w:sz w:val="16"/>
                <w:szCs w:val="16"/>
                <w:b w:val="1"/>
                <w:bCs w:val="1"/>
                <w:color w:val="auto"/>
              </w:rPr>
              <w:t>0.6%</w:t>
            </w:r>
          </w:p>
        </w:tc>
        <w:tc>
          <w:tcPr>
            <w:tcW w:w="2060" w:type="dxa"/>
            <w:vAlign w:val="bottom"/>
          </w:tcPr>
          <w:p>
            <w:pPr>
              <w:jc w:val="right"/>
              <w:ind w:right="739"/>
              <w:spacing w:after="0"/>
              <w:rPr>
                <w:sz w:val="20"/>
                <w:szCs w:val="20"/>
                <w:color w:val="auto"/>
              </w:rPr>
            </w:pPr>
            <w:r>
              <w:rPr>
                <w:rFonts w:ascii="Arial" w:cs="Arial" w:eastAsia="Arial" w:hAnsi="Arial"/>
                <w:sz w:val="16"/>
                <w:szCs w:val="16"/>
                <w:color w:val="auto"/>
              </w:rPr>
              <w:t>0.4%</w:t>
            </w:r>
          </w:p>
        </w:tc>
        <w:tc>
          <w:tcPr>
            <w:tcW w:w="1460" w:type="dxa"/>
            <w:vAlign w:val="bottom"/>
          </w:tcPr>
          <w:p>
            <w:pPr>
              <w:jc w:val="right"/>
              <w:ind w:right="139"/>
              <w:spacing w:after="0"/>
              <w:rPr>
                <w:sz w:val="20"/>
                <w:szCs w:val="20"/>
                <w:color w:val="auto"/>
              </w:rPr>
            </w:pPr>
            <w:r>
              <w:rPr>
                <w:rFonts w:ascii="Arial" w:cs="Arial" w:eastAsia="Arial" w:hAnsi="Arial"/>
                <w:sz w:val="16"/>
                <w:szCs w:val="16"/>
                <w:color w:val="auto"/>
              </w:rPr>
              <w:t>0.9%</w:t>
            </w:r>
          </w:p>
        </w:tc>
      </w:tr>
      <w:tr>
        <w:trPr>
          <w:trHeight w:val="33"/>
        </w:trPr>
        <w:tc>
          <w:tcPr>
            <w:tcW w:w="5160" w:type="dxa"/>
            <w:vAlign w:val="bottom"/>
          </w:tcPr>
          <w:p>
            <w:pPr>
              <w:spacing w:after="0"/>
              <w:rPr>
                <w:sz w:val="2"/>
                <w:szCs w:val="2"/>
                <w:color w:val="auto"/>
              </w:rPr>
            </w:pPr>
          </w:p>
        </w:tc>
        <w:tc>
          <w:tcPr>
            <w:tcW w:w="27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Federal credits</w:t>
            </w:r>
          </w:p>
        </w:tc>
        <w:tc>
          <w:tcPr>
            <w:tcW w:w="274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6"/>
                <w:szCs w:val="16"/>
                <w:b w:val="1"/>
                <w:bCs w:val="1"/>
                <w:color w:val="auto"/>
              </w:rPr>
              <w:t>(0.6%)</w:t>
            </w:r>
          </w:p>
        </w:tc>
        <w:tc>
          <w:tcPr>
            <w:tcW w:w="2060" w:type="dxa"/>
            <w:vAlign w:val="bottom"/>
            <w:tcBorders>
              <w:bottom w:val="single" w:sz="8" w:color="CCEEFF"/>
            </w:tcBorders>
            <w:shd w:val="clear" w:color="auto" w:fill="CCEEFF"/>
          </w:tcPr>
          <w:p>
            <w:pPr>
              <w:jc w:val="right"/>
              <w:ind w:right="679"/>
              <w:spacing w:after="0"/>
              <w:rPr>
                <w:sz w:val="20"/>
                <w:szCs w:val="20"/>
                <w:color w:val="auto"/>
              </w:rPr>
            </w:pPr>
            <w:r>
              <w:rPr>
                <w:rFonts w:ascii="Arial" w:cs="Arial" w:eastAsia="Arial" w:hAnsi="Arial"/>
                <w:sz w:val="16"/>
                <w:szCs w:val="16"/>
                <w:color w:val="auto"/>
              </w:rPr>
              <w:t>(0.6%)</w:t>
            </w:r>
          </w:p>
        </w:tc>
        <w:tc>
          <w:tcPr>
            <w:tcW w:w="14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(0.2%)</w:t>
            </w: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color w:val="auto"/>
              </w:rPr>
              <w:t>Other, net</w:t>
            </w:r>
          </w:p>
        </w:tc>
        <w:tc>
          <w:tcPr>
            <w:tcW w:w="2740" w:type="dxa"/>
            <w:vAlign w:val="bottom"/>
          </w:tcPr>
          <w:p>
            <w:pPr>
              <w:jc w:val="right"/>
              <w:ind w:right="699"/>
              <w:spacing w:after="0"/>
              <w:rPr>
                <w:sz w:val="20"/>
                <w:szCs w:val="20"/>
                <w:color w:val="auto"/>
              </w:rPr>
            </w:pPr>
            <w:r>
              <w:rPr>
                <w:rFonts w:ascii="Arial" w:cs="Arial" w:eastAsia="Arial" w:hAnsi="Arial"/>
                <w:sz w:val="16"/>
                <w:szCs w:val="16"/>
                <w:b w:val="1"/>
                <w:bCs w:val="1"/>
                <w:color w:val="auto"/>
              </w:rPr>
              <w:t>(2.0%)</w:t>
            </w:r>
          </w:p>
        </w:tc>
        <w:tc>
          <w:tcPr>
            <w:tcW w:w="2060" w:type="dxa"/>
            <w:vAlign w:val="bottom"/>
          </w:tcPr>
          <w:p>
            <w:pPr>
              <w:jc w:val="right"/>
              <w:ind w:right="679"/>
              <w:spacing w:after="0"/>
              <w:rPr>
                <w:sz w:val="20"/>
                <w:szCs w:val="20"/>
                <w:color w:val="auto"/>
              </w:rPr>
            </w:pPr>
            <w:r>
              <w:rPr>
                <w:rFonts w:ascii="Arial" w:cs="Arial" w:eastAsia="Arial" w:hAnsi="Arial"/>
                <w:sz w:val="16"/>
                <w:szCs w:val="16"/>
                <w:color w:val="auto"/>
              </w:rPr>
              <w:t>(0.3%)</w:t>
            </w:r>
          </w:p>
        </w:tc>
        <w:tc>
          <w:tcPr>
            <w:tcW w:w="1460" w:type="dxa"/>
            <w:vAlign w:val="bottom"/>
          </w:tcPr>
          <w:p>
            <w:pPr>
              <w:jc w:val="right"/>
              <w:ind w:right="79"/>
              <w:spacing w:after="0"/>
              <w:rPr>
                <w:sz w:val="20"/>
                <w:szCs w:val="20"/>
                <w:color w:val="auto"/>
              </w:rPr>
            </w:pPr>
            <w:r>
              <w:rPr>
                <w:rFonts w:ascii="Arial" w:cs="Arial" w:eastAsia="Arial" w:hAnsi="Arial"/>
                <w:sz w:val="16"/>
                <w:szCs w:val="16"/>
                <w:color w:val="auto"/>
              </w:rPr>
              <w:t>(0.3%)</w:t>
            </w:r>
          </w:p>
        </w:tc>
      </w:tr>
      <w:tr>
        <w:trPr>
          <w:trHeight w:val="33"/>
        </w:trPr>
        <w:tc>
          <w:tcPr>
            <w:tcW w:w="516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Effective tax rate</w:t>
            </w:r>
          </w:p>
        </w:tc>
        <w:tc>
          <w:tcPr>
            <w:tcW w:w="274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b w:val="1"/>
                <w:bCs w:val="1"/>
                <w:color w:val="auto"/>
              </w:rPr>
              <w:t>48.2%</w:t>
            </w:r>
          </w:p>
        </w:tc>
        <w:tc>
          <w:tcPr>
            <w:tcW w:w="206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color w:val="auto"/>
              </w:rPr>
              <w:t>38.6%</w:t>
            </w:r>
          </w:p>
        </w:tc>
        <w:tc>
          <w:tcPr>
            <w:tcW w:w="14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39.2%</w:t>
            </w:r>
          </w:p>
        </w:tc>
      </w:tr>
      <w:tr>
        <w:trPr>
          <w:trHeight w:val="20"/>
        </w:trPr>
        <w:tc>
          <w:tcPr>
            <w:tcW w:w="5160" w:type="dxa"/>
            <w:vAlign w:val="bottom"/>
            <w:shd w:val="clear" w:color="auto" w:fill="000000"/>
          </w:tcPr>
          <w:p>
            <w:pPr>
              <w:spacing w:after="0" w:line="20" w:lineRule="exact"/>
              <w:rPr>
                <w:sz w:val="1"/>
                <w:szCs w:val="1"/>
                <w:color w:val="auto"/>
              </w:rPr>
            </w:pPr>
          </w:p>
        </w:tc>
        <w:tc>
          <w:tcPr>
            <w:tcW w:w="2740" w:type="dxa"/>
            <w:vAlign w:val="bottom"/>
            <w:shd w:val="clear" w:color="auto" w:fill="000000"/>
          </w:tcPr>
          <w:p>
            <w:pPr>
              <w:spacing w:after="0" w:line="20" w:lineRule="exact"/>
              <w:rPr>
                <w:sz w:val="1"/>
                <w:szCs w:val="1"/>
                <w:color w:val="auto"/>
              </w:rPr>
            </w:pPr>
          </w:p>
        </w:tc>
        <w:tc>
          <w:tcPr>
            <w:tcW w:w="206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Income Tax Expense (2016 vs. 2015)</w:t>
      </w:r>
    </w:p>
    <w:p>
      <w:pPr>
        <w:spacing w:after="0" w:line="23" w:lineRule="exact"/>
        <w:rPr>
          <w:sz w:val="20"/>
          <w:szCs w:val="20"/>
          <w:color w:val="auto"/>
        </w:rPr>
      </w:pPr>
    </w:p>
    <w:p>
      <w:pPr>
        <w:jc w:val="both"/>
        <w:ind w:right="260"/>
        <w:spacing w:after="0" w:line="277" w:lineRule="auto"/>
        <w:rPr>
          <w:sz w:val="20"/>
          <w:szCs w:val="20"/>
          <w:color w:val="auto"/>
        </w:rPr>
      </w:pPr>
      <w:r>
        <w:rPr>
          <w:rFonts w:ascii="Arial" w:cs="Arial" w:eastAsia="Arial" w:hAnsi="Arial"/>
          <w:sz w:val="17"/>
          <w:szCs w:val="17"/>
          <w:color w:val="auto"/>
        </w:rPr>
        <w:t>The increase in the effective tax rate for 2016 compared with 2015 was primarily due to the non-deductible goodwill impairment charge of $197 related to Trunk Club (see Note 8: Fair Value Measurements in Item 8). Excluding the impact of the Trunk Club goodwill impairment, our effective tax rate for 2016 would have decreased approximately 1% compared with the prior year primarily due to an increase in nontaxable income.</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Income Tax Expense (2015 vs. 2014)</w:t>
      </w:r>
    </w:p>
    <w:p>
      <w:pPr>
        <w:spacing w:after="0" w:line="23"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The decrease in the effective tax rate for 2015 compared with 2014 was primarily due to a decrease in non-deductible acquisition-related items and the benefit of income tax credits in 2015.</w:t>
      </w:r>
    </w:p>
    <w:p>
      <w:pPr>
        <w:spacing w:after="0" w:line="377" w:lineRule="exact"/>
        <w:rPr>
          <w:sz w:val="20"/>
          <w:szCs w:val="20"/>
          <w:color w:val="auto"/>
        </w:rPr>
      </w:pPr>
    </w:p>
    <w:p>
      <w:pPr>
        <w:jc w:val="right"/>
        <w:spacing w:after="0"/>
        <w:rPr>
          <w:sz w:val="20"/>
          <w:szCs w:val="20"/>
          <w:color w:val="auto"/>
        </w:rPr>
      </w:pPr>
      <w:r>
        <w:rPr>
          <w:rFonts w:ascii="Arial" w:cs="Arial" w:eastAsia="Arial" w:hAnsi="Arial"/>
          <w:sz w:val="13"/>
          <w:szCs w:val="13"/>
          <w:color w:val="auto"/>
        </w:rPr>
        <w:t xml:space="preserve">Nordstrom, Inc. and subsidiaries </w:t>
      </w:r>
      <w:r>
        <w:rPr>
          <w:rFonts w:ascii="Arial" w:cs="Arial" w:eastAsia="Arial" w:hAnsi="Arial"/>
          <w:sz w:val="16"/>
          <w:szCs w:val="16"/>
          <w:color w:val="auto"/>
        </w:rPr>
        <w:t>23</w:t>
      </w:r>
    </w:p>
    <w:p>
      <w:pPr>
        <w:sectPr>
          <w:pgSz w:w="11900" w:h="16838" w:orient="portrait"/>
          <w:cols w:equalWidth="0" w:num="1">
            <w:col w:w="11420"/>
          </w:cols>
          <w:pgMar w:left="240" w:top="126" w:right="239" w:bottom="1440" w:gutter="0" w:footer="0" w:header="0"/>
        </w:sectPr>
      </w:pPr>
    </w:p>
    <w:bookmarkStart w:id="23" w:name="page24"/>
    <w:bookmarkEnd w:id="23"/>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Earnings per share is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00" w:type="dxa"/>
            <w:vAlign w:val="bottom"/>
          </w:tcPr>
          <w:p>
            <w:pPr>
              <w:ind w:left="40"/>
              <w:spacing w:after="0"/>
              <w:rPr>
                <w:sz w:val="20"/>
                <w:szCs w:val="20"/>
                <w:color w:val="auto"/>
              </w:rPr>
            </w:pPr>
            <w:r>
              <w:rPr>
                <w:rFonts w:ascii="Arial" w:cs="Arial" w:eastAsia="Arial" w:hAnsi="Arial"/>
                <w:sz w:val="16"/>
                <w:szCs w:val="16"/>
                <w:b w:val="1"/>
                <w:bCs w:val="1"/>
                <w:color w:val="auto"/>
              </w:rPr>
              <w:t>Fiscal year</w:t>
            </w:r>
          </w:p>
        </w:tc>
        <w:tc>
          <w:tcPr>
            <w:tcW w:w="4240" w:type="dxa"/>
            <w:vAlign w:val="bottom"/>
          </w:tcPr>
          <w:p>
            <w:pPr>
              <w:jc w:val="right"/>
              <w:ind w:right="719"/>
              <w:spacing w:after="0"/>
              <w:rPr>
                <w:sz w:val="20"/>
                <w:szCs w:val="20"/>
                <w:color w:val="auto"/>
              </w:rPr>
            </w:pPr>
            <w:r>
              <w:rPr>
                <w:rFonts w:ascii="Arial" w:cs="Arial" w:eastAsia="Arial" w:hAnsi="Arial"/>
                <w:sz w:val="16"/>
                <w:szCs w:val="16"/>
                <w:b w:val="1"/>
                <w:bCs w:val="1"/>
                <w:color w:val="auto"/>
              </w:rPr>
              <w:t>2016</w:t>
            </w:r>
          </w:p>
        </w:tc>
        <w:tc>
          <w:tcPr>
            <w:tcW w:w="1940" w:type="dxa"/>
            <w:vAlign w:val="bottom"/>
          </w:tcPr>
          <w:p>
            <w:pPr>
              <w:jc w:val="right"/>
              <w:ind w:right="699"/>
              <w:spacing w:after="0"/>
              <w:rPr>
                <w:sz w:val="20"/>
                <w:szCs w:val="20"/>
                <w:color w:val="auto"/>
              </w:rPr>
            </w:pPr>
            <w:r>
              <w:rPr>
                <w:rFonts w:ascii="Arial" w:cs="Arial" w:eastAsia="Arial" w:hAnsi="Arial"/>
                <w:sz w:val="16"/>
                <w:szCs w:val="16"/>
                <w:b w:val="1"/>
                <w:bCs w:val="1"/>
                <w:color w:val="auto"/>
              </w:rPr>
              <w:t>2015</w:t>
            </w:r>
          </w:p>
        </w:tc>
        <w:tc>
          <w:tcPr>
            <w:tcW w:w="1240" w:type="dxa"/>
            <w:vAlign w:val="bottom"/>
          </w:tcPr>
          <w:p>
            <w:pPr>
              <w:jc w:val="right"/>
              <w:ind w:right="19"/>
              <w:spacing w:after="0"/>
              <w:rPr>
                <w:sz w:val="20"/>
                <w:szCs w:val="20"/>
                <w:color w:val="auto"/>
              </w:rPr>
            </w:pPr>
            <w:r>
              <w:rPr>
                <w:rFonts w:ascii="Arial" w:cs="Arial" w:eastAsia="Arial" w:hAnsi="Arial"/>
                <w:sz w:val="16"/>
                <w:szCs w:val="16"/>
                <w:b w:val="1"/>
                <w:bCs w:val="1"/>
                <w:color w:val="auto"/>
              </w:rPr>
              <w:t>2014</w:t>
            </w:r>
          </w:p>
        </w:tc>
      </w:tr>
      <w:tr>
        <w:trPr>
          <w:trHeight w:val="33"/>
        </w:trPr>
        <w:tc>
          <w:tcPr>
            <w:tcW w:w="4000" w:type="dxa"/>
            <w:vAlign w:val="bottom"/>
            <w:tcBorders>
              <w:bottom w:val="single" w:sz="8" w:color="auto"/>
            </w:tcBorders>
          </w:tcPr>
          <w:p>
            <w:pPr>
              <w:spacing w:after="0"/>
              <w:rPr>
                <w:sz w:val="2"/>
                <w:szCs w:val="2"/>
                <w:color w:val="auto"/>
              </w:rPr>
            </w:pPr>
          </w:p>
        </w:tc>
        <w:tc>
          <w:tcPr>
            <w:tcW w:w="42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Basic</w:t>
            </w:r>
          </w:p>
        </w:tc>
        <w:tc>
          <w:tcPr>
            <w:tcW w:w="4240" w:type="dxa"/>
            <w:vAlign w:val="bottom"/>
            <w:tcBorders>
              <w:bottom w:val="single" w:sz="8" w:color="CCEEFF"/>
            </w:tcBorders>
            <w:shd w:val="clear" w:color="auto" w:fill="CCEEFF"/>
          </w:tcPr>
          <w:p>
            <w:pPr>
              <w:jc w:val="right"/>
              <w:ind w:right="719"/>
              <w:spacing w:after="0"/>
              <w:rPr>
                <w:sz w:val="20"/>
                <w:szCs w:val="20"/>
                <w:color w:val="auto"/>
              </w:rPr>
            </w:pPr>
            <w:r>
              <w:rPr>
                <w:rFonts w:ascii="Arial" w:cs="Arial" w:eastAsia="Arial" w:hAnsi="Arial"/>
                <w:sz w:val="16"/>
                <w:szCs w:val="16"/>
                <w:b w:val="1"/>
                <w:bCs w:val="1"/>
                <w:color w:val="auto"/>
              </w:rPr>
              <w:t>$2.05</w:t>
            </w:r>
          </w:p>
        </w:tc>
        <w:tc>
          <w:tcPr>
            <w:tcW w:w="194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6"/>
                <w:szCs w:val="16"/>
                <w:color w:val="auto"/>
              </w:rPr>
              <w:t>$3.22</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$3.79</w:t>
            </w: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Diluted:</w:t>
            </w:r>
          </w:p>
        </w:tc>
        <w:tc>
          <w:tcPr>
            <w:tcW w:w="424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33"/>
        </w:trPr>
        <w:tc>
          <w:tcPr>
            <w:tcW w:w="4000" w:type="dxa"/>
            <w:vAlign w:val="bottom"/>
          </w:tcPr>
          <w:p>
            <w:pPr>
              <w:spacing w:after="0"/>
              <w:rPr>
                <w:sz w:val="2"/>
                <w:szCs w:val="2"/>
                <w:color w:val="auto"/>
              </w:rPr>
            </w:pPr>
          </w:p>
        </w:tc>
        <w:tc>
          <w:tcPr>
            <w:tcW w:w="42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Actual</w:t>
            </w:r>
          </w:p>
        </w:tc>
        <w:tc>
          <w:tcPr>
            <w:tcW w:w="4240" w:type="dxa"/>
            <w:vAlign w:val="bottom"/>
            <w:tcBorders>
              <w:bottom w:val="single" w:sz="8" w:color="CCEEFF"/>
            </w:tcBorders>
            <w:shd w:val="clear" w:color="auto" w:fill="CCEEFF"/>
          </w:tcPr>
          <w:p>
            <w:pPr>
              <w:jc w:val="right"/>
              <w:ind w:right="719"/>
              <w:spacing w:after="0"/>
              <w:rPr>
                <w:sz w:val="20"/>
                <w:szCs w:val="20"/>
                <w:color w:val="auto"/>
              </w:rPr>
            </w:pPr>
            <w:r>
              <w:rPr>
                <w:rFonts w:ascii="Arial" w:cs="Arial" w:eastAsia="Arial" w:hAnsi="Arial"/>
                <w:sz w:val="16"/>
                <w:szCs w:val="16"/>
                <w:b w:val="1"/>
                <w:bCs w:val="1"/>
                <w:color w:val="auto"/>
              </w:rPr>
              <w:t>$2.02</w:t>
            </w:r>
          </w:p>
        </w:tc>
        <w:tc>
          <w:tcPr>
            <w:tcW w:w="194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6"/>
                <w:szCs w:val="16"/>
                <w:color w:val="auto"/>
              </w:rPr>
              <w:t>$3.15</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$3.72</w:t>
            </w:r>
          </w:p>
        </w:tc>
      </w:tr>
      <w:tr>
        <w:trPr>
          <w:trHeight w:val="268"/>
        </w:trPr>
        <w:tc>
          <w:tcPr>
            <w:tcW w:w="4000" w:type="dxa"/>
            <w:vAlign w:val="bottom"/>
          </w:tcPr>
          <w:p>
            <w:pPr>
              <w:ind w:left="280"/>
              <w:spacing w:after="0"/>
              <w:rPr>
                <w:sz w:val="20"/>
                <w:szCs w:val="20"/>
                <w:color w:val="auto"/>
              </w:rPr>
            </w:pPr>
            <w:r>
              <w:rPr>
                <w:rFonts w:ascii="Arial" w:cs="Arial" w:eastAsia="Arial" w:hAnsi="Arial"/>
                <w:sz w:val="16"/>
                <w:szCs w:val="16"/>
                <w:color w:val="auto"/>
              </w:rPr>
              <w:t>Adjusted</w:t>
            </w:r>
            <w:r>
              <w:rPr>
                <w:rFonts w:ascii="Arial" w:cs="Arial" w:eastAsia="Arial" w:hAnsi="Arial"/>
                <w:sz w:val="17"/>
                <w:szCs w:val="17"/>
                <w:color w:val="auto"/>
                <w:vertAlign w:val="superscript"/>
              </w:rPr>
              <w:t>1</w:t>
            </w:r>
          </w:p>
        </w:tc>
        <w:tc>
          <w:tcPr>
            <w:tcW w:w="4240" w:type="dxa"/>
            <w:vAlign w:val="bottom"/>
          </w:tcPr>
          <w:p>
            <w:pPr>
              <w:jc w:val="right"/>
              <w:ind w:right="719"/>
              <w:spacing w:after="0"/>
              <w:rPr>
                <w:sz w:val="20"/>
                <w:szCs w:val="20"/>
                <w:color w:val="auto"/>
              </w:rPr>
            </w:pPr>
            <w:r>
              <w:rPr>
                <w:rFonts w:ascii="Arial" w:cs="Arial" w:eastAsia="Arial" w:hAnsi="Arial"/>
                <w:sz w:val="16"/>
                <w:szCs w:val="16"/>
                <w:b w:val="1"/>
                <w:bCs w:val="1"/>
                <w:color w:val="auto"/>
              </w:rPr>
              <w:t>$3.14</w:t>
            </w:r>
          </w:p>
        </w:tc>
        <w:tc>
          <w:tcPr>
            <w:tcW w:w="1940" w:type="dxa"/>
            <w:vAlign w:val="bottom"/>
          </w:tcPr>
          <w:p>
            <w:pPr>
              <w:jc w:val="right"/>
              <w:ind w:right="699"/>
              <w:spacing w:after="0"/>
              <w:rPr>
                <w:sz w:val="20"/>
                <w:szCs w:val="20"/>
                <w:color w:val="auto"/>
              </w:rPr>
            </w:pPr>
            <w:r>
              <w:rPr>
                <w:rFonts w:ascii="Arial" w:cs="Arial" w:eastAsia="Arial" w:hAnsi="Arial"/>
                <w:sz w:val="16"/>
                <w:szCs w:val="16"/>
                <w:color w:val="auto"/>
              </w:rPr>
              <w:t>N/A</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80" w:hanging="72"/>
        <w:spacing w:after="0"/>
        <w:tabs>
          <w:tab w:leader="none" w:pos="80" w:val="left"/>
        </w:tabs>
        <w:numPr>
          <w:ilvl w:val="0"/>
          <w:numId w:val="23"/>
        </w:numPr>
        <w:rPr>
          <w:rFonts w:ascii="Arial" w:cs="Arial" w:eastAsia="Arial" w:hAnsi="Arial"/>
          <w:sz w:val="18"/>
          <w:szCs w:val="18"/>
          <w:color w:val="auto"/>
          <w:vertAlign w:val="superscript"/>
        </w:rPr>
      </w:pPr>
      <w:r>
        <w:rPr>
          <w:rFonts w:ascii="Arial" w:cs="Arial" w:eastAsia="Arial" w:hAnsi="Arial"/>
          <w:sz w:val="14"/>
          <w:szCs w:val="14"/>
          <w:color w:val="auto"/>
        </w:rPr>
        <w:t>A reconciliation of adjusted earnings per share, a non-GAAP financial measure, to the closest GAAP measure is included on page 25.</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Earnings Per Diluted Share (2016 vs. 2015)</w:t>
      </w:r>
    </w:p>
    <w:p>
      <w:pPr>
        <w:spacing w:after="0" w:line="23"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decrease in diluted earnings per share (“EPS”) for 2016 compared with 2015 was primarily due to the goodwill impairment charge of $197 related to Trunk Club. Excluding the goodwill impairment charge, adjusted earnings per diluted share compared with actual EPS for 2015 was relatively flat due to higher technology and fulfillment costs supporting multi-channel growth, offset by a decrease in shares outstanding as a result of share repurchases during the year.</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Earnings Per Diluted Share (2015 vs. 2014)</w:t>
      </w:r>
    </w:p>
    <w:p>
      <w:pPr>
        <w:spacing w:after="0" w:line="23"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The decrease in EPS for 2015 compared with 2014 was primarily due to lower Retail Business earnings before interest and income taxes. This decrease was partially offset by a decrease in weighted average shares outstanding resulting from an increase in share repurchases.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Fourth Quarter Results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our results for the fourth quarters of 2016 and 2015:</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60" w:type="dxa"/>
            <w:vAlign w:val="bottom"/>
          </w:tcPr>
          <w:p>
            <w:pPr>
              <w:ind w:left="40"/>
              <w:spacing w:after="0"/>
              <w:rPr>
                <w:sz w:val="20"/>
                <w:szCs w:val="20"/>
                <w:color w:val="auto"/>
              </w:rPr>
            </w:pPr>
            <w:r>
              <w:rPr>
                <w:rFonts w:ascii="Arial" w:cs="Arial" w:eastAsia="Arial" w:hAnsi="Arial"/>
                <w:sz w:val="16"/>
                <w:szCs w:val="16"/>
                <w:b w:val="1"/>
                <w:bCs w:val="1"/>
                <w:color w:val="auto"/>
              </w:rPr>
              <w:t>Quarter ended</w:t>
            </w:r>
          </w:p>
        </w:tc>
        <w:tc>
          <w:tcPr>
            <w:tcW w:w="4360" w:type="dxa"/>
            <w:vAlign w:val="bottom"/>
          </w:tcPr>
          <w:p>
            <w:pPr>
              <w:jc w:val="right"/>
              <w:ind w:right="519"/>
              <w:spacing w:after="0"/>
              <w:rPr>
                <w:sz w:val="20"/>
                <w:szCs w:val="20"/>
                <w:color w:val="auto"/>
              </w:rPr>
            </w:pPr>
            <w:r>
              <w:rPr>
                <w:rFonts w:ascii="Arial" w:cs="Arial" w:eastAsia="Arial" w:hAnsi="Arial"/>
                <w:sz w:val="16"/>
                <w:szCs w:val="16"/>
                <w:b w:val="1"/>
                <w:bCs w:val="1"/>
                <w:color w:val="auto"/>
              </w:rPr>
              <w:t>January 28, 2017</w:t>
            </w:r>
          </w:p>
        </w:tc>
        <w:tc>
          <w:tcPr>
            <w:tcW w:w="1900" w:type="dxa"/>
            <w:vAlign w:val="bottom"/>
          </w:tcPr>
          <w:p>
            <w:pPr>
              <w:jc w:val="right"/>
              <w:ind w:right="279"/>
              <w:spacing w:after="0"/>
              <w:rPr>
                <w:sz w:val="20"/>
                <w:szCs w:val="20"/>
                <w:color w:val="auto"/>
              </w:rPr>
            </w:pPr>
            <w:r>
              <w:rPr>
                <w:rFonts w:ascii="Arial" w:cs="Arial" w:eastAsia="Arial" w:hAnsi="Arial"/>
                <w:sz w:val="16"/>
                <w:szCs w:val="16"/>
                <w:b w:val="1"/>
                <w:bCs w:val="1"/>
                <w:color w:val="auto"/>
              </w:rPr>
              <w:t>January 30, 2016</w:t>
            </w:r>
          </w:p>
        </w:tc>
      </w:tr>
      <w:tr>
        <w:trPr>
          <w:trHeight w:val="33"/>
        </w:trPr>
        <w:tc>
          <w:tcPr>
            <w:tcW w:w="5160" w:type="dxa"/>
            <w:vAlign w:val="bottom"/>
            <w:tcBorders>
              <w:bottom w:val="single" w:sz="8" w:color="auto"/>
            </w:tcBorders>
          </w:tcPr>
          <w:p>
            <w:pPr>
              <w:spacing w:after="0"/>
              <w:rPr>
                <w:sz w:val="2"/>
                <w:szCs w:val="2"/>
                <w:color w:val="auto"/>
              </w:rPr>
            </w:pPr>
          </w:p>
        </w:tc>
        <w:tc>
          <w:tcPr>
            <w:tcW w:w="43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sales</w:t>
            </w:r>
          </w:p>
        </w:tc>
        <w:tc>
          <w:tcPr>
            <w:tcW w:w="4360" w:type="dxa"/>
            <w:vAlign w:val="bottom"/>
            <w:tcBorders>
              <w:bottom w:val="single" w:sz="8" w:color="CCEEFF"/>
            </w:tcBorders>
            <w:shd w:val="clear" w:color="auto" w:fill="CCEEFF"/>
          </w:tcPr>
          <w:p>
            <w:pPr>
              <w:jc w:val="right"/>
              <w:ind w:right="519"/>
              <w:spacing w:after="0"/>
              <w:rPr>
                <w:sz w:val="20"/>
                <w:szCs w:val="20"/>
                <w:color w:val="auto"/>
              </w:rPr>
            </w:pPr>
            <w:r>
              <w:rPr>
                <w:rFonts w:ascii="Arial" w:cs="Arial" w:eastAsia="Arial" w:hAnsi="Arial"/>
                <w:sz w:val="16"/>
                <w:szCs w:val="16"/>
                <w:b w:val="1"/>
                <w:bCs w:val="1"/>
                <w:color w:val="auto"/>
              </w:rPr>
              <w:t>$4,243</w:t>
            </w:r>
          </w:p>
        </w:tc>
        <w:tc>
          <w:tcPr>
            <w:tcW w:w="190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$4,143</w:t>
            </w:r>
          </w:p>
        </w:tc>
      </w:tr>
      <w:tr>
        <w:trPr>
          <w:trHeight w:val="224"/>
        </w:trPr>
        <w:tc>
          <w:tcPr>
            <w:tcW w:w="5160" w:type="dxa"/>
            <w:vAlign w:val="bottom"/>
          </w:tcPr>
          <w:p>
            <w:pPr>
              <w:ind w:left="40"/>
              <w:spacing w:after="0"/>
              <w:rPr>
                <w:sz w:val="20"/>
                <w:szCs w:val="20"/>
                <w:color w:val="auto"/>
              </w:rPr>
            </w:pPr>
            <w:r>
              <w:rPr>
                <w:rFonts w:ascii="Arial" w:cs="Arial" w:eastAsia="Arial" w:hAnsi="Arial"/>
                <w:sz w:val="16"/>
                <w:szCs w:val="16"/>
                <w:color w:val="auto"/>
              </w:rPr>
              <w:t>Credit card revenues, net</w:t>
            </w:r>
          </w:p>
        </w:tc>
        <w:tc>
          <w:tcPr>
            <w:tcW w:w="4360" w:type="dxa"/>
            <w:vAlign w:val="bottom"/>
          </w:tcPr>
          <w:p>
            <w:pPr>
              <w:jc w:val="right"/>
              <w:ind w:right="519"/>
              <w:spacing w:after="0"/>
              <w:rPr>
                <w:sz w:val="20"/>
                <w:szCs w:val="20"/>
                <w:color w:val="auto"/>
              </w:rPr>
            </w:pPr>
            <w:r>
              <w:rPr>
                <w:rFonts w:ascii="Arial" w:cs="Arial" w:eastAsia="Arial" w:hAnsi="Arial"/>
                <w:sz w:val="16"/>
                <w:szCs w:val="16"/>
                <w:b w:val="1"/>
                <w:bCs w:val="1"/>
                <w:color w:val="auto"/>
              </w:rPr>
              <w:t>73</w:t>
            </w:r>
          </w:p>
        </w:tc>
        <w:tc>
          <w:tcPr>
            <w:tcW w:w="1900" w:type="dxa"/>
            <w:vAlign w:val="bottom"/>
          </w:tcPr>
          <w:p>
            <w:pPr>
              <w:jc w:val="right"/>
              <w:ind w:right="279"/>
              <w:spacing w:after="0"/>
              <w:rPr>
                <w:sz w:val="20"/>
                <w:szCs w:val="20"/>
                <w:color w:val="auto"/>
              </w:rPr>
            </w:pPr>
            <w:r>
              <w:rPr>
                <w:rFonts w:ascii="Arial" w:cs="Arial" w:eastAsia="Arial" w:hAnsi="Arial"/>
                <w:sz w:val="16"/>
                <w:szCs w:val="16"/>
                <w:color w:val="auto"/>
              </w:rPr>
              <w:t>51</w:t>
            </w:r>
          </w:p>
        </w:tc>
      </w:tr>
      <w:tr>
        <w:trPr>
          <w:trHeight w:val="33"/>
        </w:trPr>
        <w:tc>
          <w:tcPr>
            <w:tcW w:w="516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4360" w:type="dxa"/>
            <w:vAlign w:val="bottom"/>
            <w:tcBorders>
              <w:bottom w:val="single" w:sz="8" w:color="CCEEFF"/>
            </w:tcBorders>
            <w:shd w:val="clear" w:color="auto" w:fill="CCEEFF"/>
          </w:tcPr>
          <w:p>
            <w:pPr>
              <w:jc w:val="right"/>
              <w:ind w:right="519"/>
              <w:spacing w:after="0"/>
              <w:rPr>
                <w:sz w:val="20"/>
                <w:szCs w:val="20"/>
                <w:color w:val="auto"/>
              </w:rPr>
            </w:pPr>
            <w:r>
              <w:rPr>
                <w:rFonts w:ascii="Arial" w:cs="Arial" w:eastAsia="Arial" w:hAnsi="Arial"/>
                <w:sz w:val="16"/>
                <w:szCs w:val="16"/>
                <w:b w:val="1"/>
                <w:bCs w:val="1"/>
                <w:color w:val="auto"/>
              </w:rPr>
              <w:t>1,523</w:t>
            </w:r>
          </w:p>
        </w:tc>
        <w:tc>
          <w:tcPr>
            <w:tcW w:w="190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1,443</w:t>
            </w: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color w:val="auto"/>
              </w:rPr>
              <w:t>Gross profit (% of net sales)</w:t>
            </w:r>
          </w:p>
        </w:tc>
        <w:tc>
          <w:tcPr>
            <w:tcW w:w="4360" w:type="dxa"/>
            <w:vAlign w:val="bottom"/>
          </w:tcPr>
          <w:p>
            <w:pPr>
              <w:jc w:val="right"/>
              <w:ind w:right="359"/>
              <w:spacing w:after="0"/>
              <w:rPr>
                <w:sz w:val="20"/>
                <w:szCs w:val="20"/>
                <w:color w:val="auto"/>
              </w:rPr>
            </w:pPr>
            <w:r>
              <w:rPr>
                <w:rFonts w:ascii="Arial" w:cs="Arial" w:eastAsia="Arial" w:hAnsi="Arial"/>
                <w:sz w:val="16"/>
                <w:szCs w:val="16"/>
                <w:b w:val="1"/>
                <w:bCs w:val="1"/>
                <w:color w:val="auto"/>
              </w:rPr>
              <w:t>35.9%</w:t>
            </w:r>
          </w:p>
        </w:tc>
        <w:tc>
          <w:tcPr>
            <w:tcW w:w="1900" w:type="dxa"/>
            <w:vAlign w:val="bottom"/>
          </w:tcPr>
          <w:p>
            <w:pPr>
              <w:jc w:val="right"/>
              <w:ind w:right="139"/>
              <w:spacing w:after="0"/>
              <w:rPr>
                <w:sz w:val="20"/>
                <w:szCs w:val="20"/>
                <w:color w:val="auto"/>
              </w:rPr>
            </w:pPr>
            <w:r>
              <w:rPr>
                <w:rFonts w:ascii="Arial" w:cs="Arial" w:eastAsia="Arial" w:hAnsi="Arial"/>
                <w:sz w:val="16"/>
                <w:szCs w:val="16"/>
                <w:color w:val="auto"/>
              </w:rPr>
              <w:t>34.8%</w:t>
            </w:r>
          </w:p>
        </w:tc>
      </w:tr>
      <w:tr>
        <w:trPr>
          <w:trHeight w:val="33"/>
        </w:trPr>
        <w:tc>
          <w:tcPr>
            <w:tcW w:w="516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Retail SG&amp;A expenses</w:t>
            </w:r>
          </w:p>
        </w:tc>
        <w:tc>
          <w:tcPr>
            <w:tcW w:w="4360" w:type="dxa"/>
            <w:vAlign w:val="bottom"/>
            <w:tcBorders>
              <w:bottom w:val="single" w:sz="8" w:color="CCEEFF"/>
            </w:tcBorders>
            <w:shd w:val="clear" w:color="auto" w:fill="CCEEFF"/>
          </w:tcPr>
          <w:p>
            <w:pPr>
              <w:jc w:val="right"/>
              <w:ind w:right="459"/>
              <w:spacing w:after="0"/>
              <w:rPr>
                <w:sz w:val="20"/>
                <w:szCs w:val="20"/>
                <w:color w:val="auto"/>
              </w:rPr>
            </w:pPr>
            <w:r>
              <w:rPr>
                <w:rFonts w:ascii="Arial" w:cs="Arial" w:eastAsia="Arial" w:hAnsi="Arial"/>
                <w:sz w:val="16"/>
                <w:szCs w:val="16"/>
                <w:b w:val="1"/>
                <w:bCs w:val="1"/>
                <w:color w:val="auto"/>
              </w:rPr>
              <w:t>(1,134)</w:t>
            </w:r>
          </w:p>
        </w:tc>
        <w:tc>
          <w:tcPr>
            <w:tcW w:w="19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(1,136)</w:t>
            </w: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color w:val="auto"/>
              </w:rPr>
              <w:t>Retail SG&amp;A expenses (% of net sales)</w:t>
            </w:r>
          </w:p>
        </w:tc>
        <w:tc>
          <w:tcPr>
            <w:tcW w:w="4360" w:type="dxa"/>
            <w:vAlign w:val="bottom"/>
          </w:tcPr>
          <w:p>
            <w:pPr>
              <w:jc w:val="right"/>
              <w:ind w:right="299"/>
              <w:spacing w:after="0"/>
              <w:rPr>
                <w:sz w:val="20"/>
                <w:szCs w:val="20"/>
                <w:color w:val="auto"/>
              </w:rPr>
            </w:pPr>
            <w:r>
              <w:rPr>
                <w:rFonts w:ascii="Arial" w:cs="Arial" w:eastAsia="Arial" w:hAnsi="Arial"/>
                <w:sz w:val="16"/>
                <w:szCs w:val="16"/>
                <w:b w:val="1"/>
                <w:bCs w:val="1"/>
                <w:color w:val="auto"/>
              </w:rPr>
              <w:t>(26.7%)</w:t>
            </w:r>
          </w:p>
        </w:tc>
        <w:tc>
          <w:tcPr>
            <w:tcW w:w="1900" w:type="dxa"/>
            <w:vAlign w:val="bottom"/>
          </w:tcPr>
          <w:p>
            <w:pPr>
              <w:jc w:val="right"/>
              <w:ind w:right="79"/>
              <w:spacing w:after="0"/>
              <w:rPr>
                <w:sz w:val="20"/>
                <w:szCs w:val="20"/>
                <w:color w:val="auto"/>
              </w:rPr>
            </w:pPr>
            <w:r>
              <w:rPr>
                <w:rFonts w:ascii="Arial" w:cs="Arial" w:eastAsia="Arial" w:hAnsi="Arial"/>
                <w:sz w:val="16"/>
                <w:szCs w:val="16"/>
                <w:color w:val="auto"/>
              </w:rPr>
              <w:t>(27.4%)</w:t>
            </w:r>
          </w:p>
        </w:tc>
      </w:tr>
      <w:tr>
        <w:trPr>
          <w:trHeight w:val="33"/>
        </w:trPr>
        <w:tc>
          <w:tcPr>
            <w:tcW w:w="516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Credit expenses</w:t>
            </w:r>
          </w:p>
        </w:tc>
        <w:tc>
          <w:tcPr>
            <w:tcW w:w="4360" w:type="dxa"/>
            <w:vAlign w:val="bottom"/>
            <w:tcBorders>
              <w:bottom w:val="single" w:sz="8" w:color="CCEEFF"/>
            </w:tcBorders>
            <w:shd w:val="clear" w:color="auto" w:fill="CCEEFF"/>
          </w:tcPr>
          <w:p>
            <w:pPr>
              <w:jc w:val="right"/>
              <w:ind w:right="459"/>
              <w:spacing w:after="0"/>
              <w:rPr>
                <w:sz w:val="20"/>
                <w:szCs w:val="20"/>
                <w:color w:val="auto"/>
              </w:rPr>
            </w:pPr>
            <w:r>
              <w:rPr>
                <w:rFonts w:ascii="Arial" w:cs="Arial" w:eastAsia="Arial" w:hAnsi="Arial"/>
                <w:sz w:val="16"/>
                <w:szCs w:val="16"/>
                <w:b w:val="1"/>
                <w:bCs w:val="1"/>
                <w:color w:val="auto"/>
              </w:rPr>
              <w:t>(42)</w:t>
            </w:r>
          </w:p>
        </w:tc>
        <w:tc>
          <w:tcPr>
            <w:tcW w:w="19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(36)</w:t>
            </w: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color w:val="auto"/>
              </w:rPr>
              <w:t>Net earnings</w:t>
            </w:r>
          </w:p>
        </w:tc>
        <w:tc>
          <w:tcPr>
            <w:tcW w:w="4360" w:type="dxa"/>
            <w:vAlign w:val="bottom"/>
          </w:tcPr>
          <w:p>
            <w:pPr>
              <w:jc w:val="right"/>
              <w:ind w:right="519"/>
              <w:spacing w:after="0"/>
              <w:rPr>
                <w:sz w:val="20"/>
                <w:szCs w:val="20"/>
                <w:color w:val="auto"/>
              </w:rPr>
            </w:pPr>
            <w:r>
              <w:rPr>
                <w:rFonts w:ascii="Arial" w:cs="Arial" w:eastAsia="Arial" w:hAnsi="Arial"/>
                <w:sz w:val="16"/>
                <w:szCs w:val="16"/>
                <w:b w:val="1"/>
                <w:bCs w:val="1"/>
                <w:color w:val="auto"/>
              </w:rPr>
              <w:t>201</w:t>
            </w:r>
          </w:p>
        </w:tc>
        <w:tc>
          <w:tcPr>
            <w:tcW w:w="1900" w:type="dxa"/>
            <w:vAlign w:val="bottom"/>
          </w:tcPr>
          <w:p>
            <w:pPr>
              <w:jc w:val="right"/>
              <w:ind w:right="279"/>
              <w:spacing w:after="0"/>
              <w:rPr>
                <w:sz w:val="20"/>
                <w:szCs w:val="20"/>
                <w:color w:val="auto"/>
              </w:rPr>
            </w:pPr>
            <w:r>
              <w:rPr>
                <w:rFonts w:ascii="Arial" w:cs="Arial" w:eastAsia="Arial" w:hAnsi="Arial"/>
                <w:sz w:val="16"/>
                <w:szCs w:val="16"/>
                <w:color w:val="auto"/>
              </w:rPr>
              <w:t>180</w:t>
            </w:r>
          </w:p>
        </w:tc>
      </w:tr>
      <w:tr>
        <w:trPr>
          <w:trHeight w:val="33"/>
        </w:trPr>
        <w:tc>
          <w:tcPr>
            <w:tcW w:w="516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EPS (diluted)</w:t>
            </w:r>
          </w:p>
        </w:tc>
        <w:tc>
          <w:tcPr>
            <w:tcW w:w="4360" w:type="dxa"/>
            <w:vAlign w:val="bottom"/>
            <w:tcBorders>
              <w:bottom w:val="single" w:sz="8" w:color="CCEEFF"/>
            </w:tcBorders>
            <w:shd w:val="clear" w:color="auto" w:fill="CCEEFF"/>
          </w:tcPr>
          <w:p>
            <w:pPr>
              <w:jc w:val="right"/>
              <w:ind w:right="519"/>
              <w:spacing w:after="0"/>
              <w:rPr>
                <w:sz w:val="20"/>
                <w:szCs w:val="20"/>
                <w:color w:val="auto"/>
              </w:rPr>
            </w:pPr>
            <w:r>
              <w:rPr>
                <w:rFonts w:ascii="Arial" w:cs="Arial" w:eastAsia="Arial" w:hAnsi="Arial"/>
                <w:sz w:val="16"/>
                <w:szCs w:val="16"/>
                <w:b w:val="1"/>
                <w:bCs w:val="1"/>
                <w:color w:val="auto"/>
              </w:rPr>
              <w:t>$1.15</w:t>
            </w:r>
          </w:p>
        </w:tc>
        <w:tc>
          <w:tcPr>
            <w:tcW w:w="190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$1.00</w:t>
            </w:r>
          </w:p>
        </w:tc>
      </w:tr>
      <w:tr>
        <w:trPr>
          <w:trHeight w:val="20"/>
        </w:trPr>
        <w:tc>
          <w:tcPr>
            <w:tcW w:w="5160" w:type="dxa"/>
            <w:vAlign w:val="bottom"/>
            <w:shd w:val="clear" w:color="auto" w:fill="000000"/>
          </w:tcPr>
          <w:p>
            <w:pPr>
              <w:spacing w:after="0" w:line="20" w:lineRule="exact"/>
              <w:rPr>
                <w:sz w:val="1"/>
                <w:szCs w:val="1"/>
                <w:color w:val="auto"/>
              </w:rPr>
            </w:pPr>
          </w:p>
        </w:tc>
        <w:tc>
          <w:tcPr>
            <w:tcW w:w="4360" w:type="dxa"/>
            <w:vAlign w:val="bottom"/>
            <w:shd w:val="clear" w:color="auto" w:fill="000000"/>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Net Sales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Total Company net sales increased 2.4% in the fourth quarter of 2016, compared with the same period in 2015, while comparable sales decreased 0.9%.</w:t>
      </w:r>
    </w:p>
    <w:p>
      <w:pPr>
        <w:spacing w:after="0" w:line="18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Full-price net sales decreased 2.8% for the quarter ended January 28, 2017, compared with the same period in 2015, while comparable sales decreased 2.9%. Also on a comparable basis for the quarter, full-price sales reflected a decrease in the number of items sold, partially offset by an increase in the average selling price per item sold. For the fourth quarter, the top-performing merchandise categories were Women’s Apparel and Beauty, and the East was the top-performing geographic region.</w:t>
      </w:r>
    </w:p>
    <w:p>
      <w:pPr>
        <w:spacing w:after="0" w:line="133"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Off-price net sales increased 10.7% for the quarter ended January 28, 2017, compared with the same period in 2015, while comparable sales increased 4.3%. Nordstrom Rack net sales increased 7.4% attributable to 21 new store openings since the end of 2015. On a comparable basis, the number of items sold increased at Nordstrom Rack, partially offset by a decrease in the average selling price per item sold. Kids was the top-performing merchandise category and the East was the top-performing geographic region for the quarter ended January 28, 2017.</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Credit Card Revenues, net</w:t>
      </w:r>
    </w:p>
    <w:p>
      <w:pPr>
        <w:spacing w:after="0" w:line="23"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Credit card revenues, net increased $22 for the quarter, compared with the same period in the prior year, primarily due to higher amortization of the beneficial interest asset in the fourth quarter of 2015.</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Gross Profit</w:t>
      </w:r>
    </w:p>
    <w:p>
      <w:pPr>
        <w:spacing w:after="0" w:line="23" w:lineRule="exact"/>
        <w:rPr>
          <w:sz w:val="20"/>
          <w:szCs w:val="20"/>
          <w:color w:val="auto"/>
        </w:rPr>
      </w:pPr>
    </w:p>
    <w:p>
      <w:pPr>
        <w:ind w:right="260"/>
        <w:spacing w:after="0" w:line="323" w:lineRule="auto"/>
        <w:rPr>
          <w:sz w:val="20"/>
          <w:szCs w:val="20"/>
          <w:color w:val="auto"/>
        </w:rPr>
      </w:pPr>
      <w:r>
        <w:rPr>
          <w:rFonts w:ascii="Arial" w:cs="Arial" w:eastAsia="Arial" w:hAnsi="Arial"/>
          <w:sz w:val="16"/>
          <w:szCs w:val="16"/>
          <w:color w:val="auto"/>
        </w:rPr>
        <w:t>Our total Company gross profit rate increased 106 basis points compared with the same period in 2015, reflecting strong inventory execution in addition to reduced competitive markdowns. Inventory declined 2.5%, which reflected a positive spread of 5 percentage points relative to sales growth.</w:t>
      </w:r>
    </w:p>
    <w:p>
      <w:pPr>
        <w:sectPr>
          <w:pgSz w:w="11900" w:h="16838" w:orient="portrait"/>
          <w:cols w:equalWidth="0" w:num="1">
            <w:col w:w="11420"/>
          </w:cols>
          <w:pgMar w:left="240" w:top="126" w:right="239" w:bottom="1440" w:gutter="0" w:footer="0" w:header="0"/>
        </w:sectPr>
      </w:pPr>
    </w:p>
    <w:p>
      <w:pPr>
        <w:spacing w:after="0" w:line="386" w:lineRule="exact"/>
        <w:rPr>
          <w:sz w:val="20"/>
          <w:szCs w:val="20"/>
          <w:color w:val="auto"/>
        </w:rPr>
      </w:pPr>
    </w:p>
    <w:p>
      <w:pP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0"/>
          </w:cols>
          <w:pgMar w:left="240" w:top="126" w:right="239" w:bottom="1440" w:gutter="0" w:footer="0" w:header="0"/>
          <w:type w:val="continuous"/>
        </w:sectPr>
      </w:pPr>
    </w:p>
    <w:bookmarkStart w:id="24" w:name="page25"/>
    <w:bookmarkEnd w:id="24"/>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color w:val="auto"/>
        </w:rPr>
        <w:t>Retail Selling, General and Administrative Expenses</w:t>
      </w:r>
    </w:p>
    <w:p>
      <w:pPr>
        <w:spacing w:after="0" w:line="23"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Our Retail SG&amp;A rate decreased 67 basis points primarily due to asset impairment charges occurring in the fourth quarter of 2015 and a non-operational legal settlement gain of $22 in 2016. This was partially offset by performance-related costs associated with company performance.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Credit Expenses</w:t>
      </w:r>
    </w:p>
    <w:p>
      <w:pPr>
        <w:spacing w:after="0" w:line="23"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In the fourth quarter of 2016, total credit expenses increased $6 compared with the fourth quarter of 2015, driven primarily by increased credit card settlement fees and labor.</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For further information on our quarterly results in 2016 and 2015, refer to Note 16: Selected Quarterly Data in Item 8.</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Earnings and Adjusted Earnings Per Share (Non-GAAP financial measures)</w:t>
      </w:r>
    </w:p>
    <w:p>
      <w:pPr>
        <w:spacing w:after="0" w:line="27"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We believe that Adjusted Earnings and Adjusted Earnings Per Share provide useful information to investors in evaluating our business performance for the quarter and year ended January 28, 2017. The effect of excluding certain items from net earnings provides management and shareholders an alternative measure to use in evaluating our business performance period over period.</w:t>
      </w:r>
    </w:p>
    <w:p>
      <w:pPr>
        <w:spacing w:after="0" w:line="136"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Adjusted Earnings and Adjusted Earnings Per Share are not measures of financial performance under generally accepted accounting principles (“GAAP”) and should be considered in addition to, and not as a substitute for, net earnings, earnings per share and diluted earnings per share or other financial measures prepared in accordance with GAAP. Our method of determining non-GAAP financial measures may differ from other companies’ financial measures and therefore may not be comparable to methods used by other companies. The financial measures calculated under GAAP which are most directly comparable to Adjusted Earnings and Adjusted Earnings Per Share are net earnings and diluted earnings per share, which are reconciled below:</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80" w:type="dxa"/>
            <w:vAlign w:val="bottom"/>
          </w:tcPr>
          <w:p>
            <w:pPr>
              <w:spacing w:after="0"/>
              <w:rPr>
                <w:sz w:val="18"/>
                <w:szCs w:val="18"/>
                <w:color w:val="auto"/>
              </w:rPr>
            </w:pPr>
          </w:p>
        </w:tc>
        <w:tc>
          <w:tcPr>
            <w:tcW w:w="3920" w:type="dxa"/>
            <w:vAlign w:val="bottom"/>
            <w:gridSpan w:val="3"/>
          </w:tcPr>
          <w:p>
            <w:pPr>
              <w:ind w:left="780"/>
              <w:spacing w:after="0"/>
              <w:rPr>
                <w:sz w:val="20"/>
                <w:szCs w:val="20"/>
                <w:color w:val="auto"/>
              </w:rPr>
            </w:pPr>
            <w:r>
              <w:rPr>
                <w:rFonts w:ascii="Arial" w:cs="Arial" w:eastAsia="Arial" w:hAnsi="Arial"/>
                <w:sz w:val="16"/>
                <w:szCs w:val="16"/>
                <w:b w:val="1"/>
                <w:bCs w:val="1"/>
                <w:color w:val="auto"/>
              </w:rPr>
              <w:t>Quarter Ended January 28, 2017</w:t>
            </w:r>
          </w:p>
        </w:tc>
        <w:tc>
          <w:tcPr>
            <w:tcW w:w="3720" w:type="dxa"/>
            <w:vAlign w:val="bottom"/>
            <w:gridSpan w:val="2"/>
          </w:tcPr>
          <w:p>
            <w:pPr>
              <w:jc w:val="right"/>
              <w:ind w:right="759"/>
              <w:spacing w:after="0"/>
              <w:rPr>
                <w:sz w:val="20"/>
                <w:szCs w:val="20"/>
                <w:color w:val="auto"/>
              </w:rPr>
            </w:pPr>
            <w:r>
              <w:rPr>
                <w:rFonts w:ascii="Arial" w:cs="Arial" w:eastAsia="Arial" w:hAnsi="Arial"/>
                <w:sz w:val="16"/>
                <w:szCs w:val="16"/>
                <w:b w:val="1"/>
                <w:bCs w:val="1"/>
                <w:color w:val="auto"/>
              </w:rPr>
              <w:t>Year Ended January 28, 2017</w:t>
            </w:r>
          </w:p>
        </w:tc>
      </w:tr>
      <w:tr>
        <w:trPr>
          <w:trHeight w:val="33"/>
        </w:trPr>
        <w:tc>
          <w:tcPr>
            <w:tcW w:w="378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31"/>
        </w:trPr>
        <w:tc>
          <w:tcPr>
            <w:tcW w:w="3780" w:type="dxa"/>
            <w:vAlign w:val="bottom"/>
          </w:tcPr>
          <w:p>
            <w:pPr>
              <w:spacing w:after="0"/>
              <w:rPr>
                <w:sz w:val="20"/>
                <w:szCs w:val="20"/>
                <w:color w:val="auto"/>
              </w:rPr>
            </w:pPr>
          </w:p>
        </w:tc>
        <w:tc>
          <w:tcPr>
            <w:tcW w:w="2060" w:type="dxa"/>
            <w:vAlign w:val="bottom"/>
          </w:tcPr>
          <w:p>
            <w:pPr>
              <w:jc w:val="right"/>
              <w:ind w:right="259"/>
              <w:spacing w:after="0"/>
              <w:rPr>
                <w:sz w:val="20"/>
                <w:szCs w:val="20"/>
                <w:color w:val="auto"/>
              </w:rPr>
            </w:pPr>
            <w:r>
              <w:rPr>
                <w:rFonts w:ascii="Arial" w:cs="Arial" w:eastAsia="Arial" w:hAnsi="Arial"/>
                <w:sz w:val="16"/>
                <w:szCs w:val="16"/>
                <w:b w:val="1"/>
                <w:bCs w:val="1"/>
                <w:color w:val="auto"/>
              </w:rPr>
              <w:t>Amount</w:t>
            </w:r>
          </w:p>
        </w:tc>
        <w:tc>
          <w:tcPr>
            <w:tcW w:w="1860" w:type="dxa"/>
            <w:vAlign w:val="bottom"/>
            <w:gridSpan w:val="2"/>
          </w:tcPr>
          <w:p>
            <w:pPr>
              <w:ind w:left="340"/>
              <w:spacing w:after="0"/>
              <w:rPr>
                <w:sz w:val="20"/>
                <w:szCs w:val="20"/>
                <w:color w:val="auto"/>
              </w:rPr>
            </w:pPr>
            <w:r>
              <w:rPr>
                <w:rFonts w:ascii="Arial" w:cs="Arial" w:eastAsia="Arial" w:hAnsi="Arial"/>
                <w:sz w:val="16"/>
                <w:szCs w:val="16"/>
                <w:b w:val="1"/>
                <w:bCs w:val="1"/>
                <w:color w:val="auto"/>
              </w:rPr>
              <w:t>Amount Per Share</w:t>
            </w:r>
          </w:p>
        </w:tc>
        <w:tc>
          <w:tcPr>
            <w:tcW w:w="2000" w:type="dxa"/>
            <w:vAlign w:val="bottom"/>
          </w:tcPr>
          <w:p>
            <w:pPr>
              <w:jc w:val="right"/>
              <w:ind w:right="219"/>
              <w:spacing w:after="0"/>
              <w:rPr>
                <w:sz w:val="20"/>
                <w:szCs w:val="20"/>
                <w:color w:val="auto"/>
              </w:rPr>
            </w:pPr>
            <w:r>
              <w:rPr>
                <w:rFonts w:ascii="Arial" w:cs="Arial" w:eastAsia="Arial" w:hAnsi="Arial"/>
                <w:sz w:val="16"/>
                <w:szCs w:val="16"/>
                <w:b w:val="1"/>
                <w:bCs w:val="1"/>
                <w:color w:val="auto"/>
              </w:rPr>
              <w:t>Amount</w:t>
            </w:r>
          </w:p>
        </w:tc>
        <w:tc>
          <w:tcPr>
            <w:tcW w:w="1720" w:type="dxa"/>
            <w:vAlign w:val="bottom"/>
          </w:tcPr>
          <w:p>
            <w:pPr>
              <w:jc w:val="right"/>
              <w:ind w:right="19"/>
              <w:spacing w:after="0"/>
              <w:rPr>
                <w:sz w:val="20"/>
                <w:szCs w:val="20"/>
                <w:color w:val="auto"/>
              </w:rPr>
            </w:pPr>
            <w:r>
              <w:rPr>
                <w:rFonts w:ascii="Arial" w:cs="Arial" w:eastAsia="Arial" w:hAnsi="Arial"/>
                <w:sz w:val="16"/>
                <w:szCs w:val="16"/>
                <w:b w:val="1"/>
                <w:bCs w:val="1"/>
                <w:color w:val="auto"/>
              </w:rPr>
              <w:t>Amount Per Share</w:t>
            </w:r>
          </w:p>
        </w:tc>
      </w:tr>
      <w:tr>
        <w:trPr>
          <w:trHeight w:val="33"/>
        </w:trPr>
        <w:tc>
          <w:tcPr>
            <w:tcW w:w="378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44"/>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earnings</w:t>
            </w:r>
          </w:p>
        </w:tc>
        <w:tc>
          <w:tcPr>
            <w:tcW w:w="20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b w:val="1"/>
                <w:bCs w:val="1"/>
                <w:color w:val="auto"/>
              </w:rPr>
              <w:t>$201</w:t>
            </w:r>
          </w:p>
        </w:tc>
        <w:tc>
          <w:tcPr>
            <w:tcW w:w="1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$1.15</w:t>
            </w:r>
          </w:p>
        </w:tc>
        <w:tc>
          <w:tcPr>
            <w:tcW w:w="12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$354</w:t>
            </w:r>
          </w:p>
        </w:tc>
        <w:tc>
          <w:tcPr>
            <w:tcW w:w="1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$2.02</w:t>
            </w: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Trunk Club goodwill impairment</w:t>
            </w:r>
          </w:p>
        </w:tc>
        <w:tc>
          <w:tcPr>
            <w:tcW w:w="20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1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0" w:type="dxa"/>
            <w:vAlign w:val="bottom"/>
          </w:tcPr>
          <w:p>
            <w:pPr>
              <w:jc w:val="right"/>
              <w:ind w:right="219"/>
              <w:spacing w:after="0"/>
              <w:rPr>
                <w:sz w:val="20"/>
                <w:szCs w:val="20"/>
                <w:color w:val="auto"/>
              </w:rPr>
            </w:pPr>
            <w:r>
              <w:rPr>
                <w:rFonts w:ascii="Arial" w:cs="Arial" w:eastAsia="Arial" w:hAnsi="Arial"/>
                <w:sz w:val="16"/>
                <w:szCs w:val="16"/>
                <w:color w:val="auto"/>
              </w:rPr>
              <w:t>197</w:t>
            </w: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1.12</w:t>
            </w:r>
          </w:p>
        </w:tc>
      </w:tr>
      <w:tr>
        <w:trPr>
          <w:trHeight w:val="33"/>
        </w:trPr>
        <w:tc>
          <w:tcPr>
            <w:tcW w:w="37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70"/>
        </w:trPr>
        <w:tc>
          <w:tcPr>
            <w:tcW w:w="37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w w:val="96"/>
              </w:rPr>
              <w:t>Tax effect of non-deductible charges in interim period</w:t>
            </w:r>
            <w:r>
              <w:rPr>
                <w:rFonts w:ascii="Arial" w:cs="Arial" w:eastAsia="Arial" w:hAnsi="Arial"/>
                <w:sz w:val="21"/>
                <w:szCs w:val="21"/>
                <w:color w:val="auto"/>
                <w:w w:val="96"/>
                <w:vertAlign w:val="superscript"/>
              </w:rPr>
              <w:t>1</w:t>
            </w:r>
          </w:p>
        </w:tc>
        <w:tc>
          <w:tcPr>
            <w:tcW w:w="206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39</w:t>
            </w:r>
          </w:p>
        </w:tc>
        <w:tc>
          <w:tcPr>
            <w:tcW w:w="17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0.22</w:t>
            </w:r>
          </w:p>
        </w:tc>
        <w:tc>
          <w:tcPr>
            <w:tcW w:w="120" w:type="dxa"/>
            <w:vAlign w:val="bottom"/>
            <w:tcBorders>
              <w:bottom w:val="single" w:sz="8" w:color="auto"/>
            </w:tcBorders>
            <w:shd w:val="clear" w:color="auto" w:fill="CCEEFF"/>
          </w:tcPr>
          <w:p>
            <w:pPr>
              <w:spacing w:after="0"/>
              <w:rPr>
                <w:sz w:val="23"/>
                <w:szCs w:val="23"/>
                <w:color w:val="auto"/>
              </w:rPr>
            </w:pPr>
          </w:p>
        </w:tc>
        <w:tc>
          <w:tcPr>
            <w:tcW w:w="20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1"/>
        </w:trPr>
        <w:tc>
          <w:tcPr>
            <w:tcW w:w="3780" w:type="dxa"/>
            <w:vAlign w:val="bottom"/>
          </w:tcPr>
          <w:p>
            <w:pPr>
              <w:ind w:left="40"/>
              <w:spacing w:after="0"/>
              <w:rPr>
                <w:sz w:val="20"/>
                <w:szCs w:val="20"/>
                <w:color w:val="auto"/>
              </w:rPr>
            </w:pPr>
            <w:r>
              <w:rPr>
                <w:rFonts w:ascii="Arial" w:cs="Arial" w:eastAsia="Arial" w:hAnsi="Arial"/>
                <w:sz w:val="16"/>
                <w:szCs w:val="16"/>
                <w:b w:val="1"/>
                <w:bCs w:val="1"/>
                <w:color w:val="auto"/>
              </w:rPr>
              <w:t>Adjusted Earnings</w:t>
            </w:r>
          </w:p>
        </w:tc>
        <w:tc>
          <w:tcPr>
            <w:tcW w:w="2060" w:type="dxa"/>
            <w:vAlign w:val="bottom"/>
          </w:tcPr>
          <w:p>
            <w:pPr>
              <w:jc w:val="right"/>
              <w:ind w:right="259"/>
              <w:spacing w:after="0"/>
              <w:rPr>
                <w:sz w:val="20"/>
                <w:szCs w:val="20"/>
                <w:color w:val="auto"/>
              </w:rPr>
            </w:pPr>
            <w:r>
              <w:rPr>
                <w:rFonts w:ascii="Arial" w:cs="Arial" w:eastAsia="Arial" w:hAnsi="Arial"/>
                <w:sz w:val="16"/>
                <w:szCs w:val="16"/>
                <w:b w:val="1"/>
                <w:bCs w:val="1"/>
                <w:color w:val="auto"/>
              </w:rPr>
              <w:t>$240</w:t>
            </w:r>
          </w:p>
        </w:tc>
        <w:tc>
          <w:tcPr>
            <w:tcW w:w="1740" w:type="dxa"/>
            <w:vAlign w:val="bottom"/>
          </w:tcPr>
          <w:p>
            <w:pPr>
              <w:jc w:val="right"/>
              <w:ind w:right="19"/>
              <w:spacing w:after="0"/>
              <w:rPr>
                <w:sz w:val="20"/>
                <w:szCs w:val="20"/>
                <w:color w:val="auto"/>
              </w:rPr>
            </w:pPr>
            <w:r>
              <w:rPr>
                <w:rFonts w:ascii="Arial" w:cs="Arial" w:eastAsia="Arial" w:hAnsi="Arial"/>
                <w:sz w:val="16"/>
                <w:szCs w:val="16"/>
                <w:b w:val="1"/>
                <w:bCs w:val="1"/>
                <w:color w:val="auto"/>
              </w:rPr>
              <w:t>$1.37</w:t>
            </w:r>
          </w:p>
        </w:tc>
        <w:tc>
          <w:tcPr>
            <w:tcW w:w="120" w:type="dxa"/>
            <w:vAlign w:val="bottom"/>
          </w:tcPr>
          <w:p>
            <w:pPr>
              <w:spacing w:after="0"/>
              <w:rPr>
                <w:sz w:val="20"/>
                <w:szCs w:val="20"/>
                <w:color w:val="auto"/>
              </w:rPr>
            </w:pPr>
          </w:p>
        </w:tc>
        <w:tc>
          <w:tcPr>
            <w:tcW w:w="2000" w:type="dxa"/>
            <w:vAlign w:val="bottom"/>
          </w:tcPr>
          <w:p>
            <w:pPr>
              <w:jc w:val="right"/>
              <w:ind w:right="219"/>
              <w:spacing w:after="0"/>
              <w:rPr>
                <w:sz w:val="20"/>
                <w:szCs w:val="20"/>
                <w:color w:val="auto"/>
              </w:rPr>
            </w:pPr>
            <w:r>
              <w:rPr>
                <w:rFonts w:ascii="Arial" w:cs="Arial" w:eastAsia="Arial" w:hAnsi="Arial"/>
                <w:sz w:val="16"/>
                <w:szCs w:val="16"/>
                <w:b w:val="1"/>
                <w:bCs w:val="1"/>
                <w:color w:val="auto"/>
              </w:rPr>
              <w:t>$551</w:t>
            </w:r>
          </w:p>
        </w:tc>
        <w:tc>
          <w:tcPr>
            <w:tcW w:w="1720" w:type="dxa"/>
            <w:vAlign w:val="bottom"/>
          </w:tcPr>
          <w:p>
            <w:pPr>
              <w:jc w:val="right"/>
              <w:ind w:right="19"/>
              <w:spacing w:after="0"/>
              <w:rPr>
                <w:sz w:val="20"/>
                <w:szCs w:val="20"/>
                <w:color w:val="auto"/>
              </w:rPr>
            </w:pPr>
            <w:r>
              <w:rPr>
                <w:rFonts w:ascii="Arial" w:cs="Arial" w:eastAsia="Arial" w:hAnsi="Arial"/>
                <w:sz w:val="16"/>
                <w:szCs w:val="16"/>
                <w:b w:val="1"/>
                <w:bCs w:val="1"/>
                <w:color w:val="auto"/>
              </w:rPr>
              <w:t>$3.14</w:t>
            </w:r>
          </w:p>
        </w:tc>
      </w:tr>
    </w:tbl>
    <w:p>
      <w:pPr>
        <w:spacing w:after="0" w:line="28" w:lineRule="exact"/>
        <w:rPr>
          <w:sz w:val="20"/>
          <w:szCs w:val="20"/>
          <w:color w:val="auto"/>
        </w:rPr>
      </w:pPr>
    </w:p>
    <w:p>
      <w:pPr>
        <w:ind w:left="80" w:right="100" w:hanging="72"/>
        <w:spacing w:after="0" w:line="273" w:lineRule="auto"/>
        <w:tabs>
          <w:tab w:leader="none" w:pos="80" w:val="left"/>
        </w:tabs>
        <w:numPr>
          <w:ilvl w:val="0"/>
          <w:numId w:val="24"/>
        </w:numPr>
        <w:rPr>
          <w:rFonts w:ascii="Arial" w:cs="Arial" w:eastAsia="Arial" w:hAnsi="Arial"/>
          <w:sz w:val="9"/>
          <w:szCs w:val="9"/>
          <w:color w:val="auto"/>
        </w:rPr>
      </w:pPr>
      <w:r>
        <w:rPr>
          <w:rFonts w:ascii="Arial" w:cs="Arial" w:eastAsia="Arial" w:hAnsi="Arial"/>
          <w:sz w:val="14"/>
          <w:szCs w:val="14"/>
          <w:color w:val="auto"/>
        </w:rPr>
        <w:t>The effect of taxes on the adjustments used to arrive at Adjusted Earnings is calculated based on applying the estimated annual effective tax rate to Adjusted Earnings plus other tax items for each interim period and is a result of the non-deductible goodwill impairment charge in the third quarter of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2017 Outlook</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Our expectations for 2017, which include the impact of the 53rd week, are as follows: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550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sales (percent)</w:t>
            </w:r>
          </w:p>
        </w:tc>
        <w:tc>
          <w:tcPr>
            <w:tcW w:w="5920" w:type="dxa"/>
            <w:vAlign w:val="bottom"/>
            <w:tcBorders>
              <w:top w:val="single" w:sz="8" w:color="auto"/>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3 to 4 increase</w:t>
            </w:r>
          </w:p>
        </w:tc>
      </w:tr>
      <w:tr>
        <w:trPr>
          <w:trHeight w:val="224"/>
        </w:trPr>
        <w:tc>
          <w:tcPr>
            <w:tcW w:w="5500" w:type="dxa"/>
            <w:vAlign w:val="bottom"/>
          </w:tcPr>
          <w:p>
            <w:pPr>
              <w:ind w:left="40"/>
              <w:spacing w:after="0"/>
              <w:rPr>
                <w:sz w:val="20"/>
                <w:szCs w:val="20"/>
                <w:color w:val="auto"/>
              </w:rPr>
            </w:pPr>
            <w:r>
              <w:rPr>
                <w:rFonts w:ascii="Arial" w:cs="Arial" w:eastAsia="Arial" w:hAnsi="Arial"/>
                <w:sz w:val="16"/>
                <w:szCs w:val="16"/>
                <w:color w:val="auto"/>
              </w:rPr>
              <w:t>Comparable sales (percent)</w:t>
            </w:r>
          </w:p>
        </w:tc>
        <w:tc>
          <w:tcPr>
            <w:tcW w:w="5920" w:type="dxa"/>
            <w:vAlign w:val="bottom"/>
          </w:tcPr>
          <w:p>
            <w:pPr>
              <w:ind w:left="240"/>
              <w:spacing w:after="0"/>
              <w:rPr>
                <w:sz w:val="20"/>
                <w:szCs w:val="20"/>
                <w:color w:val="auto"/>
              </w:rPr>
            </w:pPr>
            <w:r>
              <w:rPr>
                <w:rFonts w:ascii="Arial" w:cs="Arial" w:eastAsia="Arial" w:hAnsi="Arial"/>
                <w:sz w:val="16"/>
                <w:szCs w:val="16"/>
                <w:color w:val="auto"/>
              </w:rPr>
              <w:t>Approximately flat</w:t>
            </w:r>
          </w:p>
        </w:tc>
      </w:tr>
      <w:tr>
        <w:trPr>
          <w:trHeight w:val="33"/>
        </w:trPr>
        <w:tc>
          <w:tcPr>
            <w:tcW w:w="5500" w:type="dxa"/>
            <w:vAlign w:val="bottom"/>
          </w:tcPr>
          <w:p>
            <w:pPr>
              <w:spacing w:after="0"/>
              <w:rPr>
                <w:sz w:val="2"/>
                <w:szCs w:val="2"/>
                <w:color w:val="auto"/>
              </w:rPr>
            </w:pPr>
          </w:p>
        </w:tc>
        <w:tc>
          <w:tcPr>
            <w:tcW w:w="5920" w:type="dxa"/>
            <w:vAlign w:val="bottom"/>
          </w:tcPr>
          <w:p>
            <w:pPr>
              <w:spacing w:after="0"/>
              <w:rPr>
                <w:sz w:val="2"/>
                <w:szCs w:val="2"/>
                <w:color w:val="auto"/>
              </w:rPr>
            </w:pPr>
          </w:p>
        </w:tc>
      </w:tr>
      <w:tr>
        <w:trPr>
          <w:trHeight w:val="237"/>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Retail EBIT</w:t>
            </w:r>
          </w:p>
        </w:tc>
        <w:tc>
          <w:tcPr>
            <w:tcW w:w="59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$780 to $840 million</w:t>
            </w:r>
          </w:p>
        </w:tc>
      </w:tr>
      <w:tr>
        <w:trPr>
          <w:trHeight w:val="224"/>
        </w:trPr>
        <w:tc>
          <w:tcPr>
            <w:tcW w:w="5500" w:type="dxa"/>
            <w:vAlign w:val="bottom"/>
          </w:tcPr>
          <w:p>
            <w:pPr>
              <w:ind w:left="40"/>
              <w:spacing w:after="0"/>
              <w:rPr>
                <w:sz w:val="20"/>
                <w:szCs w:val="20"/>
                <w:color w:val="auto"/>
              </w:rPr>
            </w:pPr>
            <w:r>
              <w:rPr>
                <w:rFonts w:ascii="Arial" w:cs="Arial" w:eastAsia="Arial" w:hAnsi="Arial"/>
                <w:sz w:val="16"/>
                <w:szCs w:val="16"/>
                <w:color w:val="auto"/>
              </w:rPr>
              <w:t>Credit EBIT</w:t>
            </w:r>
          </w:p>
        </w:tc>
        <w:tc>
          <w:tcPr>
            <w:tcW w:w="5920" w:type="dxa"/>
            <w:vAlign w:val="bottom"/>
          </w:tcPr>
          <w:p>
            <w:pPr>
              <w:ind w:left="240"/>
              <w:spacing w:after="0"/>
              <w:rPr>
                <w:sz w:val="20"/>
                <w:szCs w:val="20"/>
                <w:color w:val="auto"/>
              </w:rPr>
            </w:pPr>
            <w:r>
              <w:rPr>
                <w:rFonts w:ascii="Arial" w:cs="Arial" w:eastAsia="Arial" w:hAnsi="Arial"/>
                <w:sz w:val="16"/>
                <w:szCs w:val="16"/>
                <w:color w:val="auto"/>
              </w:rPr>
              <w:t>Approximately $135 million</w:t>
            </w:r>
          </w:p>
        </w:tc>
      </w:tr>
      <w:tr>
        <w:trPr>
          <w:trHeight w:val="33"/>
        </w:trPr>
        <w:tc>
          <w:tcPr>
            <w:tcW w:w="5500" w:type="dxa"/>
            <w:vAlign w:val="bottom"/>
          </w:tcPr>
          <w:p>
            <w:pPr>
              <w:spacing w:after="0"/>
              <w:rPr>
                <w:sz w:val="2"/>
                <w:szCs w:val="2"/>
                <w:color w:val="auto"/>
              </w:rPr>
            </w:pPr>
          </w:p>
        </w:tc>
        <w:tc>
          <w:tcPr>
            <w:tcW w:w="5920" w:type="dxa"/>
            <w:vAlign w:val="bottom"/>
          </w:tcPr>
          <w:p>
            <w:pPr>
              <w:spacing w:after="0"/>
              <w:rPr>
                <w:sz w:val="2"/>
                <w:szCs w:val="2"/>
                <w:color w:val="auto"/>
              </w:rPr>
            </w:pPr>
          </w:p>
        </w:tc>
      </w:tr>
      <w:tr>
        <w:trPr>
          <w:trHeight w:val="237"/>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5"/>
              </w:rPr>
              <w:t>Earnings per diluted share (excluding the impact of any future share repurchase)</w:t>
            </w:r>
          </w:p>
        </w:tc>
        <w:tc>
          <w:tcPr>
            <w:tcW w:w="59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$2.75 to $3.00</w:t>
            </w:r>
          </w:p>
        </w:tc>
      </w:tr>
      <w:tr>
        <w:trPr>
          <w:trHeight w:val="20"/>
        </w:trPr>
        <w:tc>
          <w:tcPr>
            <w:tcW w:w="5500" w:type="dxa"/>
            <w:vAlign w:val="bottom"/>
            <w:shd w:val="clear" w:color="auto" w:fill="000000"/>
          </w:tcPr>
          <w:p>
            <w:pPr>
              <w:spacing w:after="0" w:line="20" w:lineRule="exact"/>
              <w:rPr>
                <w:sz w:val="1"/>
                <w:szCs w:val="1"/>
                <w:color w:val="auto"/>
              </w:rPr>
            </w:pPr>
          </w:p>
        </w:tc>
        <w:tc>
          <w:tcPr>
            <w:tcW w:w="5920" w:type="dxa"/>
            <w:vAlign w:val="bottom"/>
            <w:shd w:val="clear" w:color="auto" w:fill="000000"/>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53rd week is estimated to add approximately $200 million to total sales and is not included in comparable sales calculations.</w:t>
      </w:r>
    </w:p>
    <w:p>
      <w:pPr>
        <w:spacing w:after="0" w:line="200" w:lineRule="exact"/>
        <w:rPr>
          <w:sz w:val="20"/>
          <w:szCs w:val="20"/>
          <w:color w:val="auto"/>
        </w:rPr>
      </w:pPr>
    </w:p>
    <w:p>
      <w:pPr>
        <w:spacing w:after="0" w:line="219" w:lineRule="exact"/>
        <w:rPr>
          <w:sz w:val="20"/>
          <w:szCs w:val="20"/>
          <w:color w:val="auto"/>
        </w:rPr>
      </w:pPr>
    </w:p>
    <w:p>
      <w:pPr>
        <w:jc w:val="right"/>
        <w:spacing w:after="0"/>
        <w:rPr>
          <w:sz w:val="20"/>
          <w:szCs w:val="20"/>
          <w:color w:val="auto"/>
        </w:rPr>
      </w:pPr>
      <w:r>
        <w:rPr>
          <w:rFonts w:ascii="Arial" w:cs="Arial" w:eastAsia="Arial" w:hAnsi="Arial"/>
          <w:sz w:val="13"/>
          <w:szCs w:val="13"/>
          <w:color w:val="auto"/>
        </w:rPr>
        <w:t xml:space="preserve">Nordstrom, Inc. and subsidiaries </w:t>
      </w:r>
      <w:r>
        <w:rPr>
          <w:rFonts w:ascii="Arial" w:cs="Arial" w:eastAsia="Arial" w:hAnsi="Arial"/>
          <w:sz w:val="16"/>
          <w:szCs w:val="16"/>
          <w:color w:val="auto"/>
        </w:rPr>
        <w:t>25</w:t>
      </w:r>
    </w:p>
    <w:p>
      <w:pPr>
        <w:sectPr>
          <w:pgSz w:w="11900" w:h="16838" w:orient="portrait"/>
          <w:cols w:equalWidth="0" w:num="1">
            <w:col w:w="11420"/>
          </w:cols>
          <w:pgMar w:left="240" w:top="126" w:right="239" w:bottom="1440" w:gutter="0" w:footer="0" w:header="0"/>
        </w:sectPr>
      </w:pPr>
    </w:p>
    <w:bookmarkStart w:id="25" w:name="page26"/>
    <w:bookmarkEnd w:id="25"/>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Return on Invested Capital (“ROIC”) (Non-GAAP financial measure)</w:t>
      </w:r>
    </w:p>
    <w:p>
      <w:pPr>
        <w:spacing w:after="0" w:line="2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We believe ROIC is a useful financial measure for investors in evaluating the efficiency and effectiveness of our use of capital and believe ROIC is an important component of shareholders’ return over the long term. In addition, we incorporate ROIC in our executive incentive compensation measures. For the 12 fiscal months ended January 28, 2017, our ROIC decreased compared with the 12 fiscal months ended January 30, 2016, primarily due to reduced earnings largely impacted by the Trunk Club goodwill impairment (see Note 8: Fair Value Measurements in Item 8). The Trunk Club goodwill impairment had a negative impact on ROIC of 3.3%.</w:t>
      </w:r>
    </w:p>
    <w:p>
      <w:pPr>
        <w:spacing w:after="0" w:line="137"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We define ROIC as our net operating profit after tax divided by our average invested capital using the trailing 12-month average. ROIC is not a measure of financial performance under generally accepted accounting principles (“GAAP”) and should be considered in addition to, and not as a substitute for, return on assets, net earnings, total assets or other financial measures prepared in accordance with GAAP. Our method of determining non-GAAP financial measures may differ from other companies’ methods and therefore may not be comparable to those used by other companies. The financial measure calculated under GAAP which is most directly comparable to ROIC is return on assets. The following is a reconciliation of the components of ROIC and return on assets: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5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960" w:type="dxa"/>
            <w:vAlign w:val="bottom"/>
          </w:tcPr>
          <w:p>
            <w:pPr>
              <w:jc w:val="right"/>
              <w:ind w:right="59"/>
              <w:spacing w:after="0"/>
              <w:rPr>
                <w:sz w:val="20"/>
                <w:szCs w:val="20"/>
                <w:color w:val="auto"/>
              </w:rPr>
            </w:pPr>
            <w:r>
              <w:rPr>
                <w:rFonts w:ascii="Arial" w:cs="Arial" w:eastAsia="Arial" w:hAnsi="Arial"/>
                <w:sz w:val="16"/>
                <w:szCs w:val="16"/>
                <w:b w:val="1"/>
                <w:bCs w:val="1"/>
                <w:color w:val="auto"/>
                <w:w w:val="98"/>
              </w:rPr>
              <w:t>12 Fiscal Months Ended</w:t>
            </w:r>
          </w:p>
        </w:tc>
        <w:tc>
          <w:tcPr>
            <w:tcW w:w="17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58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2580" w:type="dxa"/>
            <w:vAlign w:val="bottom"/>
          </w:tcPr>
          <w:p>
            <w:pPr>
              <w:spacing w:after="0"/>
              <w:rPr>
                <w:sz w:val="20"/>
                <w:szCs w:val="20"/>
                <w:color w:val="auto"/>
              </w:rPr>
            </w:pPr>
          </w:p>
        </w:tc>
        <w:tc>
          <w:tcPr>
            <w:tcW w:w="1780" w:type="dxa"/>
            <w:vAlign w:val="bottom"/>
          </w:tcPr>
          <w:p>
            <w:pPr>
              <w:jc w:val="right"/>
              <w:ind w:right="319"/>
              <w:spacing w:after="0"/>
              <w:rPr>
                <w:sz w:val="20"/>
                <w:szCs w:val="20"/>
                <w:color w:val="auto"/>
              </w:rPr>
            </w:pPr>
            <w:r>
              <w:rPr>
                <w:rFonts w:ascii="Arial" w:cs="Arial" w:eastAsia="Arial" w:hAnsi="Arial"/>
                <w:sz w:val="16"/>
                <w:szCs w:val="16"/>
                <w:b w:val="1"/>
                <w:bCs w:val="1"/>
                <w:color w:val="auto"/>
              </w:rPr>
              <w:t>January 28, 2017</w:t>
            </w:r>
          </w:p>
        </w:tc>
        <w:tc>
          <w:tcPr>
            <w:tcW w:w="1680" w:type="dxa"/>
            <w:vAlign w:val="bottom"/>
          </w:tcPr>
          <w:p>
            <w:pPr>
              <w:jc w:val="right"/>
              <w:ind w:right="179"/>
              <w:spacing w:after="0"/>
              <w:rPr>
                <w:sz w:val="20"/>
                <w:szCs w:val="20"/>
                <w:color w:val="auto"/>
              </w:rPr>
            </w:pPr>
            <w:r>
              <w:rPr>
                <w:rFonts w:ascii="Arial" w:cs="Arial" w:eastAsia="Arial" w:hAnsi="Arial"/>
                <w:sz w:val="16"/>
                <w:szCs w:val="16"/>
                <w:b w:val="1"/>
                <w:bCs w:val="1"/>
                <w:color w:val="auto"/>
              </w:rPr>
              <w:t>January 30, 2016</w:t>
            </w:r>
          </w:p>
        </w:tc>
        <w:tc>
          <w:tcPr>
            <w:tcW w:w="1960" w:type="dxa"/>
            <w:vAlign w:val="bottom"/>
          </w:tcPr>
          <w:p>
            <w:pPr>
              <w:jc w:val="right"/>
              <w:ind w:right="359"/>
              <w:spacing w:after="0"/>
              <w:rPr>
                <w:sz w:val="20"/>
                <w:szCs w:val="20"/>
                <w:color w:val="auto"/>
              </w:rPr>
            </w:pPr>
            <w:r>
              <w:rPr>
                <w:rFonts w:ascii="Arial" w:cs="Arial" w:eastAsia="Arial" w:hAnsi="Arial"/>
                <w:sz w:val="16"/>
                <w:szCs w:val="16"/>
                <w:b w:val="1"/>
                <w:bCs w:val="1"/>
                <w:color w:val="auto"/>
              </w:rPr>
              <w:t>January 31, 2015</w:t>
            </w:r>
          </w:p>
        </w:tc>
        <w:tc>
          <w:tcPr>
            <w:tcW w:w="1700" w:type="dxa"/>
            <w:vAlign w:val="bottom"/>
          </w:tcPr>
          <w:p>
            <w:pPr>
              <w:jc w:val="right"/>
              <w:ind w:right="279"/>
              <w:spacing w:after="0"/>
              <w:rPr>
                <w:sz w:val="20"/>
                <w:szCs w:val="20"/>
                <w:color w:val="auto"/>
              </w:rPr>
            </w:pPr>
            <w:r>
              <w:rPr>
                <w:rFonts w:ascii="Arial" w:cs="Arial" w:eastAsia="Arial" w:hAnsi="Arial"/>
                <w:sz w:val="16"/>
                <w:szCs w:val="16"/>
                <w:b w:val="1"/>
                <w:bCs w:val="1"/>
                <w:color w:val="auto"/>
              </w:rPr>
              <w:t>February 1, 2014</w:t>
            </w:r>
          </w:p>
        </w:tc>
        <w:tc>
          <w:tcPr>
            <w:tcW w:w="1720" w:type="dxa"/>
            <w:vAlign w:val="bottom"/>
          </w:tcPr>
          <w:p>
            <w:pPr>
              <w:jc w:val="right"/>
              <w:ind w:right="219"/>
              <w:spacing w:after="0"/>
              <w:rPr>
                <w:sz w:val="20"/>
                <w:szCs w:val="20"/>
                <w:color w:val="auto"/>
              </w:rPr>
            </w:pPr>
            <w:r>
              <w:rPr>
                <w:rFonts w:ascii="Arial" w:cs="Arial" w:eastAsia="Arial" w:hAnsi="Arial"/>
                <w:sz w:val="16"/>
                <w:szCs w:val="16"/>
                <w:b w:val="1"/>
                <w:bCs w:val="1"/>
                <w:color w:val="auto"/>
              </w:rPr>
              <w:t>February 2, 2013</w:t>
            </w:r>
          </w:p>
        </w:tc>
        <w:tc>
          <w:tcPr>
            <w:tcW w:w="0" w:type="dxa"/>
            <w:vAlign w:val="bottom"/>
          </w:tcPr>
          <w:p>
            <w:pPr>
              <w:spacing w:after="0"/>
              <w:rPr>
                <w:sz w:val="1"/>
                <w:szCs w:val="1"/>
                <w:color w:val="auto"/>
              </w:rPr>
            </w:pPr>
          </w:p>
        </w:tc>
      </w:tr>
      <w:tr>
        <w:trPr>
          <w:trHeight w:val="33"/>
        </w:trPr>
        <w:tc>
          <w:tcPr>
            <w:tcW w:w="25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earnings</w:t>
            </w:r>
          </w:p>
        </w:tc>
        <w:tc>
          <w:tcPr>
            <w:tcW w:w="178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b w:val="1"/>
                <w:bCs w:val="1"/>
                <w:color w:val="auto"/>
              </w:rPr>
              <w:t>$354</w:t>
            </w:r>
          </w:p>
        </w:tc>
        <w:tc>
          <w:tcPr>
            <w:tcW w:w="16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$600</w:t>
            </w:r>
          </w:p>
        </w:tc>
        <w:tc>
          <w:tcPr>
            <w:tcW w:w="196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rPr>
              <w:t>$720</w:t>
            </w:r>
          </w:p>
        </w:tc>
        <w:tc>
          <w:tcPr>
            <w:tcW w:w="170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$734</w:t>
            </w:r>
          </w:p>
        </w:tc>
        <w:tc>
          <w:tcPr>
            <w:tcW w:w="17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$735</w:t>
            </w:r>
          </w:p>
        </w:tc>
        <w:tc>
          <w:tcPr>
            <w:tcW w:w="0" w:type="dxa"/>
            <w:vAlign w:val="bottom"/>
          </w:tcPr>
          <w:p>
            <w:pPr>
              <w:spacing w:after="0"/>
              <w:rPr>
                <w:sz w:val="1"/>
                <w:szCs w:val="1"/>
                <w:color w:val="auto"/>
              </w:rPr>
            </w:pPr>
          </w:p>
        </w:tc>
      </w:tr>
      <w:tr>
        <w:trPr>
          <w:trHeight w:val="237"/>
        </w:trPr>
        <w:tc>
          <w:tcPr>
            <w:tcW w:w="2580" w:type="dxa"/>
            <w:vAlign w:val="bottom"/>
          </w:tcPr>
          <w:p>
            <w:pPr>
              <w:ind w:left="40"/>
              <w:spacing w:after="0"/>
              <w:rPr>
                <w:sz w:val="20"/>
                <w:szCs w:val="20"/>
                <w:color w:val="auto"/>
              </w:rPr>
            </w:pPr>
            <w:r>
              <w:rPr>
                <w:rFonts w:ascii="Arial" w:cs="Arial" w:eastAsia="Arial" w:hAnsi="Arial"/>
                <w:sz w:val="16"/>
                <w:szCs w:val="16"/>
                <w:color w:val="auto"/>
              </w:rPr>
              <w:t>Add: income tax expense</w:t>
            </w:r>
          </w:p>
        </w:tc>
        <w:tc>
          <w:tcPr>
            <w:tcW w:w="1780" w:type="dxa"/>
            <w:vAlign w:val="bottom"/>
          </w:tcPr>
          <w:p>
            <w:pPr>
              <w:jc w:val="right"/>
              <w:ind w:right="319"/>
              <w:spacing w:after="0"/>
              <w:rPr>
                <w:sz w:val="20"/>
                <w:szCs w:val="20"/>
                <w:color w:val="auto"/>
              </w:rPr>
            </w:pPr>
            <w:r>
              <w:rPr>
                <w:rFonts w:ascii="Arial" w:cs="Arial" w:eastAsia="Arial" w:hAnsi="Arial"/>
                <w:sz w:val="16"/>
                <w:szCs w:val="16"/>
                <w:b w:val="1"/>
                <w:bCs w:val="1"/>
                <w:color w:val="auto"/>
              </w:rPr>
              <w:t>330</w:t>
            </w:r>
          </w:p>
        </w:tc>
        <w:tc>
          <w:tcPr>
            <w:tcW w:w="1680" w:type="dxa"/>
            <w:vAlign w:val="bottom"/>
          </w:tcPr>
          <w:p>
            <w:pPr>
              <w:jc w:val="right"/>
              <w:ind w:right="179"/>
              <w:spacing w:after="0"/>
              <w:rPr>
                <w:sz w:val="20"/>
                <w:szCs w:val="20"/>
                <w:color w:val="auto"/>
              </w:rPr>
            </w:pPr>
            <w:r>
              <w:rPr>
                <w:rFonts w:ascii="Arial" w:cs="Arial" w:eastAsia="Arial" w:hAnsi="Arial"/>
                <w:sz w:val="16"/>
                <w:szCs w:val="16"/>
                <w:color w:val="auto"/>
              </w:rPr>
              <w:t>376</w:t>
            </w:r>
          </w:p>
        </w:tc>
        <w:tc>
          <w:tcPr>
            <w:tcW w:w="1960" w:type="dxa"/>
            <w:vAlign w:val="bottom"/>
          </w:tcPr>
          <w:p>
            <w:pPr>
              <w:jc w:val="right"/>
              <w:ind w:right="359"/>
              <w:spacing w:after="0"/>
              <w:rPr>
                <w:sz w:val="20"/>
                <w:szCs w:val="20"/>
                <w:color w:val="auto"/>
              </w:rPr>
            </w:pPr>
            <w:r>
              <w:rPr>
                <w:rFonts w:ascii="Arial" w:cs="Arial" w:eastAsia="Arial" w:hAnsi="Arial"/>
                <w:sz w:val="16"/>
                <w:szCs w:val="16"/>
                <w:color w:val="auto"/>
              </w:rPr>
              <w:t>465</w:t>
            </w:r>
          </w:p>
        </w:tc>
        <w:tc>
          <w:tcPr>
            <w:tcW w:w="1700" w:type="dxa"/>
            <w:vAlign w:val="bottom"/>
          </w:tcPr>
          <w:p>
            <w:pPr>
              <w:jc w:val="right"/>
              <w:ind w:right="279"/>
              <w:spacing w:after="0"/>
              <w:rPr>
                <w:sz w:val="20"/>
                <w:szCs w:val="20"/>
                <w:color w:val="auto"/>
              </w:rPr>
            </w:pPr>
            <w:r>
              <w:rPr>
                <w:rFonts w:ascii="Arial" w:cs="Arial" w:eastAsia="Arial" w:hAnsi="Arial"/>
                <w:sz w:val="16"/>
                <w:szCs w:val="16"/>
                <w:color w:val="auto"/>
              </w:rPr>
              <w:t>455</w:t>
            </w:r>
          </w:p>
        </w:tc>
        <w:tc>
          <w:tcPr>
            <w:tcW w:w="1720" w:type="dxa"/>
            <w:vAlign w:val="bottom"/>
          </w:tcPr>
          <w:p>
            <w:pPr>
              <w:jc w:val="right"/>
              <w:ind w:right="219"/>
              <w:spacing w:after="0"/>
              <w:rPr>
                <w:sz w:val="20"/>
                <w:szCs w:val="20"/>
                <w:color w:val="auto"/>
              </w:rPr>
            </w:pPr>
            <w:r>
              <w:rPr>
                <w:rFonts w:ascii="Arial" w:cs="Arial" w:eastAsia="Arial" w:hAnsi="Arial"/>
                <w:sz w:val="16"/>
                <w:szCs w:val="16"/>
                <w:color w:val="auto"/>
              </w:rPr>
              <w:t>450</w:t>
            </w:r>
          </w:p>
        </w:tc>
        <w:tc>
          <w:tcPr>
            <w:tcW w:w="0" w:type="dxa"/>
            <w:vAlign w:val="bottom"/>
          </w:tcPr>
          <w:p>
            <w:pPr>
              <w:spacing w:after="0"/>
              <w:rPr>
                <w:sz w:val="1"/>
                <w:szCs w:val="1"/>
                <w:color w:val="auto"/>
              </w:rPr>
            </w:pPr>
          </w:p>
        </w:tc>
      </w:tr>
      <w:tr>
        <w:trPr>
          <w:trHeight w:val="33"/>
        </w:trPr>
        <w:tc>
          <w:tcPr>
            <w:tcW w:w="25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interest expense</w:t>
            </w:r>
          </w:p>
        </w:tc>
        <w:tc>
          <w:tcPr>
            <w:tcW w:w="178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b w:val="1"/>
                <w:bCs w:val="1"/>
                <w:color w:val="auto"/>
              </w:rPr>
              <w:t>122</w:t>
            </w:r>
          </w:p>
        </w:tc>
        <w:tc>
          <w:tcPr>
            <w:tcW w:w="16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125</w:t>
            </w:r>
          </w:p>
        </w:tc>
        <w:tc>
          <w:tcPr>
            <w:tcW w:w="196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rPr>
              <w:t>139</w:t>
            </w:r>
          </w:p>
        </w:tc>
        <w:tc>
          <w:tcPr>
            <w:tcW w:w="170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162</w:t>
            </w:r>
          </w:p>
        </w:tc>
        <w:tc>
          <w:tcPr>
            <w:tcW w:w="17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162</w:t>
            </w:r>
          </w:p>
        </w:tc>
        <w:tc>
          <w:tcPr>
            <w:tcW w:w="0" w:type="dxa"/>
            <w:vAlign w:val="bottom"/>
          </w:tcPr>
          <w:p>
            <w:pPr>
              <w:spacing w:after="0"/>
              <w:rPr>
                <w:sz w:val="1"/>
                <w:szCs w:val="1"/>
                <w:color w:val="auto"/>
              </w:rPr>
            </w:pPr>
          </w:p>
        </w:tc>
      </w:tr>
      <w:tr>
        <w:trPr>
          <w:trHeight w:val="213"/>
        </w:trPr>
        <w:tc>
          <w:tcPr>
            <w:tcW w:w="258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w w:val="98"/>
              </w:rPr>
              <w:t>Earnings before interest and income</w:t>
            </w:r>
          </w:p>
        </w:tc>
        <w:tc>
          <w:tcPr>
            <w:tcW w:w="1780" w:type="dxa"/>
            <w:vAlign w:val="bottom"/>
            <w:tcBorders>
              <w:top w:val="single" w:sz="8" w:color="auto"/>
            </w:tcBorders>
            <w:vMerge w:val="restart"/>
          </w:tcPr>
          <w:p>
            <w:pPr>
              <w:jc w:val="right"/>
              <w:ind w:right="319"/>
              <w:spacing w:after="0"/>
              <w:rPr>
                <w:sz w:val="20"/>
                <w:szCs w:val="20"/>
                <w:color w:val="auto"/>
              </w:rPr>
            </w:pPr>
            <w:r>
              <w:rPr>
                <w:rFonts w:ascii="Arial" w:cs="Arial" w:eastAsia="Arial" w:hAnsi="Arial"/>
                <w:sz w:val="16"/>
                <w:szCs w:val="16"/>
                <w:b w:val="1"/>
                <w:bCs w:val="1"/>
                <w:color w:val="auto"/>
              </w:rPr>
              <w:t>806</w:t>
            </w:r>
          </w:p>
        </w:tc>
        <w:tc>
          <w:tcPr>
            <w:tcW w:w="1680" w:type="dxa"/>
            <w:vAlign w:val="bottom"/>
            <w:tcBorders>
              <w:top w:val="single" w:sz="8" w:color="auto"/>
            </w:tcBorders>
          </w:tcPr>
          <w:p>
            <w:pPr>
              <w:spacing w:after="0"/>
              <w:rPr>
                <w:sz w:val="18"/>
                <w:szCs w:val="18"/>
                <w:color w:val="auto"/>
              </w:rPr>
            </w:pPr>
          </w:p>
        </w:tc>
        <w:tc>
          <w:tcPr>
            <w:tcW w:w="1960" w:type="dxa"/>
            <w:vAlign w:val="bottom"/>
            <w:tcBorders>
              <w:top w:val="single" w:sz="8" w:color="auto"/>
            </w:tcBorders>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580" w:type="dxa"/>
            <w:vAlign w:val="bottom"/>
          </w:tcPr>
          <w:p>
            <w:pPr>
              <w:ind w:left="200"/>
              <w:spacing w:after="0"/>
              <w:rPr>
                <w:sz w:val="20"/>
                <w:szCs w:val="20"/>
                <w:color w:val="auto"/>
              </w:rPr>
            </w:pPr>
            <w:r>
              <w:rPr>
                <w:rFonts w:ascii="Arial" w:cs="Arial" w:eastAsia="Arial" w:hAnsi="Arial"/>
                <w:sz w:val="16"/>
                <w:szCs w:val="16"/>
                <w:color w:val="auto"/>
              </w:rPr>
              <w:t>tax expense</w:t>
            </w:r>
          </w:p>
        </w:tc>
        <w:tc>
          <w:tcPr>
            <w:tcW w:w="1780" w:type="dxa"/>
            <w:vAlign w:val="bottom"/>
            <w:vMerge w:val="continue"/>
          </w:tcPr>
          <w:p>
            <w:pPr>
              <w:spacing w:after="0"/>
              <w:rPr>
                <w:sz w:val="17"/>
                <w:szCs w:val="17"/>
                <w:color w:val="auto"/>
              </w:rPr>
            </w:pPr>
          </w:p>
        </w:tc>
        <w:tc>
          <w:tcPr>
            <w:tcW w:w="1680" w:type="dxa"/>
            <w:vAlign w:val="bottom"/>
          </w:tcPr>
          <w:p>
            <w:pPr>
              <w:jc w:val="right"/>
              <w:ind w:right="179"/>
              <w:spacing w:after="0"/>
              <w:rPr>
                <w:sz w:val="20"/>
                <w:szCs w:val="20"/>
                <w:color w:val="auto"/>
              </w:rPr>
            </w:pPr>
            <w:r>
              <w:rPr>
                <w:rFonts w:ascii="Arial" w:cs="Arial" w:eastAsia="Arial" w:hAnsi="Arial"/>
                <w:sz w:val="16"/>
                <w:szCs w:val="16"/>
                <w:color w:val="auto"/>
              </w:rPr>
              <w:t>1,101</w:t>
            </w:r>
          </w:p>
        </w:tc>
        <w:tc>
          <w:tcPr>
            <w:tcW w:w="1960" w:type="dxa"/>
            <w:vAlign w:val="bottom"/>
          </w:tcPr>
          <w:p>
            <w:pPr>
              <w:jc w:val="right"/>
              <w:ind w:right="359"/>
              <w:spacing w:after="0"/>
              <w:rPr>
                <w:sz w:val="20"/>
                <w:szCs w:val="20"/>
                <w:color w:val="auto"/>
              </w:rPr>
            </w:pPr>
            <w:r>
              <w:rPr>
                <w:rFonts w:ascii="Arial" w:cs="Arial" w:eastAsia="Arial" w:hAnsi="Arial"/>
                <w:sz w:val="16"/>
                <w:szCs w:val="16"/>
                <w:color w:val="auto"/>
              </w:rPr>
              <w:t>1,324</w:t>
            </w:r>
          </w:p>
        </w:tc>
        <w:tc>
          <w:tcPr>
            <w:tcW w:w="1700" w:type="dxa"/>
            <w:vAlign w:val="bottom"/>
          </w:tcPr>
          <w:p>
            <w:pPr>
              <w:jc w:val="right"/>
              <w:ind w:right="279"/>
              <w:spacing w:after="0"/>
              <w:rPr>
                <w:sz w:val="20"/>
                <w:szCs w:val="20"/>
                <w:color w:val="auto"/>
              </w:rPr>
            </w:pPr>
            <w:r>
              <w:rPr>
                <w:rFonts w:ascii="Arial" w:cs="Arial" w:eastAsia="Arial" w:hAnsi="Arial"/>
                <w:sz w:val="16"/>
                <w:szCs w:val="16"/>
                <w:color w:val="auto"/>
              </w:rPr>
              <w:t>1,351</w:t>
            </w:r>
          </w:p>
        </w:tc>
        <w:tc>
          <w:tcPr>
            <w:tcW w:w="1720" w:type="dxa"/>
            <w:vAlign w:val="bottom"/>
          </w:tcPr>
          <w:p>
            <w:pPr>
              <w:jc w:val="right"/>
              <w:ind w:right="219"/>
              <w:spacing w:after="0"/>
              <w:rPr>
                <w:sz w:val="20"/>
                <w:szCs w:val="20"/>
                <w:color w:val="auto"/>
              </w:rPr>
            </w:pPr>
            <w:r>
              <w:rPr>
                <w:rFonts w:ascii="Arial" w:cs="Arial" w:eastAsia="Arial" w:hAnsi="Arial"/>
                <w:sz w:val="16"/>
                <w:szCs w:val="16"/>
                <w:color w:val="auto"/>
              </w:rPr>
              <w:t>1,347</w:t>
            </w:r>
          </w:p>
        </w:tc>
        <w:tc>
          <w:tcPr>
            <w:tcW w:w="0" w:type="dxa"/>
            <w:vAlign w:val="bottom"/>
          </w:tcPr>
          <w:p>
            <w:pPr>
              <w:spacing w:after="0"/>
              <w:rPr>
                <w:sz w:val="1"/>
                <w:szCs w:val="1"/>
                <w:color w:val="auto"/>
              </w:rPr>
            </w:pPr>
          </w:p>
        </w:tc>
      </w:tr>
      <w:tr>
        <w:trPr>
          <w:trHeight w:val="33"/>
        </w:trPr>
        <w:tc>
          <w:tcPr>
            <w:tcW w:w="25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2580" w:type="dxa"/>
            <w:vAlign w:val="bottom"/>
            <w:shd w:val="clear" w:color="auto" w:fill="CCEEFF"/>
          </w:tcPr>
          <w:p>
            <w:pPr>
              <w:spacing w:after="0"/>
              <w:rPr>
                <w:sz w:val="24"/>
                <w:szCs w:val="24"/>
                <w:color w:val="auto"/>
              </w:rPr>
            </w:pPr>
          </w:p>
        </w:tc>
        <w:tc>
          <w:tcPr>
            <w:tcW w:w="1780" w:type="dxa"/>
            <w:vAlign w:val="bottom"/>
            <w:shd w:val="clear" w:color="auto" w:fill="CCEEFF"/>
          </w:tcPr>
          <w:p>
            <w:pPr>
              <w:spacing w:after="0"/>
              <w:rPr>
                <w:sz w:val="24"/>
                <w:szCs w:val="24"/>
                <w:color w:val="auto"/>
              </w:rPr>
            </w:pPr>
          </w:p>
        </w:tc>
        <w:tc>
          <w:tcPr>
            <w:tcW w:w="1680" w:type="dxa"/>
            <w:vAlign w:val="bottom"/>
            <w:shd w:val="clear" w:color="auto" w:fill="CCEEFF"/>
          </w:tcPr>
          <w:p>
            <w:pPr>
              <w:spacing w:after="0"/>
              <w:rPr>
                <w:sz w:val="24"/>
                <w:szCs w:val="24"/>
                <w:color w:val="auto"/>
              </w:rPr>
            </w:pPr>
          </w:p>
        </w:tc>
        <w:tc>
          <w:tcPr>
            <w:tcW w:w="1960" w:type="dxa"/>
            <w:vAlign w:val="bottom"/>
            <w:shd w:val="clear" w:color="auto" w:fill="CCEEFF"/>
          </w:tcPr>
          <w:p>
            <w:pPr>
              <w:spacing w:after="0"/>
              <w:rPr>
                <w:sz w:val="24"/>
                <w:szCs w:val="24"/>
                <w:color w:val="auto"/>
              </w:rPr>
            </w:pPr>
          </w:p>
        </w:tc>
        <w:tc>
          <w:tcPr>
            <w:tcW w:w="1700" w:type="dxa"/>
            <w:vAlign w:val="bottom"/>
            <w:shd w:val="clear" w:color="auto" w:fill="CCEEFF"/>
          </w:tcPr>
          <w:p>
            <w:pPr>
              <w:spacing w:after="0"/>
              <w:rPr>
                <w:sz w:val="24"/>
                <w:szCs w:val="24"/>
                <w:color w:val="auto"/>
              </w:rPr>
            </w:pPr>
          </w:p>
        </w:tc>
        <w:tc>
          <w:tcPr>
            <w:tcW w:w="17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580" w:type="dxa"/>
            <w:vAlign w:val="bottom"/>
          </w:tcPr>
          <w:p>
            <w:pPr>
              <w:ind w:left="40"/>
              <w:spacing w:after="0"/>
              <w:rPr>
                <w:sz w:val="20"/>
                <w:szCs w:val="20"/>
                <w:color w:val="auto"/>
              </w:rPr>
            </w:pPr>
            <w:r>
              <w:rPr>
                <w:rFonts w:ascii="Arial" w:cs="Arial" w:eastAsia="Arial" w:hAnsi="Arial"/>
                <w:sz w:val="16"/>
                <w:szCs w:val="16"/>
                <w:color w:val="auto"/>
              </w:rPr>
              <w:t>Add: rent expense</w:t>
            </w:r>
          </w:p>
        </w:tc>
        <w:tc>
          <w:tcPr>
            <w:tcW w:w="1780" w:type="dxa"/>
            <w:vAlign w:val="bottom"/>
          </w:tcPr>
          <w:p>
            <w:pPr>
              <w:jc w:val="right"/>
              <w:ind w:right="319"/>
              <w:spacing w:after="0"/>
              <w:rPr>
                <w:sz w:val="20"/>
                <w:szCs w:val="20"/>
                <w:color w:val="auto"/>
              </w:rPr>
            </w:pPr>
            <w:r>
              <w:rPr>
                <w:rFonts w:ascii="Arial" w:cs="Arial" w:eastAsia="Arial" w:hAnsi="Arial"/>
                <w:sz w:val="16"/>
                <w:szCs w:val="16"/>
                <w:b w:val="1"/>
                <w:bCs w:val="1"/>
                <w:color w:val="auto"/>
              </w:rPr>
              <w:t>202</w:t>
            </w:r>
          </w:p>
        </w:tc>
        <w:tc>
          <w:tcPr>
            <w:tcW w:w="1680" w:type="dxa"/>
            <w:vAlign w:val="bottom"/>
          </w:tcPr>
          <w:p>
            <w:pPr>
              <w:jc w:val="right"/>
              <w:ind w:right="179"/>
              <w:spacing w:after="0"/>
              <w:rPr>
                <w:sz w:val="20"/>
                <w:szCs w:val="20"/>
                <w:color w:val="auto"/>
              </w:rPr>
            </w:pPr>
            <w:r>
              <w:rPr>
                <w:rFonts w:ascii="Arial" w:cs="Arial" w:eastAsia="Arial" w:hAnsi="Arial"/>
                <w:sz w:val="16"/>
                <w:szCs w:val="16"/>
                <w:color w:val="auto"/>
              </w:rPr>
              <w:t>176</w:t>
            </w:r>
          </w:p>
        </w:tc>
        <w:tc>
          <w:tcPr>
            <w:tcW w:w="1960" w:type="dxa"/>
            <w:vAlign w:val="bottom"/>
          </w:tcPr>
          <w:p>
            <w:pPr>
              <w:jc w:val="right"/>
              <w:ind w:right="359"/>
              <w:spacing w:after="0"/>
              <w:rPr>
                <w:sz w:val="20"/>
                <w:szCs w:val="20"/>
                <w:color w:val="auto"/>
              </w:rPr>
            </w:pPr>
            <w:r>
              <w:rPr>
                <w:rFonts w:ascii="Arial" w:cs="Arial" w:eastAsia="Arial" w:hAnsi="Arial"/>
                <w:sz w:val="16"/>
                <w:szCs w:val="16"/>
                <w:color w:val="auto"/>
              </w:rPr>
              <w:t>137</w:t>
            </w:r>
          </w:p>
        </w:tc>
        <w:tc>
          <w:tcPr>
            <w:tcW w:w="1700" w:type="dxa"/>
            <w:vAlign w:val="bottom"/>
          </w:tcPr>
          <w:p>
            <w:pPr>
              <w:jc w:val="right"/>
              <w:ind w:right="279"/>
              <w:spacing w:after="0"/>
              <w:rPr>
                <w:sz w:val="20"/>
                <w:szCs w:val="20"/>
                <w:color w:val="auto"/>
              </w:rPr>
            </w:pPr>
            <w:r>
              <w:rPr>
                <w:rFonts w:ascii="Arial" w:cs="Arial" w:eastAsia="Arial" w:hAnsi="Arial"/>
                <w:sz w:val="16"/>
                <w:szCs w:val="16"/>
                <w:color w:val="auto"/>
              </w:rPr>
              <w:t>125</w:t>
            </w:r>
          </w:p>
        </w:tc>
        <w:tc>
          <w:tcPr>
            <w:tcW w:w="1720" w:type="dxa"/>
            <w:vAlign w:val="bottom"/>
          </w:tcPr>
          <w:p>
            <w:pPr>
              <w:jc w:val="right"/>
              <w:ind w:right="219"/>
              <w:spacing w:after="0"/>
              <w:rPr>
                <w:sz w:val="20"/>
                <w:szCs w:val="20"/>
                <w:color w:val="auto"/>
              </w:rPr>
            </w:pPr>
            <w:r>
              <w:rPr>
                <w:rFonts w:ascii="Arial" w:cs="Arial" w:eastAsia="Arial" w:hAnsi="Arial"/>
                <w:sz w:val="16"/>
                <w:szCs w:val="16"/>
                <w:color w:val="auto"/>
              </w:rPr>
              <w:t>105</w:t>
            </w:r>
          </w:p>
        </w:tc>
        <w:tc>
          <w:tcPr>
            <w:tcW w:w="0" w:type="dxa"/>
            <w:vAlign w:val="bottom"/>
          </w:tcPr>
          <w:p>
            <w:pPr>
              <w:spacing w:after="0"/>
              <w:rPr>
                <w:sz w:val="1"/>
                <w:szCs w:val="1"/>
                <w:color w:val="auto"/>
              </w:rPr>
            </w:pPr>
          </w:p>
        </w:tc>
      </w:tr>
      <w:tr>
        <w:trPr>
          <w:trHeight w:val="33"/>
        </w:trPr>
        <w:tc>
          <w:tcPr>
            <w:tcW w:w="25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Less: estimated depreciation on</w:t>
            </w:r>
          </w:p>
        </w:tc>
        <w:tc>
          <w:tcPr>
            <w:tcW w:w="1780" w:type="dxa"/>
            <w:vAlign w:val="bottom"/>
            <w:vMerge w:val="restart"/>
            <w:shd w:val="clear" w:color="auto" w:fill="CCEEFF"/>
          </w:tcPr>
          <w:p>
            <w:pPr>
              <w:jc w:val="right"/>
              <w:ind w:right="259"/>
              <w:spacing w:after="0"/>
              <w:rPr>
                <w:sz w:val="20"/>
                <w:szCs w:val="20"/>
                <w:color w:val="auto"/>
              </w:rPr>
            </w:pPr>
            <w:r>
              <w:rPr>
                <w:rFonts w:ascii="Arial" w:cs="Arial" w:eastAsia="Arial" w:hAnsi="Arial"/>
                <w:sz w:val="16"/>
                <w:szCs w:val="16"/>
                <w:b w:val="1"/>
                <w:bCs w:val="1"/>
                <w:color w:val="auto"/>
              </w:rPr>
              <w:t>(108)</w:t>
            </w:r>
          </w:p>
        </w:tc>
        <w:tc>
          <w:tcPr>
            <w:tcW w:w="168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580" w:type="dxa"/>
            <w:vAlign w:val="bottom"/>
            <w:tcBorders>
              <w:bottom w:val="single" w:sz="8" w:color="auto"/>
            </w:tcBorders>
            <w:shd w:val="clear" w:color="auto" w:fill="CCEEFF"/>
          </w:tcPr>
          <w:p>
            <w:pPr>
              <w:ind w:left="200"/>
              <w:spacing w:after="0" w:line="239" w:lineRule="exact"/>
              <w:rPr>
                <w:sz w:val="20"/>
                <w:szCs w:val="20"/>
                <w:color w:val="auto"/>
              </w:rPr>
            </w:pPr>
            <w:r>
              <w:rPr>
                <w:rFonts w:ascii="Arial" w:cs="Arial" w:eastAsia="Arial" w:hAnsi="Arial"/>
                <w:sz w:val="16"/>
                <w:szCs w:val="16"/>
                <w:color w:val="auto"/>
              </w:rPr>
              <w:t>capitalized operating leases</w:t>
            </w:r>
            <w:r>
              <w:rPr>
                <w:rFonts w:ascii="Arial" w:cs="Arial" w:eastAsia="Arial" w:hAnsi="Arial"/>
                <w:sz w:val="21"/>
                <w:szCs w:val="21"/>
                <w:color w:val="auto"/>
                <w:vertAlign w:val="superscript"/>
              </w:rPr>
              <w:t>1</w:t>
            </w:r>
          </w:p>
        </w:tc>
        <w:tc>
          <w:tcPr>
            <w:tcW w:w="1780" w:type="dxa"/>
            <w:vAlign w:val="bottom"/>
            <w:tcBorders>
              <w:bottom w:val="single" w:sz="8" w:color="auto"/>
            </w:tcBorders>
            <w:vMerge w:val="continue"/>
            <w:shd w:val="clear" w:color="auto" w:fill="CCEEFF"/>
          </w:tcPr>
          <w:p>
            <w:pPr>
              <w:spacing w:after="0"/>
              <w:rPr>
                <w:sz w:val="20"/>
                <w:szCs w:val="20"/>
                <w:color w:val="auto"/>
              </w:rPr>
            </w:pPr>
          </w:p>
        </w:tc>
        <w:tc>
          <w:tcPr>
            <w:tcW w:w="168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(94)</w:t>
            </w:r>
          </w:p>
        </w:tc>
        <w:tc>
          <w:tcPr>
            <w:tcW w:w="196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(74)</w:t>
            </w:r>
          </w:p>
        </w:tc>
        <w:tc>
          <w:tcPr>
            <w:tcW w:w="17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(67)</w:t>
            </w:r>
          </w:p>
        </w:tc>
        <w:tc>
          <w:tcPr>
            <w:tcW w:w="172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231"/>
        </w:trPr>
        <w:tc>
          <w:tcPr>
            <w:tcW w:w="2580" w:type="dxa"/>
            <w:vAlign w:val="bottom"/>
          </w:tcPr>
          <w:p>
            <w:pPr>
              <w:ind w:left="40"/>
              <w:spacing w:after="0"/>
              <w:rPr>
                <w:sz w:val="20"/>
                <w:szCs w:val="20"/>
                <w:color w:val="auto"/>
              </w:rPr>
            </w:pPr>
            <w:r>
              <w:rPr>
                <w:rFonts w:ascii="Arial" w:cs="Arial" w:eastAsia="Arial" w:hAnsi="Arial"/>
                <w:sz w:val="16"/>
                <w:szCs w:val="16"/>
                <w:color w:val="auto"/>
              </w:rPr>
              <w:t>Net operating profit</w:t>
            </w:r>
          </w:p>
        </w:tc>
        <w:tc>
          <w:tcPr>
            <w:tcW w:w="1780" w:type="dxa"/>
            <w:vAlign w:val="bottom"/>
          </w:tcPr>
          <w:p>
            <w:pPr>
              <w:jc w:val="right"/>
              <w:ind w:right="319"/>
              <w:spacing w:after="0"/>
              <w:rPr>
                <w:sz w:val="20"/>
                <w:szCs w:val="20"/>
                <w:color w:val="auto"/>
              </w:rPr>
            </w:pPr>
            <w:r>
              <w:rPr>
                <w:rFonts w:ascii="Arial" w:cs="Arial" w:eastAsia="Arial" w:hAnsi="Arial"/>
                <w:sz w:val="16"/>
                <w:szCs w:val="16"/>
                <w:b w:val="1"/>
                <w:bCs w:val="1"/>
                <w:color w:val="auto"/>
              </w:rPr>
              <w:t>900</w:t>
            </w:r>
          </w:p>
        </w:tc>
        <w:tc>
          <w:tcPr>
            <w:tcW w:w="1680" w:type="dxa"/>
            <w:vAlign w:val="bottom"/>
          </w:tcPr>
          <w:p>
            <w:pPr>
              <w:jc w:val="right"/>
              <w:ind w:right="179"/>
              <w:spacing w:after="0"/>
              <w:rPr>
                <w:sz w:val="20"/>
                <w:szCs w:val="20"/>
                <w:color w:val="auto"/>
              </w:rPr>
            </w:pPr>
            <w:r>
              <w:rPr>
                <w:rFonts w:ascii="Arial" w:cs="Arial" w:eastAsia="Arial" w:hAnsi="Arial"/>
                <w:sz w:val="16"/>
                <w:szCs w:val="16"/>
                <w:color w:val="auto"/>
              </w:rPr>
              <w:t>1,183</w:t>
            </w:r>
          </w:p>
        </w:tc>
        <w:tc>
          <w:tcPr>
            <w:tcW w:w="1960" w:type="dxa"/>
            <w:vAlign w:val="bottom"/>
          </w:tcPr>
          <w:p>
            <w:pPr>
              <w:jc w:val="right"/>
              <w:ind w:right="359"/>
              <w:spacing w:after="0"/>
              <w:rPr>
                <w:sz w:val="20"/>
                <w:szCs w:val="20"/>
                <w:color w:val="auto"/>
              </w:rPr>
            </w:pPr>
            <w:r>
              <w:rPr>
                <w:rFonts w:ascii="Arial" w:cs="Arial" w:eastAsia="Arial" w:hAnsi="Arial"/>
                <w:sz w:val="16"/>
                <w:szCs w:val="16"/>
                <w:color w:val="auto"/>
              </w:rPr>
              <w:t>1,387</w:t>
            </w:r>
          </w:p>
        </w:tc>
        <w:tc>
          <w:tcPr>
            <w:tcW w:w="1700" w:type="dxa"/>
            <w:vAlign w:val="bottom"/>
          </w:tcPr>
          <w:p>
            <w:pPr>
              <w:jc w:val="right"/>
              <w:ind w:right="279"/>
              <w:spacing w:after="0"/>
              <w:rPr>
                <w:sz w:val="20"/>
                <w:szCs w:val="20"/>
                <w:color w:val="auto"/>
              </w:rPr>
            </w:pPr>
            <w:r>
              <w:rPr>
                <w:rFonts w:ascii="Arial" w:cs="Arial" w:eastAsia="Arial" w:hAnsi="Arial"/>
                <w:sz w:val="16"/>
                <w:szCs w:val="16"/>
                <w:color w:val="auto"/>
              </w:rPr>
              <w:t>1,409</w:t>
            </w:r>
          </w:p>
        </w:tc>
        <w:tc>
          <w:tcPr>
            <w:tcW w:w="1720" w:type="dxa"/>
            <w:vAlign w:val="bottom"/>
          </w:tcPr>
          <w:p>
            <w:pPr>
              <w:jc w:val="right"/>
              <w:ind w:right="219"/>
              <w:spacing w:after="0"/>
              <w:rPr>
                <w:sz w:val="20"/>
                <w:szCs w:val="20"/>
                <w:color w:val="auto"/>
              </w:rPr>
            </w:pPr>
            <w:r>
              <w:rPr>
                <w:rFonts w:ascii="Arial" w:cs="Arial" w:eastAsia="Arial" w:hAnsi="Arial"/>
                <w:sz w:val="16"/>
                <w:szCs w:val="16"/>
                <w:color w:val="auto"/>
              </w:rPr>
              <w:t>1,396</w:t>
            </w:r>
          </w:p>
        </w:tc>
        <w:tc>
          <w:tcPr>
            <w:tcW w:w="0" w:type="dxa"/>
            <w:vAlign w:val="bottom"/>
          </w:tcPr>
          <w:p>
            <w:pPr>
              <w:spacing w:after="0"/>
              <w:rPr>
                <w:sz w:val="1"/>
                <w:szCs w:val="1"/>
                <w:color w:val="auto"/>
              </w:rPr>
            </w:pPr>
          </w:p>
        </w:tc>
      </w:tr>
      <w:tr>
        <w:trPr>
          <w:trHeight w:val="33"/>
        </w:trPr>
        <w:tc>
          <w:tcPr>
            <w:tcW w:w="25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2580" w:type="dxa"/>
            <w:vAlign w:val="bottom"/>
            <w:shd w:val="clear" w:color="auto" w:fill="CCEEFF"/>
          </w:tcPr>
          <w:p>
            <w:pPr>
              <w:spacing w:after="0"/>
              <w:rPr>
                <w:sz w:val="24"/>
                <w:szCs w:val="24"/>
                <w:color w:val="auto"/>
              </w:rPr>
            </w:pPr>
          </w:p>
        </w:tc>
        <w:tc>
          <w:tcPr>
            <w:tcW w:w="1780" w:type="dxa"/>
            <w:vAlign w:val="bottom"/>
            <w:shd w:val="clear" w:color="auto" w:fill="CCEEFF"/>
          </w:tcPr>
          <w:p>
            <w:pPr>
              <w:spacing w:after="0"/>
              <w:rPr>
                <w:sz w:val="24"/>
                <w:szCs w:val="24"/>
                <w:color w:val="auto"/>
              </w:rPr>
            </w:pPr>
          </w:p>
        </w:tc>
        <w:tc>
          <w:tcPr>
            <w:tcW w:w="1680" w:type="dxa"/>
            <w:vAlign w:val="bottom"/>
            <w:shd w:val="clear" w:color="auto" w:fill="CCEEFF"/>
          </w:tcPr>
          <w:p>
            <w:pPr>
              <w:spacing w:after="0"/>
              <w:rPr>
                <w:sz w:val="24"/>
                <w:szCs w:val="24"/>
                <w:color w:val="auto"/>
              </w:rPr>
            </w:pPr>
          </w:p>
        </w:tc>
        <w:tc>
          <w:tcPr>
            <w:tcW w:w="1960" w:type="dxa"/>
            <w:vAlign w:val="bottom"/>
            <w:shd w:val="clear" w:color="auto" w:fill="CCEEFF"/>
          </w:tcPr>
          <w:p>
            <w:pPr>
              <w:spacing w:after="0"/>
              <w:rPr>
                <w:sz w:val="24"/>
                <w:szCs w:val="24"/>
                <w:color w:val="auto"/>
              </w:rPr>
            </w:pPr>
          </w:p>
        </w:tc>
        <w:tc>
          <w:tcPr>
            <w:tcW w:w="1700" w:type="dxa"/>
            <w:vAlign w:val="bottom"/>
            <w:shd w:val="clear" w:color="auto" w:fill="CCEEFF"/>
          </w:tcPr>
          <w:p>
            <w:pPr>
              <w:spacing w:after="0"/>
              <w:rPr>
                <w:sz w:val="24"/>
                <w:szCs w:val="24"/>
                <w:color w:val="auto"/>
              </w:rPr>
            </w:pPr>
          </w:p>
        </w:tc>
        <w:tc>
          <w:tcPr>
            <w:tcW w:w="17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580" w:type="dxa"/>
            <w:vAlign w:val="bottom"/>
          </w:tcPr>
          <w:p>
            <w:pPr>
              <w:ind w:left="40"/>
              <w:spacing w:after="0"/>
              <w:rPr>
                <w:sz w:val="20"/>
                <w:szCs w:val="20"/>
                <w:color w:val="auto"/>
              </w:rPr>
            </w:pPr>
            <w:r>
              <w:rPr>
                <w:rFonts w:ascii="Arial" w:cs="Arial" w:eastAsia="Arial" w:hAnsi="Arial"/>
                <w:sz w:val="16"/>
                <w:szCs w:val="16"/>
                <w:color w:val="auto"/>
                <w:w w:val="97"/>
              </w:rPr>
              <w:t>Less: estimated income tax expense</w:t>
            </w:r>
          </w:p>
        </w:tc>
        <w:tc>
          <w:tcPr>
            <w:tcW w:w="1780" w:type="dxa"/>
            <w:vAlign w:val="bottom"/>
          </w:tcPr>
          <w:p>
            <w:pPr>
              <w:jc w:val="right"/>
              <w:ind w:right="259"/>
              <w:spacing w:after="0"/>
              <w:rPr>
                <w:sz w:val="20"/>
                <w:szCs w:val="20"/>
                <w:color w:val="auto"/>
              </w:rPr>
            </w:pPr>
            <w:r>
              <w:rPr>
                <w:rFonts w:ascii="Arial" w:cs="Arial" w:eastAsia="Arial" w:hAnsi="Arial"/>
                <w:sz w:val="16"/>
                <w:szCs w:val="16"/>
                <w:b w:val="1"/>
                <w:bCs w:val="1"/>
                <w:color w:val="auto"/>
              </w:rPr>
              <w:t>(416)</w:t>
            </w:r>
          </w:p>
        </w:tc>
        <w:tc>
          <w:tcPr>
            <w:tcW w:w="1680" w:type="dxa"/>
            <w:vAlign w:val="bottom"/>
          </w:tcPr>
          <w:p>
            <w:pPr>
              <w:jc w:val="right"/>
              <w:ind w:right="139"/>
              <w:spacing w:after="0"/>
              <w:rPr>
                <w:sz w:val="20"/>
                <w:szCs w:val="20"/>
                <w:color w:val="auto"/>
              </w:rPr>
            </w:pPr>
            <w:r>
              <w:rPr>
                <w:rFonts w:ascii="Arial" w:cs="Arial" w:eastAsia="Arial" w:hAnsi="Arial"/>
                <w:sz w:val="16"/>
                <w:szCs w:val="16"/>
                <w:color w:val="auto"/>
              </w:rPr>
              <w:t>(456)</w:t>
            </w:r>
          </w:p>
        </w:tc>
        <w:tc>
          <w:tcPr>
            <w:tcW w:w="1960" w:type="dxa"/>
            <w:vAlign w:val="bottom"/>
          </w:tcPr>
          <w:p>
            <w:pPr>
              <w:jc w:val="right"/>
              <w:ind w:right="299"/>
              <w:spacing w:after="0"/>
              <w:rPr>
                <w:sz w:val="20"/>
                <w:szCs w:val="20"/>
                <w:color w:val="auto"/>
              </w:rPr>
            </w:pPr>
            <w:r>
              <w:rPr>
                <w:rFonts w:ascii="Arial" w:cs="Arial" w:eastAsia="Arial" w:hAnsi="Arial"/>
                <w:sz w:val="16"/>
                <w:szCs w:val="16"/>
                <w:color w:val="auto"/>
              </w:rPr>
              <w:t>(544)</w:t>
            </w:r>
          </w:p>
        </w:tc>
        <w:tc>
          <w:tcPr>
            <w:tcW w:w="1700" w:type="dxa"/>
            <w:vAlign w:val="bottom"/>
          </w:tcPr>
          <w:p>
            <w:pPr>
              <w:jc w:val="right"/>
              <w:ind w:right="219"/>
              <w:spacing w:after="0"/>
              <w:rPr>
                <w:sz w:val="20"/>
                <w:szCs w:val="20"/>
                <w:color w:val="auto"/>
              </w:rPr>
            </w:pPr>
            <w:r>
              <w:rPr>
                <w:rFonts w:ascii="Arial" w:cs="Arial" w:eastAsia="Arial" w:hAnsi="Arial"/>
                <w:sz w:val="16"/>
                <w:szCs w:val="16"/>
                <w:color w:val="auto"/>
              </w:rPr>
              <w:t>(539)</w:t>
            </w:r>
          </w:p>
        </w:tc>
        <w:tc>
          <w:tcPr>
            <w:tcW w:w="1720" w:type="dxa"/>
            <w:vAlign w:val="bottom"/>
          </w:tcPr>
          <w:p>
            <w:pPr>
              <w:jc w:val="right"/>
              <w:ind w:right="159"/>
              <w:spacing w:after="0"/>
              <w:rPr>
                <w:sz w:val="20"/>
                <w:szCs w:val="20"/>
                <w:color w:val="auto"/>
              </w:rPr>
            </w:pPr>
            <w:r>
              <w:rPr>
                <w:rFonts w:ascii="Arial" w:cs="Arial" w:eastAsia="Arial" w:hAnsi="Arial"/>
                <w:sz w:val="16"/>
                <w:szCs w:val="16"/>
                <w:color w:val="auto"/>
              </w:rPr>
              <w:t>(530)</w:t>
            </w:r>
          </w:p>
        </w:tc>
        <w:tc>
          <w:tcPr>
            <w:tcW w:w="0" w:type="dxa"/>
            <w:vAlign w:val="bottom"/>
          </w:tcPr>
          <w:p>
            <w:pPr>
              <w:spacing w:after="0"/>
              <w:rPr>
                <w:sz w:val="1"/>
                <w:szCs w:val="1"/>
                <w:color w:val="auto"/>
              </w:rPr>
            </w:pPr>
          </w:p>
        </w:tc>
      </w:tr>
      <w:tr>
        <w:trPr>
          <w:trHeight w:val="33"/>
        </w:trPr>
        <w:tc>
          <w:tcPr>
            <w:tcW w:w="25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operating profit after tax</w:t>
            </w:r>
          </w:p>
        </w:tc>
        <w:tc>
          <w:tcPr>
            <w:tcW w:w="178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b w:val="1"/>
                <w:bCs w:val="1"/>
                <w:color w:val="auto"/>
              </w:rPr>
              <w:t>$484</w:t>
            </w:r>
          </w:p>
        </w:tc>
        <w:tc>
          <w:tcPr>
            <w:tcW w:w="16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$727</w:t>
            </w:r>
          </w:p>
        </w:tc>
        <w:tc>
          <w:tcPr>
            <w:tcW w:w="196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rPr>
              <w:t>$843</w:t>
            </w:r>
          </w:p>
        </w:tc>
        <w:tc>
          <w:tcPr>
            <w:tcW w:w="170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$870</w:t>
            </w:r>
          </w:p>
        </w:tc>
        <w:tc>
          <w:tcPr>
            <w:tcW w:w="17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$866</w:t>
            </w:r>
          </w:p>
        </w:tc>
        <w:tc>
          <w:tcPr>
            <w:tcW w:w="0" w:type="dxa"/>
            <w:vAlign w:val="bottom"/>
          </w:tcPr>
          <w:p>
            <w:pPr>
              <w:spacing w:after="0"/>
              <w:rPr>
                <w:sz w:val="1"/>
                <w:szCs w:val="1"/>
                <w:color w:val="auto"/>
              </w:rPr>
            </w:pPr>
          </w:p>
        </w:tc>
      </w:tr>
      <w:tr>
        <w:trPr>
          <w:trHeight w:val="291"/>
        </w:trPr>
        <w:tc>
          <w:tcPr>
            <w:tcW w:w="2580" w:type="dxa"/>
            <w:vAlign w:val="bottom"/>
            <w:tcBorders>
              <w:top w:val="single" w:sz="8" w:color="auto"/>
            </w:tcBorders>
          </w:tcPr>
          <w:p>
            <w:pPr>
              <w:spacing w:after="0"/>
              <w:rPr>
                <w:sz w:val="24"/>
                <w:szCs w:val="24"/>
                <w:color w:val="auto"/>
              </w:rPr>
            </w:pPr>
          </w:p>
        </w:tc>
        <w:tc>
          <w:tcPr>
            <w:tcW w:w="1780" w:type="dxa"/>
            <w:vAlign w:val="bottom"/>
            <w:tcBorders>
              <w:top w:val="single" w:sz="8" w:color="auto"/>
            </w:tcBorders>
          </w:tcPr>
          <w:p>
            <w:pPr>
              <w:spacing w:after="0"/>
              <w:rPr>
                <w:sz w:val="24"/>
                <w:szCs w:val="24"/>
                <w:color w:val="auto"/>
              </w:rPr>
            </w:pPr>
          </w:p>
        </w:tc>
        <w:tc>
          <w:tcPr>
            <w:tcW w:w="1680" w:type="dxa"/>
            <w:vAlign w:val="bottom"/>
            <w:tcBorders>
              <w:top w:val="single" w:sz="8" w:color="auto"/>
            </w:tcBorders>
          </w:tcPr>
          <w:p>
            <w:pPr>
              <w:spacing w:after="0"/>
              <w:rPr>
                <w:sz w:val="24"/>
                <w:szCs w:val="24"/>
                <w:color w:val="auto"/>
              </w:rPr>
            </w:pPr>
          </w:p>
        </w:tc>
        <w:tc>
          <w:tcPr>
            <w:tcW w:w="1960" w:type="dxa"/>
            <w:vAlign w:val="bottom"/>
            <w:tcBorders>
              <w:top w:val="single" w:sz="8" w:color="auto"/>
            </w:tcBorders>
          </w:tcPr>
          <w:p>
            <w:pPr>
              <w:spacing w:after="0"/>
              <w:rPr>
                <w:sz w:val="24"/>
                <w:szCs w:val="24"/>
                <w:color w:val="auto"/>
              </w:rPr>
            </w:pPr>
          </w:p>
        </w:tc>
        <w:tc>
          <w:tcPr>
            <w:tcW w:w="1700" w:type="dxa"/>
            <w:vAlign w:val="bottom"/>
            <w:tcBorders>
              <w:top w:val="single" w:sz="8" w:color="auto"/>
            </w:tcBorders>
          </w:tcPr>
          <w:p>
            <w:pPr>
              <w:spacing w:after="0"/>
              <w:rPr>
                <w:sz w:val="24"/>
                <w:szCs w:val="24"/>
                <w:color w:val="auto"/>
              </w:rPr>
            </w:pPr>
          </w:p>
        </w:tc>
        <w:tc>
          <w:tcPr>
            <w:tcW w:w="17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Average total assets</w:t>
            </w:r>
          </w:p>
        </w:tc>
        <w:tc>
          <w:tcPr>
            <w:tcW w:w="178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b w:val="1"/>
                <w:bCs w:val="1"/>
                <w:color w:val="auto"/>
              </w:rPr>
              <w:t>$7,917</w:t>
            </w:r>
          </w:p>
        </w:tc>
        <w:tc>
          <w:tcPr>
            <w:tcW w:w="16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$9,076</w:t>
            </w:r>
          </w:p>
        </w:tc>
        <w:tc>
          <w:tcPr>
            <w:tcW w:w="196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rPr>
              <w:t>$8,860</w:t>
            </w:r>
          </w:p>
        </w:tc>
        <w:tc>
          <w:tcPr>
            <w:tcW w:w="170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$8,398</w:t>
            </w:r>
          </w:p>
        </w:tc>
        <w:tc>
          <w:tcPr>
            <w:tcW w:w="17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$8,274</w:t>
            </w:r>
          </w:p>
        </w:tc>
        <w:tc>
          <w:tcPr>
            <w:tcW w:w="0" w:type="dxa"/>
            <w:vAlign w:val="bottom"/>
          </w:tcPr>
          <w:p>
            <w:pPr>
              <w:spacing w:after="0"/>
              <w:rPr>
                <w:sz w:val="1"/>
                <w:szCs w:val="1"/>
                <w:color w:val="auto"/>
              </w:rPr>
            </w:pPr>
          </w:p>
        </w:tc>
      </w:tr>
      <w:tr>
        <w:trPr>
          <w:trHeight w:val="220"/>
        </w:trPr>
        <w:tc>
          <w:tcPr>
            <w:tcW w:w="2580" w:type="dxa"/>
            <w:vAlign w:val="bottom"/>
          </w:tcPr>
          <w:p>
            <w:pPr>
              <w:ind w:left="40"/>
              <w:spacing w:after="0"/>
              <w:rPr>
                <w:sz w:val="20"/>
                <w:szCs w:val="20"/>
                <w:color w:val="auto"/>
              </w:rPr>
            </w:pPr>
            <w:r>
              <w:rPr>
                <w:rFonts w:ascii="Arial" w:cs="Arial" w:eastAsia="Arial" w:hAnsi="Arial"/>
                <w:sz w:val="16"/>
                <w:szCs w:val="16"/>
                <w:color w:val="auto"/>
              </w:rPr>
              <w:t>Less: average non-interest-bearing</w:t>
            </w:r>
          </w:p>
        </w:tc>
        <w:tc>
          <w:tcPr>
            <w:tcW w:w="1780" w:type="dxa"/>
            <w:vAlign w:val="bottom"/>
            <w:vMerge w:val="restart"/>
          </w:tcPr>
          <w:p>
            <w:pPr>
              <w:jc w:val="right"/>
              <w:ind w:right="259"/>
              <w:spacing w:after="0"/>
              <w:rPr>
                <w:sz w:val="20"/>
                <w:szCs w:val="20"/>
                <w:color w:val="auto"/>
              </w:rPr>
            </w:pPr>
            <w:r>
              <w:rPr>
                <w:rFonts w:ascii="Arial" w:cs="Arial" w:eastAsia="Arial" w:hAnsi="Arial"/>
                <w:sz w:val="16"/>
                <w:szCs w:val="16"/>
                <w:b w:val="1"/>
                <w:bCs w:val="1"/>
                <w:color w:val="auto"/>
              </w:rPr>
              <w:t>(3,012)</w:t>
            </w:r>
          </w:p>
        </w:tc>
        <w:tc>
          <w:tcPr>
            <w:tcW w:w="168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580" w:type="dxa"/>
            <w:vAlign w:val="bottom"/>
          </w:tcPr>
          <w:p>
            <w:pPr>
              <w:ind w:left="200"/>
              <w:spacing w:after="0" w:line="239" w:lineRule="exact"/>
              <w:rPr>
                <w:sz w:val="20"/>
                <w:szCs w:val="20"/>
                <w:color w:val="auto"/>
              </w:rPr>
            </w:pPr>
            <w:r>
              <w:rPr>
                <w:rFonts w:ascii="Arial" w:cs="Arial" w:eastAsia="Arial" w:hAnsi="Arial"/>
                <w:sz w:val="16"/>
                <w:szCs w:val="16"/>
                <w:color w:val="auto"/>
              </w:rPr>
              <w:t>current liabilities</w:t>
            </w:r>
            <w:r>
              <w:rPr>
                <w:rFonts w:ascii="Arial" w:cs="Arial" w:eastAsia="Arial" w:hAnsi="Arial"/>
                <w:sz w:val="21"/>
                <w:szCs w:val="21"/>
                <w:color w:val="auto"/>
                <w:vertAlign w:val="superscript"/>
              </w:rPr>
              <w:t>2</w:t>
            </w:r>
          </w:p>
        </w:tc>
        <w:tc>
          <w:tcPr>
            <w:tcW w:w="1780" w:type="dxa"/>
            <w:vAlign w:val="bottom"/>
            <w:vMerge w:val="continue"/>
          </w:tcPr>
          <w:p>
            <w:pPr>
              <w:spacing w:after="0"/>
              <w:rPr>
                <w:sz w:val="20"/>
                <w:szCs w:val="20"/>
                <w:color w:val="auto"/>
              </w:rPr>
            </w:pPr>
          </w:p>
        </w:tc>
        <w:tc>
          <w:tcPr>
            <w:tcW w:w="1680" w:type="dxa"/>
            <w:vAlign w:val="bottom"/>
          </w:tcPr>
          <w:p>
            <w:pPr>
              <w:jc w:val="right"/>
              <w:ind w:right="139"/>
              <w:spacing w:after="0"/>
              <w:rPr>
                <w:sz w:val="20"/>
                <w:szCs w:val="20"/>
                <w:color w:val="auto"/>
              </w:rPr>
            </w:pPr>
            <w:r>
              <w:rPr>
                <w:rFonts w:ascii="Arial" w:cs="Arial" w:eastAsia="Arial" w:hAnsi="Arial"/>
                <w:sz w:val="16"/>
                <w:szCs w:val="16"/>
                <w:color w:val="auto"/>
              </w:rPr>
              <w:t>(2,993)</w:t>
            </w:r>
          </w:p>
        </w:tc>
        <w:tc>
          <w:tcPr>
            <w:tcW w:w="1960" w:type="dxa"/>
            <w:vAlign w:val="bottom"/>
          </w:tcPr>
          <w:p>
            <w:pPr>
              <w:jc w:val="right"/>
              <w:ind w:right="299"/>
              <w:spacing w:after="0"/>
              <w:rPr>
                <w:sz w:val="20"/>
                <w:szCs w:val="20"/>
                <w:color w:val="auto"/>
              </w:rPr>
            </w:pPr>
            <w:r>
              <w:rPr>
                <w:rFonts w:ascii="Arial" w:cs="Arial" w:eastAsia="Arial" w:hAnsi="Arial"/>
                <w:sz w:val="16"/>
                <w:szCs w:val="16"/>
                <w:color w:val="auto"/>
              </w:rPr>
              <w:t>(2,730)</w:t>
            </w:r>
          </w:p>
        </w:tc>
        <w:tc>
          <w:tcPr>
            <w:tcW w:w="1700" w:type="dxa"/>
            <w:vAlign w:val="bottom"/>
          </w:tcPr>
          <w:p>
            <w:pPr>
              <w:jc w:val="right"/>
              <w:ind w:right="219"/>
              <w:spacing w:after="0"/>
              <w:rPr>
                <w:sz w:val="20"/>
                <w:szCs w:val="20"/>
                <w:color w:val="auto"/>
              </w:rPr>
            </w:pPr>
            <w:r>
              <w:rPr>
                <w:rFonts w:ascii="Arial" w:cs="Arial" w:eastAsia="Arial" w:hAnsi="Arial"/>
                <w:sz w:val="16"/>
                <w:szCs w:val="16"/>
                <w:color w:val="auto"/>
              </w:rPr>
              <w:t>(2,430)</w:t>
            </w:r>
          </w:p>
        </w:tc>
        <w:tc>
          <w:tcPr>
            <w:tcW w:w="1720" w:type="dxa"/>
            <w:vAlign w:val="bottom"/>
          </w:tcPr>
          <w:p>
            <w:pPr>
              <w:jc w:val="right"/>
              <w:ind w:right="159"/>
              <w:spacing w:after="0"/>
              <w:rPr>
                <w:sz w:val="20"/>
                <w:szCs w:val="20"/>
                <w:color w:val="auto"/>
              </w:rPr>
            </w:pPr>
            <w:r>
              <w:rPr>
                <w:rFonts w:ascii="Arial" w:cs="Arial" w:eastAsia="Arial" w:hAnsi="Arial"/>
                <w:sz w:val="16"/>
                <w:szCs w:val="16"/>
                <w:color w:val="auto"/>
              </w:rPr>
              <w:t>(2,262)</w:t>
            </w:r>
          </w:p>
        </w:tc>
        <w:tc>
          <w:tcPr>
            <w:tcW w:w="0" w:type="dxa"/>
            <w:vAlign w:val="bottom"/>
          </w:tcPr>
          <w:p>
            <w:pPr>
              <w:spacing w:after="0"/>
              <w:rPr>
                <w:sz w:val="1"/>
                <w:szCs w:val="1"/>
                <w:color w:val="auto"/>
              </w:rPr>
            </w:pPr>
          </w:p>
        </w:tc>
      </w:tr>
      <w:tr>
        <w:trPr>
          <w:trHeight w:val="220"/>
        </w:trPr>
        <w:tc>
          <w:tcPr>
            <w:tcW w:w="2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Less: average deferred property</w:t>
            </w:r>
          </w:p>
        </w:tc>
        <w:tc>
          <w:tcPr>
            <w:tcW w:w="178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5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incentives and deferred rent</w:t>
            </w:r>
          </w:p>
        </w:tc>
        <w:tc>
          <w:tcPr>
            <w:tcW w:w="1780" w:type="dxa"/>
            <w:vAlign w:val="bottom"/>
            <w:vMerge w:val="restart"/>
            <w:shd w:val="clear" w:color="auto" w:fill="CCEEFF"/>
          </w:tcPr>
          <w:p>
            <w:pPr>
              <w:jc w:val="right"/>
              <w:ind w:right="259"/>
              <w:spacing w:after="0"/>
              <w:rPr>
                <w:sz w:val="20"/>
                <w:szCs w:val="20"/>
                <w:color w:val="auto"/>
              </w:rPr>
            </w:pPr>
            <w:r>
              <w:rPr>
                <w:rFonts w:ascii="Arial" w:cs="Arial" w:eastAsia="Arial" w:hAnsi="Arial"/>
                <w:sz w:val="16"/>
                <w:szCs w:val="16"/>
                <w:b w:val="1"/>
                <w:bCs w:val="1"/>
                <w:color w:val="auto"/>
              </w:rPr>
              <w:t>(644)</w:t>
            </w:r>
          </w:p>
        </w:tc>
        <w:tc>
          <w:tcPr>
            <w:tcW w:w="168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580" w:type="dxa"/>
            <w:vAlign w:val="bottom"/>
            <w:shd w:val="clear" w:color="auto" w:fill="CCEEFF"/>
          </w:tcPr>
          <w:p>
            <w:pPr>
              <w:ind w:left="200"/>
              <w:spacing w:after="0" w:line="239" w:lineRule="exact"/>
              <w:rPr>
                <w:sz w:val="20"/>
                <w:szCs w:val="20"/>
                <w:color w:val="auto"/>
              </w:rPr>
            </w:pPr>
            <w:r>
              <w:rPr>
                <w:rFonts w:ascii="Arial" w:cs="Arial" w:eastAsia="Arial" w:hAnsi="Arial"/>
                <w:sz w:val="16"/>
                <w:szCs w:val="16"/>
                <w:color w:val="auto"/>
              </w:rPr>
              <w:t>liability</w:t>
            </w:r>
            <w:r>
              <w:rPr>
                <w:rFonts w:ascii="Arial" w:cs="Arial" w:eastAsia="Arial" w:hAnsi="Arial"/>
                <w:sz w:val="21"/>
                <w:szCs w:val="21"/>
                <w:color w:val="auto"/>
                <w:vertAlign w:val="superscript"/>
              </w:rPr>
              <w:t>2</w:t>
            </w:r>
          </w:p>
        </w:tc>
        <w:tc>
          <w:tcPr>
            <w:tcW w:w="1780" w:type="dxa"/>
            <w:vAlign w:val="bottom"/>
            <w:vMerge w:val="continue"/>
            <w:shd w:val="clear" w:color="auto" w:fill="CCEEFF"/>
          </w:tcPr>
          <w:p>
            <w:pPr>
              <w:spacing w:after="0"/>
              <w:rPr>
                <w:sz w:val="20"/>
                <w:szCs w:val="20"/>
                <w:color w:val="auto"/>
              </w:rPr>
            </w:pPr>
          </w:p>
        </w:tc>
        <w:tc>
          <w:tcPr>
            <w:tcW w:w="16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(548)</w:t>
            </w:r>
          </w:p>
        </w:tc>
        <w:tc>
          <w:tcPr>
            <w:tcW w:w="196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(502)</w:t>
            </w:r>
          </w:p>
        </w:tc>
        <w:tc>
          <w:tcPr>
            <w:tcW w:w="17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(489)</w:t>
            </w:r>
          </w:p>
        </w:tc>
        <w:tc>
          <w:tcPr>
            <w:tcW w:w="17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(494)</w:t>
            </w:r>
          </w:p>
        </w:tc>
        <w:tc>
          <w:tcPr>
            <w:tcW w:w="0" w:type="dxa"/>
            <w:vAlign w:val="bottom"/>
          </w:tcPr>
          <w:p>
            <w:pPr>
              <w:spacing w:after="0"/>
              <w:rPr>
                <w:sz w:val="1"/>
                <w:szCs w:val="1"/>
                <w:color w:val="auto"/>
              </w:rPr>
            </w:pPr>
          </w:p>
        </w:tc>
      </w:tr>
      <w:tr>
        <w:trPr>
          <w:trHeight w:val="220"/>
        </w:trPr>
        <w:tc>
          <w:tcPr>
            <w:tcW w:w="2580" w:type="dxa"/>
            <w:vAlign w:val="bottom"/>
          </w:tcPr>
          <w:p>
            <w:pPr>
              <w:ind w:left="40"/>
              <w:spacing w:after="0"/>
              <w:rPr>
                <w:sz w:val="20"/>
                <w:szCs w:val="20"/>
                <w:color w:val="auto"/>
              </w:rPr>
            </w:pPr>
            <w:r>
              <w:rPr>
                <w:rFonts w:ascii="Arial" w:cs="Arial" w:eastAsia="Arial" w:hAnsi="Arial"/>
                <w:sz w:val="16"/>
                <w:szCs w:val="16"/>
                <w:color w:val="auto"/>
                <w:w w:val="93"/>
              </w:rPr>
              <w:t>Add: average estimated asset base of</w:t>
            </w:r>
          </w:p>
        </w:tc>
        <w:tc>
          <w:tcPr>
            <w:tcW w:w="1780" w:type="dxa"/>
            <w:vAlign w:val="bottom"/>
            <w:vMerge w:val="restart"/>
          </w:tcPr>
          <w:p>
            <w:pPr>
              <w:jc w:val="right"/>
              <w:ind w:right="319"/>
              <w:spacing w:after="0"/>
              <w:rPr>
                <w:sz w:val="20"/>
                <w:szCs w:val="20"/>
                <w:color w:val="auto"/>
              </w:rPr>
            </w:pPr>
            <w:r>
              <w:rPr>
                <w:rFonts w:ascii="Arial" w:cs="Arial" w:eastAsia="Arial" w:hAnsi="Arial"/>
                <w:sz w:val="16"/>
                <w:szCs w:val="16"/>
                <w:b w:val="1"/>
                <w:bCs w:val="1"/>
                <w:color w:val="auto"/>
              </w:rPr>
              <w:t>1,512</w:t>
            </w:r>
          </w:p>
        </w:tc>
        <w:tc>
          <w:tcPr>
            <w:tcW w:w="168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580" w:type="dxa"/>
            <w:vAlign w:val="bottom"/>
            <w:tcBorders>
              <w:bottom w:val="single" w:sz="8" w:color="auto"/>
            </w:tcBorders>
          </w:tcPr>
          <w:p>
            <w:pPr>
              <w:ind w:left="200"/>
              <w:spacing w:after="0" w:line="239" w:lineRule="exact"/>
              <w:rPr>
                <w:sz w:val="20"/>
                <w:szCs w:val="20"/>
                <w:color w:val="auto"/>
              </w:rPr>
            </w:pPr>
            <w:r>
              <w:rPr>
                <w:rFonts w:ascii="Arial" w:cs="Arial" w:eastAsia="Arial" w:hAnsi="Arial"/>
                <w:sz w:val="16"/>
                <w:szCs w:val="16"/>
                <w:color w:val="auto"/>
              </w:rPr>
              <w:t>capitalized operating leases</w:t>
            </w:r>
            <w:r>
              <w:rPr>
                <w:rFonts w:ascii="Arial" w:cs="Arial" w:eastAsia="Arial" w:hAnsi="Arial"/>
                <w:sz w:val="21"/>
                <w:szCs w:val="21"/>
                <w:color w:val="auto"/>
                <w:vertAlign w:val="superscript"/>
              </w:rPr>
              <w:t>3</w:t>
            </w:r>
          </w:p>
        </w:tc>
        <w:tc>
          <w:tcPr>
            <w:tcW w:w="1780" w:type="dxa"/>
            <w:vAlign w:val="bottom"/>
            <w:tcBorders>
              <w:bottom w:val="single" w:sz="8" w:color="auto"/>
            </w:tcBorders>
            <w:vMerge w:val="continue"/>
          </w:tcPr>
          <w:p>
            <w:pPr>
              <w:spacing w:after="0"/>
              <w:rPr>
                <w:sz w:val="20"/>
                <w:szCs w:val="20"/>
                <w:color w:val="auto"/>
              </w:rPr>
            </w:pPr>
          </w:p>
        </w:tc>
        <w:tc>
          <w:tcPr>
            <w:tcW w:w="16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1,236</w:t>
            </w:r>
          </w:p>
        </w:tc>
        <w:tc>
          <w:tcPr>
            <w:tcW w:w="19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1,058</w:t>
            </w:r>
          </w:p>
        </w:tc>
        <w:tc>
          <w:tcPr>
            <w:tcW w:w="17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929</w:t>
            </w:r>
          </w:p>
        </w:tc>
        <w:tc>
          <w:tcPr>
            <w:tcW w:w="17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724</w:t>
            </w:r>
          </w:p>
        </w:tc>
        <w:tc>
          <w:tcPr>
            <w:tcW w:w="0" w:type="dxa"/>
            <w:vAlign w:val="bottom"/>
          </w:tcPr>
          <w:p>
            <w:pPr>
              <w:spacing w:after="0"/>
              <w:rPr>
                <w:sz w:val="1"/>
                <w:szCs w:val="1"/>
                <w:color w:val="auto"/>
              </w:rPr>
            </w:pPr>
          </w:p>
        </w:tc>
      </w:tr>
      <w:tr>
        <w:trPr>
          <w:trHeight w:val="269"/>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Average invested capital</w:t>
            </w:r>
          </w:p>
        </w:tc>
        <w:tc>
          <w:tcPr>
            <w:tcW w:w="178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b w:val="1"/>
                <w:bCs w:val="1"/>
                <w:color w:val="auto"/>
              </w:rPr>
              <w:t>$5,773</w:t>
            </w:r>
          </w:p>
        </w:tc>
        <w:tc>
          <w:tcPr>
            <w:tcW w:w="16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$6,771</w:t>
            </w:r>
          </w:p>
        </w:tc>
        <w:tc>
          <w:tcPr>
            <w:tcW w:w="196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rPr>
              <w:t>$6,686</w:t>
            </w:r>
          </w:p>
        </w:tc>
        <w:tc>
          <w:tcPr>
            <w:tcW w:w="170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$6,408</w:t>
            </w:r>
          </w:p>
        </w:tc>
        <w:tc>
          <w:tcPr>
            <w:tcW w:w="17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$6,242</w:t>
            </w:r>
          </w:p>
        </w:tc>
        <w:tc>
          <w:tcPr>
            <w:tcW w:w="0" w:type="dxa"/>
            <w:vAlign w:val="bottom"/>
          </w:tcPr>
          <w:p>
            <w:pPr>
              <w:spacing w:after="0"/>
              <w:rPr>
                <w:sz w:val="1"/>
                <w:szCs w:val="1"/>
                <w:color w:val="auto"/>
              </w:rPr>
            </w:pPr>
          </w:p>
        </w:tc>
      </w:tr>
      <w:tr>
        <w:trPr>
          <w:trHeight w:val="291"/>
        </w:trPr>
        <w:tc>
          <w:tcPr>
            <w:tcW w:w="2580" w:type="dxa"/>
            <w:vAlign w:val="bottom"/>
            <w:tcBorders>
              <w:top w:val="single" w:sz="8" w:color="auto"/>
            </w:tcBorders>
          </w:tcPr>
          <w:p>
            <w:pPr>
              <w:spacing w:after="0"/>
              <w:rPr>
                <w:sz w:val="24"/>
                <w:szCs w:val="24"/>
                <w:color w:val="auto"/>
              </w:rPr>
            </w:pPr>
          </w:p>
        </w:tc>
        <w:tc>
          <w:tcPr>
            <w:tcW w:w="1780" w:type="dxa"/>
            <w:vAlign w:val="bottom"/>
            <w:tcBorders>
              <w:top w:val="single" w:sz="8" w:color="auto"/>
            </w:tcBorders>
          </w:tcPr>
          <w:p>
            <w:pPr>
              <w:spacing w:after="0"/>
              <w:rPr>
                <w:sz w:val="24"/>
                <w:szCs w:val="24"/>
                <w:color w:val="auto"/>
              </w:rPr>
            </w:pPr>
          </w:p>
        </w:tc>
        <w:tc>
          <w:tcPr>
            <w:tcW w:w="1680" w:type="dxa"/>
            <w:vAlign w:val="bottom"/>
            <w:tcBorders>
              <w:top w:val="single" w:sz="8" w:color="auto"/>
            </w:tcBorders>
          </w:tcPr>
          <w:p>
            <w:pPr>
              <w:spacing w:after="0"/>
              <w:rPr>
                <w:sz w:val="24"/>
                <w:szCs w:val="24"/>
                <w:color w:val="auto"/>
              </w:rPr>
            </w:pPr>
          </w:p>
        </w:tc>
        <w:tc>
          <w:tcPr>
            <w:tcW w:w="1960" w:type="dxa"/>
            <w:vAlign w:val="bottom"/>
            <w:tcBorders>
              <w:top w:val="single" w:sz="8" w:color="auto"/>
            </w:tcBorders>
          </w:tcPr>
          <w:p>
            <w:pPr>
              <w:spacing w:after="0"/>
              <w:rPr>
                <w:sz w:val="24"/>
                <w:szCs w:val="24"/>
                <w:color w:val="auto"/>
              </w:rPr>
            </w:pPr>
          </w:p>
        </w:tc>
        <w:tc>
          <w:tcPr>
            <w:tcW w:w="1700" w:type="dxa"/>
            <w:vAlign w:val="bottom"/>
            <w:tcBorders>
              <w:top w:val="single" w:sz="8" w:color="auto"/>
            </w:tcBorders>
          </w:tcPr>
          <w:p>
            <w:pPr>
              <w:spacing w:after="0"/>
              <w:rPr>
                <w:sz w:val="24"/>
                <w:szCs w:val="24"/>
                <w:color w:val="auto"/>
              </w:rPr>
            </w:pPr>
          </w:p>
        </w:tc>
        <w:tc>
          <w:tcPr>
            <w:tcW w:w="17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Return on assets</w:t>
            </w:r>
          </w:p>
        </w:tc>
        <w:tc>
          <w:tcPr>
            <w:tcW w:w="178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4.5%</w:t>
            </w:r>
          </w:p>
        </w:tc>
        <w:tc>
          <w:tcPr>
            <w:tcW w:w="16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6.6%</w:t>
            </w:r>
          </w:p>
        </w:tc>
        <w:tc>
          <w:tcPr>
            <w:tcW w:w="196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8.1%</w:t>
            </w:r>
          </w:p>
        </w:tc>
        <w:tc>
          <w:tcPr>
            <w:tcW w:w="17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8.7%</w:t>
            </w:r>
          </w:p>
        </w:tc>
        <w:tc>
          <w:tcPr>
            <w:tcW w:w="17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8.9%</w:t>
            </w:r>
          </w:p>
        </w:tc>
        <w:tc>
          <w:tcPr>
            <w:tcW w:w="0" w:type="dxa"/>
            <w:vAlign w:val="bottom"/>
          </w:tcPr>
          <w:p>
            <w:pPr>
              <w:spacing w:after="0"/>
              <w:rPr>
                <w:sz w:val="1"/>
                <w:szCs w:val="1"/>
                <w:color w:val="auto"/>
              </w:rPr>
            </w:pPr>
          </w:p>
        </w:tc>
      </w:tr>
      <w:tr>
        <w:trPr>
          <w:trHeight w:val="237"/>
        </w:trPr>
        <w:tc>
          <w:tcPr>
            <w:tcW w:w="2580" w:type="dxa"/>
            <w:vAlign w:val="bottom"/>
          </w:tcPr>
          <w:p>
            <w:pPr>
              <w:ind w:left="40"/>
              <w:spacing w:after="0"/>
              <w:rPr>
                <w:sz w:val="20"/>
                <w:szCs w:val="20"/>
                <w:color w:val="auto"/>
              </w:rPr>
            </w:pPr>
            <w:r>
              <w:rPr>
                <w:rFonts w:ascii="Arial" w:cs="Arial" w:eastAsia="Arial" w:hAnsi="Arial"/>
                <w:sz w:val="16"/>
                <w:szCs w:val="16"/>
                <w:b w:val="1"/>
                <w:bCs w:val="1"/>
                <w:color w:val="auto"/>
              </w:rPr>
              <w:t>ROIC</w:t>
            </w:r>
          </w:p>
        </w:tc>
        <w:tc>
          <w:tcPr>
            <w:tcW w:w="1780" w:type="dxa"/>
            <w:vAlign w:val="bottom"/>
          </w:tcPr>
          <w:p>
            <w:pPr>
              <w:jc w:val="right"/>
              <w:ind w:right="159"/>
              <w:spacing w:after="0"/>
              <w:rPr>
                <w:sz w:val="20"/>
                <w:szCs w:val="20"/>
                <w:color w:val="auto"/>
              </w:rPr>
            </w:pPr>
            <w:r>
              <w:rPr>
                <w:rFonts w:ascii="Arial" w:cs="Arial" w:eastAsia="Arial" w:hAnsi="Arial"/>
                <w:sz w:val="16"/>
                <w:szCs w:val="16"/>
                <w:b w:val="1"/>
                <w:bCs w:val="1"/>
                <w:color w:val="auto"/>
              </w:rPr>
              <w:t>8.4%</w:t>
            </w:r>
          </w:p>
        </w:tc>
        <w:tc>
          <w:tcPr>
            <w:tcW w:w="1680" w:type="dxa"/>
            <w:vAlign w:val="bottom"/>
          </w:tcPr>
          <w:p>
            <w:pPr>
              <w:jc w:val="right"/>
              <w:ind w:right="59"/>
              <w:spacing w:after="0"/>
              <w:rPr>
                <w:sz w:val="20"/>
                <w:szCs w:val="20"/>
                <w:color w:val="auto"/>
              </w:rPr>
            </w:pPr>
            <w:r>
              <w:rPr>
                <w:rFonts w:ascii="Arial" w:cs="Arial" w:eastAsia="Arial" w:hAnsi="Arial"/>
                <w:sz w:val="16"/>
                <w:szCs w:val="16"/>
                <w:color w:val="auto"/>
              </w:rPr>
              <w:t>10.7%</w:t>
            </w:r>
          </w:p>
        </w:tc>
        <w:tc>
          <w:tcPr>
            <w:tcW w:w="1960" w:type="dxa"/>
            <w:vAlign w:val="bottom"/>
          </w:tcPr>
          <w:p>
            <w:pPr>
              <w:jc w:val="right"/>
              <w:ind w:right="219"/>
              <w:spacing w:after="0"/>
              <w:rPr>
                <w:sz w:val="20"/>
                <w:szCs w:val="20"/>
                <w:color w:val="auto"/>
              </w:rPr>
            </w:pPr>
            <w:r>
              <w:rPr>
                <w:rFonts w:ascii="Arial" w:cs="Arial" w:eastAsia="Arial" w:hAnsi="Arial"/>
                <w:sz w:val="16"/>
                <w:szCs w:val="16"/>
                <w:color w:val="auto"/>
              </w:rPr>
              <w:t>12.6%</w:t>
            </w:r>
          </w:p>
        </w:tc>
        <w:tc>
          <w:tcPr>
            <w:tcW w:w="1700" w:type="dxa"/>
            <w:vAlign w:val="bottom"/>
          </w:tcPr>
          <w:p>
            <w:pPr>
              <w:jc w:val="right"/>
              <w:ind w:right="139"/>
              <w:spacing w:after="0"/>
              <w:rPr>
                <w:sz w:val="20"/>
                <w:szCs w:val="20"/>
                <w:color w:val="auto"/>
              </w:rPr>
            </w:pPr>
            <w:r>
              <w:rPr>
                <w:rFonts w:ascii="Arial" w:cs="Arial" w:eastAsia="Arial" w:hAnsi="Arial"/>
                <w:sz w:val="16"/>
                <w:szCs w:val="16"/>
                <w:color w:val="auto"/>
              </w:rPr>
              <w:t>13.6%</w:t>
            </w:r>
          </w:p>
        </w:tc>
        <w:tc>
          <w:tcPr>
            <w:tcW w:w="1720" w:type="dxa"/>
            <w:vAlign w:val="bottom"/>
          </w:tcPr>
          <w:p>
            <w:pPr>
              <w:jc w:val="right"/>
              <w:ind w:right="79"/>
              <w:spacing w:after="0"/>
              <w:rPr>
                <w:sz w:val="20"/>
                <w:szCs w:val="20"/>
                <w:color w:val="auto"/>
              </w:rPr>
            </w:pPr>
            <w:r>
              <w:rPr>
                <w:rFonts w:ascii="Arial" w:cs="Arial" w:eastAsia="Arial" w:hAnsi="Arial"/>
                <w:sz w:val="16"/>
                <w:szCs w:val="16"/>
                <w:color w:val="auto"/>
              </w:rPr>
              <w:t>13.9%</w:t>
            </w:r>
          </w:p>
        </w:tc>
        <w:tc>
          <w:tcPr>
            <w:tcW w:w="0" w:type="dxa"/>
            <w:vAlign w:val="bottom"/>
          </w:tcPr>
          <w:p>
            <w:pPr>
              <w:spacing w:after="0"/>
              <w:rPr>
                <w:sz w:val="1"/>
                <w:szCs w:val="1"/>
                <w:color w:val="auto"/>
              </w:rPr>
            </w:pPr>
          </w:p>
        </w:tc>
      </w:tr>
    </w:tbl>
    <w:p>
      <w:pPr>
        <w:spacing w:after="0" w:line="28" w:lineRule="exact"/>
        <w:rPr>
          <w:sz w:val="20"/>
          <w:szCs w:val="20"/>
          <w:color w:val="auto"/>
        </w:rPr>
      </w:pPr>
    </w:p>
    <w:p>
      <w:pPr>
        <w:ind w:left="80" w:right="200" w:hanging="72"/>
        <w:spacing w:after="0" w:line="250" w:lineRule="auto"/>
        <w:tabs>
          <w:tab w:leader="none" w:pos="66" w:val="left"/>
        </w:tabs>
        <w:numPr>
          <w:ilvl w:val="0"/>
          <w:numId w:val="25"/>
        </w:numPr>
        <w:rPr>
          <w:rFonts w:ascii="Arial" w:cs="Arial" w:eastAsia="Arial" w:hAnsi="Arial"/>
          <w:sz w:val="9"/>
          <w:szCs w:val="9"/>
          <w:color w:val="auto"/>
        </w:rPr>
      </w:pPr>
      <w:r>
        <w:rPr>
          <w:rFonts w:ascii="Arial" w:cs="Arial" w:eastAsia="Arial" w:hAnsi="Arial"/>
          <w:sz w:val="14"/>
          <w:szCs w:val="14"/>
          <w:color w:val="auto"/>
        </w:rPr>
        <w:t>Capitalized operating leases is our best estimate of the asset base we would record for our leases that are classified as operating if they had met the criteria for a capital lease or we had purchased the property. Asset base is calculated as described in footnote 3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-208915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80" w:hanging="72"/>
        <w:spacing w:after="0"/>
        <w:tabs>
          <w:tab w:leader="none" w:pos="80" w:val="left"/>
        </w:tabs>
        <w:numPr>
          <w:ilvl w:val="0"/>
          <w:numId w:val="26"/>
        </w:numPr>
        <w:rPr>
          <w:rFonts w:ascii="Arial" w:cs="Arial" w:eastAsia="Arial" w:hAnsi="Arial"/>
          <w:sz w:val="9"/>
          <w:szCs w:val="9"/>
          <w:color w:val="auto"/>
        </w:rPr>
      </w:pPr>
      <w:r>
        <w:rPr>
          <w:rFonts w:ascii="Arial" w:cs="Arial" w:eastAsia="Arial" w:hAnsi="Arial"/>
          <w:sz w:val="14"/>
          <w:szCs w:val="14"/>
          <w:color w:val="auto"/>
        </w:rPr>
        <w:t>Balances associated with our deferred rent liability have been classified as long-term liabilities in the current period.</w:t>
      </w:r>
    </w:p>
    <w:p>
      <w:pPr>
        <w:spacing w:after="0" w:line="1" w:lineRule="exact"/>
        <w:rPr>
          <w:sz w:val="20"/>
          <w:szCs w:val="20"/>
          <w:color w:val="auto"/>
        </w:rPr>
      </w:pPr>
    </w:p>
    <w:p>
      <w:pPr>
        <w:ind w:left="80" w:right="80" w:hanging="72"/>
        <w:spacing w:after="0" w:line="255" w:lineRule="auto"/>
        <w:tabs>
          <w:tab w:leader="none" w:pos="66" w:val="left"/>
        </w:tabs>
        <w:numPr>
          <w:ilvl w:val="0"/>
          <w:numId w:val="27"/>
        </w:numPr>
        <w:rPr>
          <w:rFonts w:ascii="Arial" w:cs="Arial" w:eastAsia="Arial" w:hAnsi="Arial"/>
          <w:sz w:val="9"/>
          <w:szCs w:val="9"/>
          <w:color w:val="auto"/>
        </w:rPr>
      </w:pPr>
      <w:r>
        <w:rPr>
          <w:rFonts w:ascii="Arial" w:cs="Arial" w:eastAsia="Arial" w:hAnsi="Arial"/>
          <w:sz w:val="14"/>
          <w:szCs w:val="14"/>
          <w:color w:val="auto"/>
        </w:rPr>
        <w:t>Based upon the trailing 12-month average of the monthly asset base. The asset base for each month is calculated as the trailing 12 months of rent expense multiplied by eight. The multiple of eight times rent expense is a commonly used method of estimating the asset base we would record for our capitalized operating leases described in footnote 1.</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126" w:right="239" w:bottom="1440" w:gutter="0" w:footer="0" w:header="0"/>
        </w:sectPr>
      </w:pPr>
    </w:p>
    <w:bookmarkStart w:id="26" w:name="page27"/>
    <w:bookmarkEnd w:id="26"/>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strive to maintain a level of liquidity sufficient to allow us to cover our seasonal cash needs and to maintain appropriate levels of short-term borrowings. We believe that our operating cash flows, available credit facilities and potential future borrowings are sufficient to finance our cash requirements for the next 12 months and beyond.</w:t>
      </w:r>
    </w:p>
    <w:p>
      <w:pPr>
        <w:spacing w:after="0" w:line="136" w:lineRule="exact"/>
        <w:rPr>
          <w:sz w:val="20"/>
          <w:szCs w:val="20"/>
          <w:color w:val="auto"/>
        </w:rPr>
      </w:pPr>
    </w:p>
    <w:p>
      <w:pPr>
        <w:jc w:val="both"/>
        <w:ind w:right="80"/>
        <w:spacing w:after="0" w:line="257" w:lineRule="auto"/>
        <w:rPr>
          <w:sz w:val="20"/>
          <w:szCs w:val="20"/>
          <w:color w:val="auto"/>
        </w:rPr>
      </w:pPr>
      <w:r>
        <w:rPr>
          <w:rFonts w:ascii="Arial" w:cs="Arial" w:eastAsia="Arial" w:hAnsi="Arial"/>
          <w:sz w:val="18"/>
          <w:szCs w:val="18"/>
          <w:color w:val="auto"/>
        </w:rPr>
        <w:t>Over the long term, we manage our cash and capital structure to maximize shareholder return, maintain our financial position, manage refinancing risk and allow flexibility for strategic initiatives. We regularly assess our debt and leverage levels, capital expenditure requirements, debt service payments, dividend payouts, potential share repurchases and other future investments. We believe that as of January 28, 2017, our existing cash and cash equivalents on-hand of $1,007, available credit facilities of $800 and potential future operating cash flows and borrowings will be sufficient to fund these scheduled future payments and potential long-term initiatives.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Activities</w:t>
      </w:r>
    </w:p>
    <w:p>
      <w:pPr>
        <w:spacing w:after="0" w:line="27" w:lineRule="exact"/>
        <w:rPr>
          <w:sz w:val="20"/>
          <w:szCs w:val="20"/>
          <w:color w:val="auto"/>
        </w:rPr>
      </w:pPr>
    </w:p>
    <w:p>
      <w:pPr>
        <w:ind w:right="60"/>
        <w:spacing w:after="0" w:line="295" w:lineRule="auto"/>
        <w:rPr>
          <w:sz w:val="20"/>
          <w:szCs w:val="20"/>
          <w:color w:val="auto"/>
        </w:rPr>
      </w:pPr>
      <w:r>
        <w:rPr>
          <w:rFonts w:ascii="Arial" w:cs="Arial" w:eastAsia="Arial" w:hAnsi="Arial"/>
          <w:sz w:val="16"/>
          <w:szCs w:val="16"/>
          <w:color w:val="auto"/>
        </w:rPr>
        <w:t>The majority of our operating cash inflows are derived from sales. We also receive cash payments for property incentives from developers. Our operating cash outflows generally consist of payments to our merchandise vendors (net of vendor allowances), payments to our employees for wages, salaries and other employee benefits and payments to our landlords for rent. Operating cash outflows also include payments for income taxes and interest payments on our short-term and long-term borrowings. Net cash provided by operating activities was $1,648 in 2016, $2,451 in 2015 and $1,220 in 2014.</w:t>
      </w:r>
    </w:p>
    <w:p>
      <w:pPr>
        <w:spacing w:after="0" w:line="10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Net cash provided by operating activities decreased by $803 between 2016 and 2015, primarily due to $1,297 of proceeds in 2015 from the sale of our credit card receivables originated at Nordstrom (see Note 2: Credit Card Receivable Transaction in Item 8). When removing the impact of the sale proceeds, operating cash flows increased from 2015 primarily due to improvements in working capital.</w:t>
      </w:r>
    </w:p>
    <w:p>
      <w:pPr>
        <w:spacing w:after="0" w:line="127" w:lineRule="exact"/>
        <w:rPr>
          <w:sz w:val="20"/>
          <w:szCs w:val="20"/>
          <w:color w:val="auto"/>
        </w:rPr>
      </w:pPr>
    </w:p>
    <w:p>
      <w:pPr>
        <w:ind w:right="460"/>
        <w:spacing w:after="0" w:line="264" w:lineRule="auto"/>
        <w:rPr>
          <w:sz w:val="20"/>
          <w:szCs w:val="20"/>
          <w:color w:val="auto"/>
        </w:rPr>
      </w:pPr>
      <w:r>
        <w:rPr>
          <w:rFonts w:ascii="Arial" w:cs="Arial" w:eastAsia="Arial" w:hAnsi="Arial"/>
          <w:sz w:val="18"/>
          <w:szCs w:val="18"/>
          <w:color w:val="auto"/>
        </w:rPr>
        <w:t>Net cash provided by operating activities increased by $1,231 between 2015 and 2014, primarily due to sale proceeds from the credit card receivable transaction. Also within operating activities, deferred income taxes, net and prepaid expenses and other assets were impacted by a change in an IRS rule regarding repairs of real property.</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Activities</w:t>
      </w:r>
    </w:p>
    <w:p>
      <w:pPr>
        <w:spacing w:after="0" w:line="2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Net cash used in investing activities was $791 in 2016, $144 in 2015 and $889 in 2014. The increase in cash used in 2016 compared with 2015 is primarily due to $890 of proceeds in 2015 from the sale of our credit card receivables originated at third parties, partially offset by a decrease in capital expenditures in 2016.</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Capital Expenditures</w:t>
      </w:r>
    </w:p>
    <w:p>
      <w:pPr>
        <w:spacing w:after="0" w:line="23"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Our capital expenditures over the last three years totaled $2,789, with $846 in 2016, $1,082 in 2015 and $861 in 2014. Capital expenditures decreased in 2016 compared with 2015 due to reduced spend associated with full-line relocations and new full-line stores.</w:t>
      </w:r>
    </w:p>
    <w:p>
      <w:pPr>
        <w:spacing w:after="0" w:line="130"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color w:val="auto"/>
        </w:rPr>
        <w:t>We receive property incentives from our developers, which we view operationally as an offset to our capital expenditures. Developer incentives of $65 in 2016, $156 in 2015 and $110 in 2014 are included in our cash provided by operations in our Consolidated Statements of Cash Flows in Item 8.</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Our capital expenditure percentages, net of property incentives, by category are summarized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840" w:type="dxa"/>
            <w:vAlign w:val="bottom"/>
          </w:tcPr>
          <w:p>
            <w:pPr>
              <w:ind w:left="40"/>
              <w:spacing w:after="0"/>
              <w:rPr>
                <w:sz w:val="20"/>
                <w:szCs w:val="20"/>
                <w:color w:val="auto"/>
              </w:rPr>
            </w:pPr>
            <w:r>
              <w:rPr>
                <w:rFonts w:ascii="Arial" w:cs="Arial" w:eastAsia="Arial" w:hAnsi="Arial"/>
                <w:sz w:val="16"/>
                <w:szCs w:val="16"/>
                <w:b w:val="1"/>
                <w:bCs w:val="1"/>
                <w:color w:val="auto"/>
              </w:rPr>
              <w:t>Fiscal year</w:t>
            </w:r>
          </w:p>
        </w:tc>
        <w:tc>
          <w:tcPr>
            <w:tcW w:w="3380" w:type="dxa"/>
            <w:vAlign w:val="bottom"/>
          </w:tcPr>
          <w:p>
            <w:pPr>
              <w:jc w:val="right"/>
              <w:ind w:right="819"/>
              <w:spacing w:after="0"/>
              <w:rPr>
                <w:sz w:val="20"/>
                <w:szCs w:val="20"/>
                <w:color w:val="auto"/>
              </w:rPr>
            </w:pPr>
            <w:r>
              <w:rPr>
                <w:rFonts w:ascii="Arial" w:cs="Arial" w:eastAsia="Arial" w:hAnsi="Arial"/>
                <w:sz w:val="16"/>
                <w:szCs w:val="16"/>
                <w:b w:val="1"/>
                <w:bCs w:val="1"/>
                <w:color w:val="auto"/>
              </w:rPr>
              <w:t>2016</w:t>
            </w:r>
          </w:p>
        </w:tc>
        <w:tc>
          <w:tcPr>
            <w:tcW w:w="1960" w:type="dxa"/>
            <w:vAlign w:val="bottom"/>
          </w:tcPr>
          <w:p>
            <w:pPr>
              <w:jc w:val="right"/>
              <w:ind w:right="799"/>
              <w:spacing w:after="0"/>
              <w:rPr>
                <w:sz w:val="20"/>
                <w:szCs w:val="20"/>
                <w:color w:val="auto"/>
              </w:rPr>
            </w:pPr>
            <w:r>
              <w:rPr>
                <w:rFonts w:ascii="Arial" w:cs="Arial" w:eastAsia="Arial" w:hAnsi="Arial"/>
                <w:sz w:val="16"/>
                <w:szCs w:val="16"/>
                <w:b w:val="1"/>
                <w:bCs w:val="1"/>
                <w:color w:val="auto"/>
              </w:rPr>
              <w:t>2015</w:t>
            </w:r>
          </w:p>
        </w:tc>
        <w:tc>
          <w:tcPr>
            <w:tcW w:w="1240" w:type="dxa"/>
            <w:vAlign w:val="bottom"/>
          </w:tcPr>
          <w:p>
            <w:pPr>
              <w:jc w:val="right"/>
              <w:ind w:right="79"/>
              <w:spacing w:after="0"/>
              <w:rPr>
                <w:sz w:val="20"/>
                <w:szCs w:val="20"/>
                <w:color w:val="auto"/>
              </w:rPr>
            </w:pPr>
            <w:r>
              <w:rPr>
                <w:rFonts w:ascii="Arial" w:cs="Arial" w:eastAsia="Arial" w:hAnsi="Arial"/>
                <w:sz w:val="16"/>
                <w:szCs w:val="16"/>
                <w:b w:val="1"/>
                <w:bCs w:val="1"/>
                <w:color w:val="auto"/>
              </w:rPr>
              <w:t>2014</w:t>
            </w:r>
          </w:p>
        </w:tc>
      </w:tr>
      <w:tr>
        <w:trPr>
          <w:trHeight w:val="33"/>
        </w:trPr>
        <w:tc>
          <w:tcPr>
            <w:tcW w:w="4840" w:type="dxa"/>
            <w:vAlign w:val="bottom"/>
            <w:tcBorders>
              <w:bottom w:val="single" w:sz="8" w:color="auto"/>
            </w:tcBorders>
          </w:tcPr>
          <w:p>
            <w:pPr>
              <w:spacing w:after="0"/>
              <w:rPr>
                <w:sz w:val="2"/>
                <w:szCs w:val="2"/>
                <w:color w:val="auto"/>
              </w:rPr>
            </w:pPr>
          </w:p>
        </w:tc>
        <w:tc>
          <w:tcPr>
            <w:tcW w:w="338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Category and expenditure allocation:</w:t>
            </w:r>
          </w:p>
        </w:tc>
        <w:tc>
          <w:tcPr>
            <w:tcW w:w="338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37"/>
        </w:trPr>
        <w:tc>
          <w:tcPr>
            <w:tcW w:w="4840" w:type="dxa"/>
            <w:vAlign w:val="bottom"/>
          </w:tcPr>
          <w:p>
            <w:pPr>
              <w:ind w:left="280"/>
              <w:spacing w:after="0"/>
              <w:rPr>
                <w:sz w:val="20"/>
                <w:szCs w:val="20"/>
                <w:color w:val="auto"/>
              </w:rPr>
            </w:pPr>
            <w:r>
              <w:rPr>
                <w:rFonts w:ascii="Arial" w:cs="Arial" w:eastAsia="Arial" w:hAnsi="Arial"/>
                <w:sz w:val="16"/>
                <w:szCs w:val="16"/>
                <w:color w:val="auto"/>
              </w:rPr>
              <w:t>New stores, relocations and remodels</w:t>
            </w:r>
          </w:p>
        </w:tc>
        <w:tc>
          <w:tcPr>
            <w:tcW w:w="3380" w:type="dxa"/>
            <w:vAlign w:val="bottom"/>
          </w:tcPr>
          <w:p>
            <w:pPr>
              <w:jc w:val="right"/>
              <w:ind w:right="659"/>
              <w:spacing w:after="0"/>
              <w:rPr>
                <w:sz w:val="20"/>
                <w:szCs w:val="20"/>
                <w:color w:val="auto"/>
              </w:rPr>
            </w:pPr>
            <w:r>
              <w:rPr>
                <w:rFonts w:ascii="Arial" w:cs="Arial" w:eastAsia="Arial" w:hAnsi="Arial"/>
                <w:sz w:val="16"/>
                <w:szCs w:val="16"/>
                <w:b w:val="1"/>
                <w:bCs w:val="1"/>
                <w:color w:val="auto"/>
              </w:rPr>
              <w:t>61%</w:t>
            </w:r>
          </w:p>
        </w:tc>
        <w:tc>
          <w:tcPr>
            <w:tcW w:w="1960" w:type="dxa"/>
            <w:vAlign w:val="bottom"/>
          </w:tcPr>
          <w:p>
            <w:pPr>
              <w:jc w:val="right"/>
              <w:ind w:right="659"/>
              <w:spacing w:after="0"/>
              <w:rPr>
                <w:sz w:val="20"/>
                <w:szCs w:val="20"/>
                <w:color w:val="auto"/>
              </w:rPr>
            </w:pPr>
            <w:r>
              <w:rPr>
                <w:rFonts w:ascii="Arial" w:cs="Arial" w:eastAsia="Arial" w:hAnsi="Arial"/>
                <w:sz w:val="16"/>
                <w:szCs w:val="16"/>
                <w:color w:val="auto"/>
              </w:rPr>
              <w:t>61%</w:t>
            </w:r>
          </w:p>
        </w:tc>
        <w:tc>
          <w:tcPr>
            <w:tcW w:w="1240" w:type="dxa"/>
            <w:vAlign w:val="bottom"/>
          </w:tcPr>
          <w:p>
            <w:pPr>
              <w:jc w:val="right"/>
              <w:spacing w:after="0"/>
              <w:rPr>
                <w:sz w:val="20"/>
                <w:szCs w:val="20"/>
                <w:color w:val="auto"/>
              </w:rPr>
            </w:pPr>
            <w:r>
              <w:rPr>
                <w:rFonts w:ascii="Arial" w:cs="Arial" w:eastAsia="Arial" w:hAnsi="Arial"/>
                <w:sz w:val="16"/>
                <w:szCs w:val="16"/>
                <w:color w:val="auto"/>
              </w:rPr>
              <w:t>62%</w:t>
            </w:r>
          </w:p>
        </w:tc>
      </w:tr>
      <w:tr>
        <w:trPr>
          <w:trHeight w:val="33"/>
        </w:trPr>
        <w:tc>
          <w:tcPr>
            <w:tcW w:w="48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Information technology</w:t>
            </w:r>
          </w:p>
        </w:tc>
        <w:tc>
          <w:tcPr>
            <w:tcW w:w="3380" w:type="dxa"/>
            <w:vAlign w:val="bottom"/>
            <w:tcBorders>
              <w:bottom w:val="single" w:sz="8" w:color="CCEEFF"/>
            </w:tcBorders>
            <w:shd w:val="clear" w:color="auto" w:fill="CCEEFF"/>
          </w:tcPr>
          <w:p>
            <w:pPr>
              <w:jc w:val="right"/>
              <w:ind w:right="659"/>
              <w:spacing w:after="0"/>
              <w:rPr>
                <w:sz w:val="20"/>
                <w:szCs w:val="20"/>
                <w:color w:val="auto"/>
              </w:rPr>
            </w:pPr>
            <w:r>
              <w:rPr>
                <w:rFonts w:ascii="Arial" w:cs="Arial" w:eastAsia="Arial" w:hAnsi="Arial"/>
                <w:sz w:val="16"/>
                <w:szCs w:val="16"/>
                <w:b w:val="1"/>
                <w:bCs w:val="1"/>
                <w:color w:val="auto"/>
              </w:rPr>
              <w:t>28%</w:t>
            </w:r>
          </w:p>
        </w:tc>
        <w:tc>
          <w:tcPr>
            <w:tcW w:w="1960" w:type="dxa"/>
            <w:vAlign w:val="bottom"/>
            <w:tcBorders>
              <w:bottom w:val="single" w:sz="8" w:color="CCEEFF"/>
            </w:tcBorders>
            <w:shd w:val="clear" w:color="auto" w:fill="CCEEFF"/>
          </w:tcPr>
          <w:p>
            <w:pPr>
              <w:jc w:val="right"/>
              <w:ind w:right="659"/>
              <w:spacing w:after="0"/>
              <w:rPr>
                <w:sz w:val="20"/>
                <w:szCs w:val="20"/>
                <w:color w:val="auto"/>
              </w:rPr>
            </w:pPr>
            <w:r>
              <w:rPr>
                <w:rFonts w:ascii="Arial" w:cs="Arial" w:eastAsia="Arial" w:hAnsi="Arial"/>
                <w:sz w:val="16"/>
                <w:szCs w:val="16"/>
                <w:color w:val="auto"/>
              </w:rPr>
              <w:t>33%</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w:t>
            </w:r>
          </w:p>
        </w:tc>
      </w:tr>
      <w:tr>
        <w:trPr>
          <w:trHeight w:val="270"/>
        </w:trPr>
        <w:tc>
          <w:tcPr>
            <w:tcW w:w="484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rPr>
              <w:t>Other</w:t>
            </w:r>
            <w:r>
              <w:rPr>
                <w:rFonts w:ascii="Arial" w:cs="Arial" w:eastAsia="Arial" w:hAnsi="Arial"/>
                <w:sz w:val="21"/>
                <w:szCs w:val="21"/>
                <w:color w:val="auto"/>
                <w:vertAlign w:val="superscript"/>
              </w:rPr>
              <w:t>1</w:t>
            </w:r>
          </w:p>
        </w:tc>
        <w:tc>
          <w:tcPr>
            <w:tcW w:w="338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11%</w:t>
            </w:r>
          </w:p>
        </w:tc>
        <w:tc>
          <w:tcPr>
            <w:tcW w:w="196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color w:val="auto"/>
              </w:rPr>
              <w:t>6%</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r>
      <w:tr>
        <w:trPr>
          <w:trHeight w:val="231"/>
        </w:trPr>
        <w:tc>
          <w:tcPr>
            <w:tcW w:w="48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Total</w:t>
            </w:r>
          </w:p>
        </w:tc>
        <w:tc>
          <w:tcPr>
            <w:tcW w:w="3380" w:type="dxa"/>
            <w:vAlign w:val="bottom"/>
            <w:shd w:val="clear" w:color="auto" w:fill="CCEEFF"/>
          </w:tcPr>
          <w:p>
            <w:pPr>
              <w:jc w:val="right"/>
              <w:ind w:right="659"/>
              <w:spacing w:after="0"/>
              <w:rPr>
                <w:sz w:val="20"/>
                <w:szCs w:val="20"/>
                <w:color w:val="auto"/>
              </w:rPr>
            </w:pPr>
            <w:r>
              <w:rPr>
                <w:rFonts w:ascii="Arial" w:cs="Arial" w:eastAsia="Arial" w:hAnsi="Arial"/>
                <w:sz w:val="16"/>
                <w:szCs w:val="16"/>
                <w:b w:val="1"/>
                <w:bCs w:val="1"/>
                <w:color w:val="auto"/>
              </w:rPr>
              <w:t>100%</w:t>
            </w:r>
          </w:p>
        </w:tc>
        <w:tc>
          <w:tcPr>
            <w:tcW w:w="1960" w:type="dxa"/>
            <w:vAlign w:val="bottom"/>
            <w:shd w:val="clear" w:color="auto" w:fill="CCEEFF"/>
          </w:tcPr>
          <w:p>
            <w:pPr>
              <w:jc w:val="right"/>
              <w:ind w:right="659"/>
              <w:spacing w:after="0"/>
              <w:rPr>
                <w:sz w:val="20"/>
                <w:szCs w:val="20"/>
                <w:color w:val="auto"/>
              </w:rPr>
            </w:pPr>
            <w:r>
              <w:rPr>
                <w:rFonts w:ascii="Arial" w:cs="Arial" w:eastAsia="Arial" w:hAnsi="Arial"/>
                <w:sz w:val="16"/>
                <w:szCs w:val="16"/>
                <w:color w:val="auto"/>
              </w:rPr>
              <w:t>100%</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r>
      <w:tr>
        <w:trPr>
          <w:trHeight w:val="33"/>
        </w:trPr>
        <w:tc>
          <w:tcPr>
            <w:tcW w:w="4840" w:type="dxa"/>
            <w:vAlign w:val="bottom"/>
            <w:shd w:val="clear" w:color="auto" w:fill="CCEEFF"/>
          </w:tcPr>
          <w:p>
            <w:pPr>
              <w:spacing w:after="0"/>
              <w:rPr>
                <w:sz w:val="2"/>
                <w:szCs w:val="2"/>
                <w:color w:val="auto"/>
              </w:rPr>
            </w:pPr>
          </w:p>
        </w:tc>
        <w:tc>
          <w:tcPr>
            <w:tcW w:w="3380" w:type="dxa"/>
            <w:vAlign w:val="bottom"/>
            <w:shd w:val="clear" w:color="auto" w:fill="CCEEFF"/>
          </w:tcPr>
          <w:p>
            <w:pPr>
              <w:spacing w:after="0"/>
              <w:rPr>
                <w:sz w:val="2"/>
                <w:szCs w:val="2"/>
                <w:color w:val="auto"/>
              </w:rPr>
            </w:pPr>
          </w:p>
        </w:tc>
        <w:tc>
          <w:tcPr>
            <w:tcW w:w="196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80" w:hanging="72"/>
        <w:spacing w:after="0"/>
        <w:tabs>
          <w:tab w:leader="none" w:pos="80" w:val="left"/>
        </w:tabs>
        <w:numPr>
          <w:ilvl w:val="0"/>
          <w:numId w:val="28"/>
        </w:numPr>
        <w:rPr>
          <w:rFonts w:ascii="Arial" w:cs="Arial" w:eastAsia="Arial" w:hAnsi="Arial"/>
          <w:sz w:val="9"/>
          <w:szCs w:val="9"/>
          <w:color w:val="auto"/>
        </w:rPr>
      </w:pPr>
      <w:r>
        <w:rPr>
          <w:rFonts w:ascii="Arial" w:cs="Arial" w:eastAsia="Arial" w:hAnsi="Arial"/>
          <w:sz w:val="14"/>
          <w:szCs w:val="14"/>
          <w:color w:val="auto"/>
        </w:rPr>
        <w:t>Other capital expenditures consist of ongoing improvements to our stores in the ordinary course of business and expenditures related to various growth initiatives.</w:t>
      </w:r>
    </w:p>
    <w:p>
      <w:pPr>
        <w:spacing w:after="0" w:line="162"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Net capital expenditures in 2016, as well as over the next five years, are primarily focused in the areas of investment in new stores, including continued expansion into new markets such as Canada and Manhattan, and remodels of existing full-line stores.</w:t>
      </w:r>
    </w:p>
    <w:p>
      <w:pPr>
        <w:spacing w:after="0" w:line="364" w:lineRule="exact"/>
        <w:rPr>
          <w:sz w:val="20"/>
          <w:szCs w:val="20"/>
          <w:color w:val="auto"/>
        </w:rPr>
      </w:pPr>
    </w:p>
    <w:p>
      <w:pPr>
        <w:jc w:val="right"/>
        <w:spacing w:after="0"/>
        <w:rPr>
          <w:sz w:val="20"/>
          <w:szCs w:val="20"/>
          <w:color w:val="auto"/>
        </w:rPr>
      </w:pPr>
      <w:r>
        <w:rPr>
          <w:rFonts w:ascii="Arial" w:cs="Arial" w:eastAsia="Arial" w:hAnsi="Arial"/>
          <w:sz w:val="13"/>
          <w:szCs w:val="13"/>
          <w:color w:val="auto"/>
        </w:rPr>
        <w:t xml:space="preserve">Nordstrom, Inc. and subsidiaries </w:t>
      </w:r>
      <w:r>
        <w:rPr>
          <w:rFonts w:ascii="Arial" w:cs="Arial" w:eastAsia="Arial" w:hAnsi="Arial"/>
          <w:sz w:val="16"/>
          <w:szCs w:val="16"/>
          <w:color w:val="auto"/>
        </w:rPr>
        <w:t>27</w:t>
      </w:r>
    </w:p>
    <w:p>
      <w:pPr>
        <w:sectPr>
          <w:pgSz w:w="11900" w:h="16838" w:orient="portrait"/>
          <w:cols w:equalWidth="0" w:num="1">
            <w:col w:w="11420"/>
          </w:cols>
          <w:pgMar w:left="240" w:top="126" w:right="239" w:bottom="1440" w:gutter="0" w:footer="0" w:header="0"/>
        </w:sectPr>
      </w:pPr>
    </w:p>
    <w:bookmarkStart w:id="27" w:name="page28"/>
    <w:bookmarkEnd w:id="27"/>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store count and square footage activity:</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520" w:type="dxa"/>
            <w:vAlign w:val="bottom"/>
          </w:tcPr>
          <w:p>
            <w:pPr>
              <w:jc w:val="right"/>
              <w:ind w:right="459"/>
              <w:spacing w:after="0"/>
              <w:rPr>
                <w:sz w:val="20"/>
                <w:szCs w:val="20"/>
                <w:color w:val="auto"/>
              </w:rPr>
            </w:pPr>
            <w:r>
              <w:rPr>
                <w:rFonts w:ascii="Arial" w:cs="Arial" w:eastAsia="Arial" w:hAnsi="Arial"/>
                <w:sz w:val="16"/>
                <w:szCs w:val="16"/>
                <w:b w:val="1"/>
                <w:bCs w:val="1"/>
                <w:color w:val="auto"/>
              </w:rPr>
              <w:t>Store count</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560" w:type="dxa"/>
            <w:vAlign w:val="bottom"/>
          </w:tcPr>
          <w:p>
            <w:pPr>
              <w:jc w:val="right"/>
              <w:ind w:right="339"/>
              <w:spacing w:after="0"/>
              <w:rPr>
                <w:sz w:val="20"/>
                <w:szCs w:val="20"/>
                <w:color w:val="auto"/>
              </w:rPr>
            </w:pPr>
            <w:r>
              <w:rPr>
                <w:rFonts w:ascii="Arial" w:cs="Arial" w:eastAsia="Arial" w:hAnsi="Arial"/>
                <w:sz w:val="16"/>
                <w:szCs w:val="16"/>
                <w:b w:val="1"/>
                <w:bCs w:val="1"/>
                <w:color w:val="auto"/>
                <w:w w:val="96"/>
              </w:rPr>
              <w:t>Square footage</w:t>
            </w:r>
          </w:p>
        </w:tc>
        <w:tc>
          <w:tcPr>
            <w:tcW w:w="840" w:type="dxa"/>
            <w:vAlign w:val="bottom"/>
          </w:tcPr>
          <w:p>
            <w:pPr>
              <w:spacing w:after="0"/>
              <w:rPr>
                <w:sz w:val="18"/>
                <w:szCs w:val="18"/>
                <w:color w:val="auto"/>
              </w:rPr>
            </w:pPr>
          </w:p>
        </w:tc>
      </w:tr>
      <w:tr>
        <w:trPr>
          <w:trHeight w:val="33"/>
        </w:trPr>
        <w:tc>
          <w:tcPr>
            <w:tcW w:w="4000" w:type="dxa"/>
            <w:vAlign w:val="bottom"/>
            <w:gridSpan w:val="2"/>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1"/>
        </w:trPr>
        <w:tc>
          <w:tcPr>
            <w:tcW w:w="4000" w:type="dxa"/>
            <w:vAlign w:val="bottom"/>
            <w:gridSpan w:val="2"/>
          </w:tcPr>
          <w:p>
            <w:pPr>
              <w:ind w:left="40"/>
              <w:spacing w:after="0"/>
              <w:rPr>
                <w:sz w:val="20"/>
                <w:szCs w:val="20"/>
                <w:color w:val="auto"/>
              </w:rPr>
            </w:pPr>
            <w:r>
              <w:rPr>
                <w:rFonts w:ascii="Arial" w:cs="Arial" w:eastAsia="Arial" w:hAnsi="Arial"/>
                <w:sz w:val="16"/>
                <w:szCs w:val="16"/>
                <w:b w:val="1"/>
                <w:bCs w:val="1"/>
                <w:color w:val="auto"/>
              </w:rPr>
              <w:t>Fiscal year</w:t>
            </w:r>
          </w:p>
        </w:tc>
        <w:tc>
          <w:tcPr>
            <w:tcW w:w="1260" w:type="dxa"/>
            <w:vAlign w:val="bottom"/>
          </w:tcPr>
          <w:p>
            <w:pPr>
              <w:jc w:val="right"/>
              <w:ind w:right="159"/>
              <w:spacing w:after="0"/>
              <w:rPr>
                <w:sz w:val="20"/>
                <w:szCs w:val="20"/>
                <w:color w:val="auto"/>
              </w:rPr>
            </w:pPr>
            <w:r>
              <w:rPr>
                <w:rFonts w:ascii="Arial" w:cs="Arial" w:eastAsia="Arial" w:hAnsi="Arial"/>
                <w:sz w:val="16"/>
                <w:szCs w:val="16"/>
                <w:b w:val="1"/>
                <w:bCs w:val="1"/>
                <w:color w:val="auto"/>
              </w:rPr>
              <w:t>2016</w:t>
            </w:r>
          </w:p>
        </w:tc>
        <w:tc>
          <w:tcPr>
            <w:tcW w:w="1520" w:type="dxa"/>
            <w:vAlign w:val="bottom"/>
          </w:tcPr>
          <w:p>
            <w:pPr>
              <w:jc w:val="right"/>
              <w:ind w:right="419"/>
              <w:spacing w:after="0"/>
              <w:rPr>
                <w:sz w:val="20"/>
                <w:szCs w:val="20"/>
                <w:color w:val="auto"/>
              </w:rPr>
            </w:pPr>
            <w:r>
              <w:rPr>
                <w:rFonts w:ascii="Arial" w:cs="Arial" w:eastAsia="Arial" w:hAnsi="Arial"/>
                <w:sz w:val="16"/>
                <w:szCs w:val="16"/>
                <w:b w:val="1"/>
                <w:bCs w:val="1"/>
                <w:color w:val="auto"/>
              </w:rPr>
              <w:t>2015</w:t>
            </w: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20"/>
                <w:szCs w:val="20"/>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b w:val="1"/>
                <w:bCs w:val="1"/>
                <w:color w:val="auto"/>
              </w:rPr>
              <w:t>2016</w:t>
            </w:r>
          </w:p>
        </w:tc>
        <w:tc>
          <w:tcPr>
            <w:tcW w:w="1560" w:type="dxa"/>
            <w:vAlign w:val="bottom"/>
          </w:tcPr>
          <w:p>
            <w:pPr>
              <w:jc w:val="right"/>
              <w:ind w:right="419"/>
              <w:spacing w:after="0"/>
              <w:rPr>
                <w:sz w:val="20"/>
                <w:szCs w:val="20"/>
                <w:color w:val="auto"/>
              </w:rPr>
            </w:pPr>
            <w:r>
              <w:rPr>
                <w:rFonts w:ascii="Arial" w:cs="Arial" w:eastAsia="Arial" w:hAnsi="Arial"/>
                <w:sz w:val="16"/>
                <w:szCs w:val="16"/>
                <w:b w:val="1"/>
                <w:bCs w:val="1"/>
                <w:color w:val="auto"/>
              </w:rPr>
              <w:t>2015</w:t>
            </w:r>
          </w:p>
        </w:tc>
        <w:tc>
          <w:tcPr>
            <w:tcW w:w="840" w:type="dxa"/>
            <w:vAlign w:val="bottom"/>
          </w:tcPr>
          <w:p>
            <w:pPr>
              <w:jc w:val="right"/>
              <w:ind w:right="19"/>
              <w:spacing w:after="0"/>
              <w:rPr>
                <w:sz w:val="20"/>
                <w:szCs w:val="20"/>
                <w:color w:val="auto"/>
              </w:rPr>
            </w:pPr>
            <w:r>
              <w:rPr>
                <w:rFonts w:ascii="Arial" w:cs="Arial" w:eastAsia="Arial" w:hAnsi="Arial"/>
                <w:sz w:val="16"/>
                <w:szCs w:val="16"/>
                <w:b w:val="1"/>
                <w:bCs w:val="1"/>
                <w:color w:val="auto"/>
              </w:rPr>
              <w:t>2014</w:t>
            </w:r>
          </w:p>
        </w:tc>
      </w:tr>
      <w:tr>
        <w:trPr>
          <w:trHeight w:val="33"/>
        </w:trPr>
        <w:tc>
          <w:tcPr>
            <w:tcW w:w="3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 beginning of year</w:t>
            </w:r>
          </w:p>
        </w:tc>
        <w:tc>
          <w:tcPr>
            <w:tcW w:w="12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323</w:t>
            </w:r>
          </w:p>
        </w:tc>
        <w:tc>
          <w:tcPr>
            <w:tcW w:w="152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color w:val="auto"/>
              </w:rPr>
              <w:t>292</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260</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28.6</w:t>
            </w:r>
          </w:p>
        </w:tc>
        <w:tc>
          <w:tcPr>
            <w:tcW w:w="156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color w:val="auto"/>
              </w:rPr>
              <w:t>27.1</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26.0</w:t>
            </w:r>
          </w:p>
        </w:tc>
      </w:tr>
      <w:tr>
        <w:trPr>
          <w:trHeight w:val="270"/>
        </w:trPr>
        <w:tc>
          <w:tcPr>
            <w:tcW w:w="4000" w:type="dxa"/>
            <w:vAlign w:val="bottom"/>
            <w:gridSpan w:val="2"/>
          </w:tcPr>
          <w:p>
            <w:pPr>
              <w:ind w:left="40"/>
              <w:spacing w:after="0"/>
              <w:rPr>
                <w:sz w:val="20"/>
                <w:szCs w:val="20"/>
                <w:color w:val="auto"/>
              </w:rPr>
            </w:pPr>
            <w:r>
              <w:rPr>
                <w:rFonts w:ascii="Arial" w:cs="Arial" w:eastAsia="Arial" w:hAnsi="Arial"/>
                <w:sz w:val="16"/>
                <w:szCs w:val="16"/>
                <w:color w:val="auto"/>
              </w:rPr>
              <w:t>Store openings</w:t>
            </w:r>
            <w:r>
              <w:rPr>
                <w:rFonts w:ascii="Arial" w:cs="Arial" w:eastAsia="Arial" w:hAnsi="Arial"/>
                <w:sz w:val="21"/>
                <w:szCs w:val="21"/>
                <w:color w:val="auto"/>
                <w:vertAlign w:val="superscript"/>
              </w:rPr>
              <w:t>1</w:t>
            </w:r>
            <w:r>
              <w:rPr>
                <w:rFonts w:ascii="Arial" w:cs="Arial" w:eastAsia="Arial" w:hAnsi="Arial"/>
                <w:sz w:val="16"/>
                <w:szCs w:val="16"/>
                <w:color w:val="auto"/>
              </w:rPr>
              <w:t>:</w:t>
            </w:r>
          </w:p>
        </w:tc>
        <w:tc>
          <w:tcPr>
            <w:tcW w:w="126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840" w:type="dxa"/>
            <w:vAlign w:val="bottom"/>
          </w:tcPr>
          <w:p>
            <w:pPr>
              <w:spacing w:after="0"/>
              <w:rPr>
                <w:sz w:val="23"/>
                <w:szCs w:val="23"/>
                <w:color w:val="auto"/>
              </w:rPr>
            </w:pPr>
          </w:p>
        </w:tc>
      </w:tr>
      <w:tr>
        <w:trPr>
          <w:trHeight w:val="250"/>
        </w:trPr>
        <w:tc>
          <w:tcPr>
            <w:tcW w:w="40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Nordstrom full-line stores - U.S. and Canada</w:t>
            </w:r>
          </w:p>
        </w:tc>
        <w:tc>
          <w:tcPr>
            <w:tcW w:w="12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3</w:t>
            </w:r>
          </w:p>
        </w:tc>
        <w:tc>
          <w:tcPr>
            <w:tcW w:w="152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color w:val="auto"/>
              </w:rPr>
              <w:t>5</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0.6</w:t>
            </w:r>
          </w:p>
        </w:tc>
        <w:tc>
          <w:tcPr>
            <w:tcW w:w="156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color w:val="auto"/>
              </w:rPr>
              <w:t>0.8</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0.4</w:t>
            </w:r>
          </w:p>
        </w:tc>
      </w:tr>
      <w:tr>
        <w:trPr>
          <w:trHeight w:val="270"/>
        </w:trPr>
        <w:tc>
          <w:tcPr>
            <w:tcW w:w="4000" w:type="dxa"/>
            <w:vAlign w:val="bottom"/>
            <w:gridSpan w:val="2"/>
          </w:tcPr>
          <w:p>
            <w:pPr>
              <w:ind w:left="280"/>
              <w:spacing w:after="0"/>
              <w:rPr>
                <w:sz w:val="20"/>
                <w:szCs w:val="20"/>
                <w:color w:val="auto"/>
              </w:rPr>
            </w:pPr>
            <w:r>
              <w:rPr>
                <w:rFonts w:ascii="Arial" w:cs="Arial" w:eastAsia="Arial" w:hAnsi="Arial"/>
                <w:sz w:val="16"/>
                <w:szCs w:val="16"/>
                <w:color w:val="auto"/>
              </w:rPr>
              <w:t>Nordstrom Rack and other stores</w:t>
            </w:r>
            <w:r>
              <w:rPr>
                <w:rFonts w:ascii="Arial" w:cs="Arial" w:eastAsia="Arial" w:hAnsi="Arial"/>
                <w:sz w:val="21"/>
                <w:szCs w:val="21"/>
                <w:color w:val="auto"/>
                <w:vertAlign w:val="superscript"/>
              </w:rPr>
              <w:t>2</w:t>
            </w:r>
          </w:p>
        </w:tc>
        <w:tc>
          <w:tcPr>
            <w:tcW w:w="1260" w:type="dxa"/>
            <w:vAlign w:val="bottom"/>
          </w:tcPr>
          <w:p>
            <w:pPr>
              <w:jc w:val="right"/>
              <w:ind w:right="159"/>
              <w:spacing w:after="0"/>
              <w:rPr>
                <w:sz w:val="20"/>
                <w:szCs w:val="20"/>
                <w:color w:val="auto"/>
              </w:rPr>
            </w:pPr>
            <w:r>
              <w:rPr>
                <w:rFonts w:ascii="Arial" w:cs="Arial" w:eastAsia="Arial" w:hAnsi="Arial"/>
                <w:sz w:val="16"/>
                <w:szCs w:val="16"/>
                <w:b w:val="1"/>
                <w:bCs w:val="1"/>
                <w:color w:val="auto"/>
              </w:rPr>
              <w:t>24</w:t>
            </w:r>
          </w:p>
        </w:tc>
        <w:tc>
          <w:tcPr>
            <w:tcW w:w="1520" w:type="dxa"/>
            <w:vAlign w:val="bottom"/>
          </w:tcPr>
          <w:p>
            <w:pPr>
              <w:jc w:val="right"/>
              <w:ind w:right="419"/>
              <w:spacing w:after="0"/>
              <w:rPr>
                <w:sz w:val="20"/>
                <w:szCs w:val="20"/>
                <w:color w:val="auto"/>
              </w:rPr>
            </w:pPr>
            <w:r>
              <w:rPr>
                <w:rFonts w:ascii="Arial" w:cs="Arial" w:eastAsia="Arial" w:hAnsi="Arial"/>
                <w:sz w:val="16"/>
                <w:szCs w:val="16"/>
                <w:color w:val="auto"/>
              </w:rPr>
              <w:t>27</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23"/>
                <w:szCs w:val="23"/>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b w:val="1"/>
                <w:bCs w:val="1"/>
                <w:color w:val="auto"/>
              </w:rPr>
              <w:t>0.8</w:t>
            </w:r>
          </w:p>
        </w:tc>
        <w:tc>
          <w:tcPr>
            <w:tcW w:w="1560" w:type="dxa"/>
            <w:vAlign w:val="bottom"/>
          </w:tcPr>
          <w:p>
            <w:pPr>
              <w:jc w:val="right"/>
              <w:ind w:right="419"/>
              <w:spacing w:after="0"/>
              <w:rPr>
                <w:sz w:val="20"/>
                <w:szCs w:val="20"/>
                <w:color w:val="auto"/>
              </w:rPr>
            </w:pPr>
            <w:r>
              <w:rPr>
                <w:rFonts w:ascii="Arial" w:cs="Arial" w:eastAsia="Arial" w:hAnsi="Arial"/>
                <w:sz w:val="16"/>
                <w:szCs w:val="16"/>
                <w:color w:val="auto"/>
              </w:rPr>
              <w:t>0.9</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1.1</w:t>
            </w:r>
          </w:p>
        </w:tc>
      </w:tr>
      <w:tr>
        <w:trPr>
          <w:trHeight w:val="250"/>
        </w:trPr>
        <w:tc>
          <w:tcPr>
            <w:tcW w:w="4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Stores acquired</w:t>
            </w:r>
          </w:p>
        </w:tc>
        <w:tc>
          <w:tcPr>
            <w:tcW w:w="12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w:t>
            </w:r>
          </w:p>
        </w:tc>
        <w:tc>
          <w:tcPr>
            <w:tcW w:w="152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w:t>
            </w:r>
          </w:p>
        </w:tc>
        <w:tc>
          <w:tcPr>
            <w:tcW w:w="156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4000" w:type="dxa"/>
            <w:vAlign w:val="bottom"/>
            <w:gridSpan w:val="2"/>
          </w:tcPr>
          <w:p>
            <w:pPr>
              <w:ind w:left="40"/>
              <w:spacing w:after="0"/>
              <w:rPr>
                <w:sz w:val="20"/>
                <w:szCs w:val="20"/>
                <w:color w:val="auto"/>
              </w:rPr>
            </w:pPr>
            <w:r>
              <w:rPr>
                <w:rFonts w:ascii="Arial" w:cs="Arial" w:eastAsia="Arial" w:hAnsi="Arial"/>
                <w:sz w:val="16"/>
                <w:szCs w:val="16"/>
                <w:color w:val="auto"/>
              </w:rPr>
              <w:t>Stores closed</w:t>
            </w:r>
          </w:p>
        </w:tc>
        <w:tc>
          <w:tcPr>
            <w:tcW w:w="1260" w:type="dxa"/>
            <w:vAlign w:val="bottom"/>
          </w:tcPr>
          <w:p>
            <w:pPr>
              <w:jc w:val="right"/>
              <w:ind w:right="99"/>
              <w:spacing w:after="0"/>
              <w:rPr>
                <w:sz w:val="20"/>
                <w:szCs w:val="20"/>
                <w:color w:val="auto"/>
              </w:rPr>
            </w:pPr>
            <w:r>
              <w:rPr>
                <w:rFonts w:ascii="Arial" w:cs="Arial" w:eastAsia="Arial" w:hAnsi="Arial"/>
                <w:sz w:val="16"/>
                <w:szCs w:val="16"/>
                <w:b w:val="1"/>
                <w:bCs w:val="1"/>
                <w:color w:val="auto"/>
              </w:rPr>
              <w:t>(1)</w:t>
            </w:r>
          </w:p>
        </w:tc>
        <w:tc>
          <w:tcPr>
            <w:tcW w:w="1520" w:type="dxa"/>
            <w:vAlign w:val="bottom"/>
          </w:tcPr>
          <w:p>
            <w:pPr>
              <w:jc w:val="right"/>
              <w:ind w:right="359"/>
              <w:spacing w:after="0"/>
              <w:rPr>
                <w:sz w:val="20"/>
                <w:szCs w:val="20"/>
                <w:color w:val="auto"/>
              </w:rPr>
            </w:pPr>
            <w:r>
              <w:rPr>
                <w:rFonts w:ascii="Arial" w:cs="Arial" w:eastAsia="Arial" w:hAnsi="Arial"/>
                <w:sz w:val="16"/>
                <w:szCs w:val="16"/>
                <w:color w:val="auto"/>
              </w:rPr>
              <w:t>(1)</w:t>
            </w:r>
          </w:p>
        </w:tc>
        <w:tc>
          <w:tcPr>
            <w:tcW w:w="90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b w:val="1"/>
                <w:bCs w:val="1"/>
                <w:color w:val="auto"/>
              </w:rPr>
              <w:t>(0.2)</w:t>
            </w:r>
          </w:p>
        </w:tc>
        <w:tc>
          <w:tcPr>
            <w:tcW w:w="1560" w:type="dxa"/>
            <w:vAlign w:val="bottom"/>
          </w:tcPr>
          <w:p>
            <w:pPr>
              <w:jc w:val="right"/>
              <w:ind w:right="359"/>
              <w:spacing w:after="0"/>
              <w:rPr>
                <w:sz w:val="20"/>
                <w:szCs w:val="20"/>
                <w:color w:val="auto"/>
              </w:rPr>
            </w:pPr>
            <w:r>
              <w:rPr>
                <w:rFonts w:ascii="Arial" w:cs="Arial" w:eastAsia="Arial" w:hAnsi="Arial"/>
                <w:sz w:val="16"/>
                <w:szCs w:val="16"/>
                <w:color w:val="auto"/>
              </w:rPr>
              <w:t>(0.2)</w:t>
            </w:r>
          </w:p>
        </w:tc>
        <w:tc>
          <w:tcPr>
            <w:tcW w:w="840" w:type="dxa"/>
            <w:vAlign w:val="bottom"/>
          </w:tcPr>
          <w:p>
            <w:pPr>
              <w:jc w:val="right"/>
              <w:spacing w:after="0"/>
              <w:rPr>
                <w:sz w:val="20"/>
                <w:szCs w:val="20"/>
                <w:color w:val="auto"/>
              </w:rPr>
            </w:pPr>
            <w:r>
              <w:rPr>
                <w:rFonts w:ascii="Arial" w:cs="Arial" w:eastAsia="Arial" w:hAnsi="Arial"/>
                <w:sz w:val="16"/>
                <w:szCs w:val="16"/>
                <w:color w:val="auto"/>
              </w:rPr>
              <w:t>(0.4)</w:t>
            </w:r>
          </w:p>
        </w:tc>
      </w:tr>
      <w:tr>
        <w:trPr>
          <w:trHeight w:val="33"/>
        </w:trPr>
        <w:tc>
          <w:tcPr>
            <w:tcW w:w="3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1"/>
        </w:trPr>
        <w:tc>
          <w:tcPr>
            <w:tcW w:w="4000" w:type="dxa"/>
            <w:vAlign w:val="bottom"/>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Total, end of year</w:t>
            </w:r>
          </w:p>
        </w:tc>
        <w:tc>
          <w:tcPr>
            <w:tcW w:w="1260" w:type="dxa"/>
            <w:vAlign w:val="bottom"/>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349</w:t>
            </w:r>
          </w:p>
        </w:tc>
        <w:tc>
          <w:tcPr>
            <w:tcW w:w="152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323</w:t>
            </w: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292</w:t>
            </w:r>
          </w:p>
        </w:tc>
        <w:tc>
          <w:tcPr>
            <w:tcW w:w="10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29.8</w:t>
            </w:r>
          </w:p>
        </w:tc>
        <w:tc>
          <w:tcPr>
            <w:tcW w:w="156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28.6</w:t>
            </w:r>
          </w:p>
        </w:tc>
        <w:tc>
          <w:tcPr>
            <w:tcW w:w="8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27.1</w:t>
            </w:r>
          </w:p>
        </w:tc>
      </w:tr>
      <w:tr>
        <w:trPr>
          <w:trHeight w:val="33"/>
        </w:trPr>
        <w:tc>
          <w:tcPr>
            <w:tcW w:w="3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1233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ind w:left="80" w:hanging="72"/>
        <w:spacing w:after="0"/>
        <w:tabs>
          <w:tab w:leader="none" w:pos="80" w:val="left"/>
        </w:tabs>
        <w:numPr>
          <w:ilvl w:val="0"/>
          <w:numId w:val="29"/>
        </w:numPr>
        <w:rPr>
          <w:rFonts w:ascii="Arial" w:cs="Arial" w:eastAsia="Arial" w:hAnsi="Arial"/>
          <w:sz w:val="9"/>
          <w:szCs w:val="9"/>
          <w:color w:val="auto"/>
        </w:rPr>
      </w:pPr>
      <w:r>
        <w:rPr>
          <w:rFonts w:ascii="Arial" w:cs="Arial" w:eastAsia="Arial" w:hAnsi="Arial"/>
          <w:sz w:val="14"/>
          <w:szCs w:val="14"/>
          <w:color w:val="auto"/>
        </w:rPr>
        <w:t>Square footage includes adjustments due to store relocations and remodels.</w:t>
      </w:r>
    </w:p>
    <w:p>
      <w:pPr>
        <w:spacing w:after="0" w:line="8" w:lineRule="exact"/>
        <w:rPr>
          <w:sz w:val="20"/>
          <w:szCs w:val="20"/>
          <w:color w:val="auto"/>
        </w:rPr>
      </w:pPr>
    </w:p>
    <w:p>
      <w:pPr>
        <w:ind w:left="80" w:hanging="72"/>
        <w:spacing w:after="0"/>
        <w:tabs>
          <w:tab w:leader="none" w:pos="80" w:val="left"/>
        </w:tabs>
        <w:numPr>
          <w:ilvl w:val="0"/>
          <w:numId w:val="30"/>
        </w:numPr>
        <w:rPr>
          <w:rFonts w:ascii="Arial" w:cs="Arial" w:eastAsia="Arial" w:hAnsi="Arial"/>
          <w:sz w:val="9"/>
          <w:szCs w:val="9"/>
          <w:color w:val="auto"/>
        </w:rPr>
      </w:pPr>
      <w:r>
        <w:rPr>
          <w:rFonts w:ascii="Arial" w:cs="Arial" w:eastAsia="Arial" w:hAnsi="Arial"/>
          <w:sz w:val="14"/>
          <w:szCs w:val="14"/>
          <w:color w:val="auto"/>
        </w:rPr>
        <w:t>Other includes Trunk Club clubhouses, Jeffrey boutiques and Last Chance stores.</w:t>
      </w:r>
    </w:p>
    <w:p>
      <w:pPr>
        <w:spacing w:after="0" w:line="156"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We had three store relocations in 2016, compared with one relocation in 2015 and no relocations in 2014. To date in 2017, we have opened one Nordstrom Rack store and plan to open 15 additional Nordstrom Rack stores and one Nordstrom full-line store in Canada during the remainder of the year. Planned net store openings are expected to increase our retail square footage by approximately 2%.</w:t>
      </w:r>
    </w:p>
    <w:p>
      <w:pPr>
        <w:spacing w:after="0" w:line="127"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Our capital expenditures, net of property incentives, over the next five years is expected to be approximately $3,400, compared with $3,600 over the previous five years. Early in 2016, we completed a review of our five-year capital plan which resulted in reduced spend primarily related to new stores and remodels. Although we plan our spending in 2017 to be relatively flat compared with 2016, we expect reduction in the following years.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Activities</w:t>
      </w:r>
    </w:p>
    <w:p>
      <w:pPr>
        <w:spacing w:after="0" w:line="27"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color w:val="auto"/>
        </w:rPr>
        <w:t>Net cash used in financing activities was $445 in 2016 compared with $2,539 in 2015 and $698 in 2014. Our financing activities include our borrowing activity, payment of dividends and repurchases of common stock.</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Borrowing Activity</w:t>
      </w:r>
    </w:p>
    <w:p>
      <w:pPr>
        <w:spacing w:after="0" w:line="23"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In 2015, as a condition of closing the credit card receivable transaction, we defeased $325 in secured Series 2011-1 Class A Notes in order to provide the receivables to TD free and clear.</w:t>
      </w:r>
    </w:p>
    <w:p>
      <w:pPr>
        <w:spacing w:after="0" w:line="130"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On March 9, 2017, we issued $350 aggregate principal amount of 4.00% senior unsecured notes due March 2027 and $300 aggregate principal amount of 5.00% senior unsecured notes due January 2044 (the “2044 Notes”). The 2044 Notes will be a further issuance of, and will be fully fungible, rank equally in right of payment and form a single series with, our outstanding 5.00% senior unsecured notes due 2044. With the proceeds of these new notes, we plan to retire our $650 senior unsecured notes that are due January 2018 (see Note 7: Debt and Credit Facilities in Item 8).</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Dividends</w:t>
      </w:r>
    </w:p>
    <w:p>
      <w:pPr>
        <w:spacing w:after="0" w:line="23"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In 2016, we paid dividends of $256, or $1.48 per share, compared with $1,185, or $6.33 per share, in 2015 and $251, or $1.32 per share, in 2014. Dividends paid in 2015 included a special cash dividend of $905, or $4.85 per share, in addition to our quarterly dividends totaling $1.48 per share. The special dividend was authorized by our Board of Directors on October 1, 2015 and was paid using proceeds from the sale of our credit card receivables. In determining the amount of dividends to pay, we analyze our dividend payout ratio and dividend yield, while taking into consideration our current and projected operating performance and liquidity. Our dividend payout ratio target range is 30% to 35% and is calculated as our dividend payments divided by net earnings.</w:t>
      </w:r>
    </w:p>
    <w:p>
      <w:pPr>
        <w:spacing w:after="0" w:line="109" w:lineRule="exact"/>
        <w:rPr>
          <w:sz w:val="20"/>
          <w:szCs w:val="20"/>
          <w:color w:val="auto"/>
        </w:rPr>
      </w:pPr>
    </w:p>
    <w:p>
      <w:pPr>
        <w:ind w:right="1920"/>
        <w:spacing w:after="0" w:line="352" w:lineRule="auto"/>
        <w:rPr>
          <w:sz w:val="20"/>
          <w:szCs w:val="20"/>
          <w:color w:val="auto"/>
        </w:rPr>
      </w:pPr>
      <w:r>
        <w:rPr>
          <w:rFonts w:ascii="Arial" w:cs="Arial" w:eastAsia="Arial" w:hAnsi="Arial"/>
          <w:sz w:val="18"/>
          <w:szCs w:val="18"/>
          <w:color w:val="auto"/>
        </w:rPr>
        <w:t>In February 2017, subsequent to year end, we declared a quarterly dividend of $0.37 per share, which was paid on March 15, 2017. Share Repurchases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On October 1, 2015, our Board of Directors authorized a program to repurchase up to $1,000 of our outstanding common stock, through March 1, 2017.</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During 2016, we repurchased 5.9 shares of our common stock for an aggregate purchase price of $282.</w:t>
      </w:r>
    </w:p>
    <w:p>
      <w:pPr>
        <w:spacing w:after="0" w:line="15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Our October 1, 2015 Board authorized share repurchase program, which had $529 of remaining capacity as of January 28, 2017, expired on March 1, 2017. There was $409 of unused capacity upon program expiration. In February 2017, our Board of Directors authorized an additional program to repurchase up to $500 of our outstanding common stock, through August 31, 2018. The actual number, price, manner and timing of future share repurchases, if any, will be subject to market and economic conditions and applicable SEC rules.</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380"/>
          </w:cols>
          <w:pgMar w:left="240" w:top="126" w:right="279" w:bottom="1440" w:gutter="0" w:footer="0" w:header="0"/>
        </w:sectPr>
      </w:pPr>
    </w:p>
    <w:bookmarkStart w:id="28" w:name="page29"/>
    <w:bookmarkEnd w:id="28"/>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Free Cash Flow (Non-GAAP financial measure)</w:t>
      </w:r>
    </w:p>
    <w:p>
      <w:pPr>
        <w:spacing w:after="0" w:line="27" w:lineRule="exact"/>
        <w:rPr>
          <w:sz w:val="20"/>
          <w:szCs w:val="20"/>
          <w:color w:val="auto"/>
        </w:rPr>
      </w:pPr>
    </w:p>
    <w:p>
      <w:pPr>
        <w:jc w:val="both"/>
        <w:ind w:right="220"/>
        <w:spacing w:after="0" w:line="277" w:lineRule="auto"/>
        <w:rPr>
          <w:sz w:val="20"/>
          <w:szCs w:val="20"/>
          <w:color w:val="auto"/>
        </w:rPr>
      </w:pPr>
      <w:r>
        <w:rPr>
          <w:rFonts w:ascii="Arial" w:cs="Arial" w:eastAsia="Arial" w:hAnsi="Arial"/>
          <w:sz w:val="17"/>
          <w:szCs w:val="17"/>
          <w:color w:val="auto"/>
        </w:rPr>
        <w:t>Free Cash Flow is one of our key liquidity measures, and when used in conjunction with GAAP measures, provides investors with a meaningful analysis of our ability to generate cash from our business. For the year ended January 28, 2017, Free Cash Flow decreased to $550 compared with $1,131 for the year ended January 30, 2016, primarily due to proceeds received in 2015 related to the sale of credit card receivables.</w:t>
      </w:r>
    </w:p>
    <w:p>
      <w:pPr>
        <w:spacing w:after="0" w:line="119"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Free Cash Flow is not a measure of financial performance under GAAP and should be considered in addition to, and not as a substitute for, operating cash flows or other financial measures prepared in accordance with GAAP. Our method of determining non-GAAP financial measures may differ from other companies’ methods and therefore may not be comparable to those used by other companies. The financial measure calculated under GAAP which is most directly comparable to Free Cash Flow is net cash provided by operating activities. The following is a reconciliation of net cash provided by operating activities to Free Cash Flow:</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980" w:type="dxa"/>
            <w:vAlign w:val="bottom"/>
          </w:tcPr>
          <w:p>
            <w:pPr>
              <w:ind w:left="40"/>
              <w:spacing w:after="0"/>
              <w:rPr>
                <w:sz w:val="20"/>
                <w:szCs w:val="20"/>
                <w:color w:val="auto"/>
              </w:rPr>
            </w:pPr>
            <w:r>
              <w:rPr>
                <w:rFonts w:ascii="Arial" w:cs="Arial" w:eastAsia="Arial" w:hAnsi="Arial"/>
                <w:sz w:val="16"/>
                <w:szCs w:val="16"/>
                <w:b w:val="1"/>
                <w:bCs w:val="1"/>
                <w:color w:val="auto"/>
              </w:rPr>
              <w:t>Fiscal year</w:t>
            </w:r>
          </w:p>
        </w:tc>
        <w:tc>
          <w:tcPr>
            <w:tcW w:w="2240" w:type="dxa"/>
            <w:vAlign w:val="bottom"/>
          </w:tcPr>
          <w:p>
            <w:pPr>
              <w:jc w:val="right"/>
              <w:ind w:right="699"/>
              <w:spacing w:after="0"/>
              <w:rPr>
                <w:sz w:val="20"/>
                <w:szCs w:val="20"/>
                <w:color w:val="auto"/>
              </w:rPr>
            </w:pPr>
            <w:r>
              <w:rPr>
                <w:rFonts w:ascii="Arial" w:cs="Arial" w:eastAsia="Arial" w:hAnsi="Arial"/>
                <w:sz w:val="16"/>
                <w:szCs w:val="16"/>
                <w:b w:val="1"/>
                <w:bCs w:val="1"/>
                <w:color w:val="auto"/>
              </w:rPr>
              <w:t>2016</w:t>
            </w:r>
          </w:p>
        </w:tc>
        <w:tc>
          <w:tcPr>
            <w:tcW w:w="1940" w:type="dxa"/>
            <w:vAlign w:val="bottom"/>
          </w:tcPr>
          <w:p>
            <w:pPr>
              <w:jc w:val="right"/>
              <w:ind w:right="679"/>
              <w:spacing w:after="0"/>
              <w:rPr>
                <w:sz w:val="20"/>
                <w:szCs w:val="20"/>
                <w:color w:val="auto"/>
              </w:rPr>
            </w:pPr>
            <w:r>
              <w:rPr>
                <w:rFonts w:ascii="Arial" w:cs="Arial" w:eastAsia="Arial" w:hAnsi="Arial"/>
                <w:sz w:val="16"/>
                <w:szCs w:val="16"/>
                <w:b w:val="1"/>
                <w:bCs w:val="1"/>
                <w:color w:val="auto"/>
              </w:rPr>
              <w:t>2015</w:t>
            </w:r>
          </w:p>
        </w:tc>
        <w:tc>
          <w:tcPr>
            <w:tcW w:w="1260" w:type="dxa"/>
            <w:vAlign w:val="bottom"/>
          </w:tcPr>
          <w:p>
            <w:pPr>
              <w:jc w:val="right"/>
              <w:ind w:right="19"/>
              <w:spacing w:after="0"/>
              <w:rPr>
                <w:sz w:val="20"/>
                <w:szCs w:val="20"/>
                <w:color w:val="auto"/>
              </w:rPr>
            </w:pPr>
            <w:r>
              <w:rPr>
                <w:rFonts w:ascii="Arial" w:cs="Arial" w:eastAsia="Arial" w:hAnsi="Arial"/>
                <w:sz w:val="16"/>
                <w:szCs w:val="16"/>
                <w:b w:val="1"/>
                <w:bCs w:val="1"/>
                <w:color w:val="auto"/>
              </w:rPr>
              <w:t>2014</w:t>
            </w:r>
          </w:p>
        </w:tc>
      </w:tr>
      <w:tr>
        <w:trPr>
          <w:trHeight w:val="33"/>
        </w:trPr>
        <w:tc>
          <w:tcPr>
            <w:tcW w:w="598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5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cash provided by operating activities</w:t>
            </w:r>
          </w:p>
        </w:tc>
        <w:tc>
          <w:tcPr>
            <w:tcW w:w="224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6"/>
                <w:szCs w:val="16"/>
                <w:b w:val="1"/>
                <w:bCs w:val="1"/>
                <w:color w:val="auto"/>
              </w:rPr>
              <w:t>$1,648</w:t>
            </w:r>
          </w:p>
        </w:tc>
        <w:tc>
          <w:tcPr>
            <w:tcW w:w="1940" w:type="dxa"/>
            <w:vAlign w:val="bottom"/>
            <w:tcBorders>
              <w:bottom w:val="single" w:sz="8" w:color="CCEEFF"/>
            </w:tcBorders>
            <w:shd w:val="clear" w:color="auto" w:fill="CCEEFF"/>
          </w:tcPr>
          <w:p>
            <w:pPr>
              <w:jc w:val="right"/>
              <w:ind w:right="679"/>
              <w:spacing w:after="0"/>
              <w:rPr>
                <w:sz w:val="20"/>
                <w:szCs w:val="20"/>
                <w:color w:val="auto"/>
              </w:rPr>
            </w:pPr>
            <w:r>
              <w:rPr>
                <w:rFonts w:ascii="Arial" w:cs="Arial" w:eastAsia="Arial" w:hAnsi="Arial"/>
                <w:sz w:val="16"/>
                <w:szCs w:val="16"/>
                <w:color w:val="auto"/>
              </w:rPr>
              <w:t>$2,451</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$1,220</w:t>
            </w:r>
          </w:p>
        </w:tc>
      </w:tr>
      <w:tr>
        <w:trPr>
          <w:trHeight w:val="237"/>
        </w:trPr>
        <w:tc>
          <w:tcPr>
            <w:tcW w:w="5980" w:type="dxa"/>
            <w:vAlign w:val="bottom"/>
          </w:tcPr>
          <w:p>
            <w:pPr>
              <w:ind w:left="40"/>
              <w:spacing w:after="0"/>
              <w:rPr>
                <w:sz w:val="20"/>
                <w:szCs w:val="20"/>
                <w:color w:val="auto"/>
              </w:rPr>
            </w:pPr>
            <w:r>
              <w:rPr>
                <w:rFonts w:ascii="Arial" w:cs="Arial" w:eastAsia="Arial" w:hAnsi="Arial"/>
                <w:sz w:val="16"/>
                <w:szCs w:val="16"/>
                <w:color w:val="auto"/>
              </w:rPr>
              <w:t>Less: capital expenditures</w:t>
            </w:r>
          </w:p>
        </w:tc>
        <w:tc>
          <w:tcPr>
            <w:tcW w:w="2240" w:type="dxa"/>
            <w:vAlign w:val="bottom"/>
          </w:tcPr>
          <w:p>
            <w:pPr>
              <w:jc w:val="right"/>
              <w:ind w:right="639"/>
              <w:spacing w:after="0"/>
              <w:rPr>
                <w:sz w:val="20"/>
                <w:szCs w:val="20"/>
                <w:color w:val="auto"/>
              </w:rPr>
            </w:pPr>
            <w:r>
              <w:rPr>
                <w:rFonts w:ascii="Arial" w:cs="Arial" w:eastAsia="Arial" w:hAnsi="Arial"/>
                <w:sz w:val="16"/>
                <w:szCs w:val="16"/>
                <w:b w:val="1"/>
                <w:bCs w:val="1"/>
                <w:color w:val="auto"/>
              </w:rPr>
              <w:t>(846)</w:t>
            </w:r>
          </w:p>
        </w:tc>
        <w:tc>
          <w:tcPr>
            <w:tcW w:w="1940" w:type="dxa"/>
            <w:vAlign w:val="bottom"/>
          </w:tcPr>
          <w:p>
            <w:pPr>
              <w:jc w:val="right"/>
              <w:ind w:right="639"/>
              <w:spacing w:after="0"/>
              <w:rPr>
                <w:sz w:val="20"/>
                <w:szCs w:val="20"/>
                <w:color w:val="auto"/>
              </w:rPr>
            </w:pPr>
            <w:r>
              <w:rPr>
                <w:rFonts w:ascii="Arial" w:cs="Arial" w:eastAsia="Arial" w:hAnsi="Arial"/>
                <w:sz w:val="16"/>
                <w:szCs w:val="16"/>
                <w:color w:val="auto"/>
              </w:rPr>
              <w:t>(1,082)</w:t>
            </w:r>
          </w:p>
        </w:tc>
        <w:tc>
          <w:tcPr>
            <w:tcW w:w="1260" w:type="dxa"/>
            <w:vAlign w:val="bottom"/>
          </w:tcPr>
          <w:p>
            <w:pPr>
              <w:jc w:val="right"/>
              <w:spacing w:after="0"/>
              <w:rPr>
                <w:sz w:val="20"/>
                <w:szCs w:val="20"/>
                <w:color w:val="auto"/>
              </w:rPr>
            </w:pPr>
            <w:r>
              <w:rPr>
                <w:rFonts w:ascii="Arial" w:cs="Arial" w:eastAsia="Arial" w:hAnsi="Arial"/>
                <w:sz w:val="16"/>
                <w:szCs w:val="16"/>
                <w:color w:val="auto"/>
              </w:rPr>
              <w:t>(861)</w:t>
            </w:r>
          </w:p>
        </w:tc>
      </w:tr>
      <w:tr>
        <w:trPr>
          <w:trHeight w:val="33"/>
        </w:trPr>
        <w:tc>
          <w:tcPr>
            <w:tcW w:w="59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cash dividends paid</w:t>
            </w:r>
          </w:p>
        </w:tc>
        <w:tc>
          <w:tcPr>
            <w:tcW w:w="2240" w:type="dxa"/>
            <w:vAlign w:val="bottom"/>
            <w:tcBorders>
              <w:bottom w:val="single" w:sz="8" w:color="CCEEFF"/>
            </w:tcBorders>
            <w:shd w:val="clear" w:color="auto" w:fill="CCEEFF"/>
          </w:tcPr>
          <w:p>
            <w:pPr>
              <w:jc w:val="right"/>
              <w:ind w:right="639"/>
              <w:spacing w:after="0"/>
              <w:rPr>
                <w:sz w:val="20"/>
                <w:szCs w:val="20"/>
                <w:color w:val="auto"/>
              </w:rPr>
            </w:pPr>
            <w:r>
              <w:rPr>
                <w:rFonts w:ascii="Arial" w:cs="Arial" w:eastAsia="Arial" w:hAnsi="Arial"/>
                <w:sz w:val="16"/>
                <w:szCs w:val="16"/>
                <w:b w:val="1"/>
                <w:bCs w:val="1"/>
                <w:color w:val="auto"/>
              </w:rPr>
              <w:t>(256)</w:t>
            </w:r>
          </w:p>
        </w:tc>
        <w:tc>
          <w:tcPr>
            <w:tcW w:w="1940" w:type="dxa"/>
            <w:vAlign w:val="bottom"/>
            <w:tcBorders>
              <w:bottom w:val="single" w:sz="8" w:color="CCEEFF"/>
            </w:tcBorders>
            <w:shd w:val="clear" w:color="auto" w:fill="CCEEFF"/>
          </w:tcPr>
          <w:p>
            <w:pPr>
              <w:jc w:val="right"/>
              <w:ind w:right="639"/>
              <w:spacing w:after="0"/>
              <w:rPr>
                <w:sz w:val="20"/>
                <w:szCs w:val="20"/>
                <w:color w:val="auto"/>
              </w:rPr>
            </w:pPr>
            <w:r>
              <w:rPr>
                <w:rFonts w:ascii="Arial" w:cs="Arial" w:eastAsia="Arial" w:hAnsi="Arial"/>
                <w:sz w:val="16"/>
                <w:szCs w:val="16"/>
                <w:color w:val="auto"/>
              </w:rPr>
              <w:t>(1,185)</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(251)</w:t>
            </w:r>
          </w:p>
        </w:tc>
      </w:tr>
      <w:tr>
        <w:trPr>
          <w:trHeight w:val="237"/>
        </w:trPr>
        <w:tc>
          <w:tcPr>
            <w:tcW w:w="5980" w:type="dxa"/>
            <w:vAlign w:val="bottom"/>
          </w:tcPr>
          <w:p>
            <w:pPr>
              <w:ind w:left="40"/>
              <w:spacing w:after="0"/>
              <w:rPr>
                <w:sz w:val="20"/>
                <w:szCs w:val="20"/>
                <w:color w:val="auto"/>
              </w:rPr>
            </w:pPr>
            <w:r>
              <w:rPr>
                <w:rFonts w:ascii="Arial" w:cs="Arial" w:eastAsia="Arial" w:hAnsi="Arial"/>
                <w:sz w:val="16"/>
                <w:szCs w:val="16"/>
                <w:color w:val="auto"/>
              </w:rPr>
              <w:t>Add: proceeds from sale of credit card receivables originated at third parties</w:t>
            </w:r>
          </w:p>
        </w:tc>
        <w:tc>
          <w:tcPr>
            <w:tcW w:w="2240" w:type="dxa"/>
            <w:vAlign w:val="bottom"/>
          </w:tcPr>
          <w:p>
            <w:pPr>
              <w:jc w:val="right"/>
              <w:ind w:right="699"/>
              <w:spacing w:after="0"/>
              <w:rPr>
                <w:sz w:val="20"/>
                <w:szCs w:val="20"/>
                <w:color w:val="auto"/>
              </w:rPr>
            </w:pPr>
            <w:r>
              <w:rPr>
                <w:rFonts w:ascii="Arial" w:cs="Arial" w:eastAsia="Arial" w:hAnsi="Arial"/>
                <w:sz w:val="16"/>
                <w:szCs w:val="16"/>
                <w:b w:val="1"/>
                <w:bCs w:val="1"/>
                <w:color w:val="auto"/>
              </w:rPr>
              <w:t>—</w:t>
            </w:r>
          </w:p>
        </w:tc>
        <w:tc>
          <w:tcPr>
            <w:tcW w:w="1940" w:type="dxa"/>
            <w:vAlign w:val="bottom"/>
          </w:tcPr>
          <w:p>
            <w:pPr>
              <w:jc w:val="right"/>
              <w:ind w:right="679"/>
              <w:spacing w:after="0"/>
              <w:rPr>
                <w:sz w:val="20"/>
                <w:szCs w:val="20"/>
                <w:color w:val="auto"/>
              </w:rPr>
            </w:pPr>
            <w:r>
              <w:rPr>
                <w:rFonts w:ascii="Arial" w:cs="Arial" w:eastAsia="Arial" w:hAnsi="Arial"/>
                <w:sz w:val="16"/>
                <w:szCs w:val="16"/>
                <w:color w:val="auto"/>
              </w:rPr>
              <w:t>890</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59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(Less): change in credit card receivables originated at third parties</w:t>
            </w:r>
          </w:p>
        </w:tc>
        <w:tc>
          <w:tcPr>
            <w:tcW w:w="224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6"/>
                <w:szCs w:val="16"/>
                <w:b w:val="1"/>
                <w:bCs w:val="1"/>
                <w:color w:val="auto"/>
              </w:rPr>
              <w:t>—</w:t>
            </w:r>
          </w:p>
        </w:tc>
        <w:tc>
          <w:tcPr>
            <w:tcW w:w="1940" w:type="dxa"/>
            <w:vAlign w:val="bottom"/>
            <w:tcBorders>
              <w:bottom w:val="single" w:sz="8" w:color="CCEEFF"/>
            </w:tcBorders>
            <w:shd w:val="clear" w:color="auto" w:fill="CCEEFF"/>
          </w:tcPr>
          <w:p>
            <w:pPr>
              <w:jc w:val="right"/>
              <w:ind w:right="679"/>
              <w:spacing w:after="0"/>
              <w:rPr>
                <w:sz w:val="20"/>
                <w:szCs w:val="20"/>
                <w:color w:val="auto"/>
              </w:rPr>
            </w:pPr>
            <w:r>
              <w:rPr>
                <w:rFonts w:ascii="Arial" w:cs="Arial" w:eastAsia="Arial" w:hAnsi="Arial"/>
                <w:sz w:val="16"/>
                <w:szCs w:val="16"/>
                <w:color w:val="auto"/>
              </w:rPr>
              <w:t>34</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w:t>
            </w:r>
          </w:p>
        </w:tc>
      </w:tr>
      <w:tr>
        <w:trPr>
          <w:trHeight w:val="237"/>
        </w:trPr>
        <w:tc>
          <w:tcPr>
            <w:tcW w:w="5980" w:type="dxa"/>
            <w:vAlign w:val="bottom"/>
          </w:tcPr>
          <w:p>
            <w:pPr>
              <w:ind w:left="40"/>
              <w:spacing w:after="0"/>
              <w:rPr>
                <w:sz w:val="20"/>
                <w:szCs w:val="20"/>
                <w:color w:val="auto"/>
              </w:rPr>
            </w:pPr>
            <w:r>
              <w:rPr>
                <w:rFonts w:ascii="Arial" w:cs="Arial" w:eastAsia="Arial" w:hAnsi="Arial"/>
                <w:sz w:val="16"/>
                <w:szCs w:val="16"/>
                <w:color w:val="auto"/>
              </w:rPr>
              <w:t>Add (Less): change in cash book overdrafts</w:t>
            </w:r>
          </w:p>
        </w:tc>
        <w:tc>
          <w:tcPr>
            <w:tcW w:w="2240" w:type="dxa"/>
            <w:vAlign w:val="bottom"/>
          </w:tcPr>
          <w:p>
            <w:pPr>
              <w:jc w:val="right"/>
              <w:ind w:right="699"/>
              <w:spacing w:after="0"/>
              <w:rPr>
                <w:sz w:val="20"/>
                <w:szCs w:val="20"/>
                <w:color w:val="auto"/>
              </w:rPr>
            </w:pPr>
            <w:r>
              <w:rPr>
                <w:rFonts w:ascii="Arial" w:cs="Arial" w:eastAsia="Arial" w:hAnsi="Arial"/>
                <w:sz w:val="16"/>
                <w:szCs w:val="16"/>
                <w:b w:val="1"/>
                <w:bCs w:val="1"/>
                <w:color w:val="auto"/>
              </w:rPr>
              <w:t>4</w:t>
            </w:r>
          </w:p>
        </w:tc>
        <w:tc>
          <w:tcPr>
            <w:tcW w:w="1940" w:type="dxa"/>
            <w:vAlign w:val="bottom"/>
          </w:tcPr>
          <w:p>
            <w:pPr>
              <w:jc w:val="right"/>
              <w:ind w:right="679"/>
              <w:spacing w:after="0"/>
              <w:rPr>
                <w:sz w:val="20"/>
                <w:szCs w:val="20"/>
                <w:color w:val="auto"/>
              </w:rPr>
            </w:pPr>
            <w:r>
              <w:rPr>
                <w:rFonts w:ascii="Arial" w:cs="Arial" w:eastAsia="Arial" w:hAnsi="Arial"/>
                <w:sz w:val="16"/>
                <w:szCs w:val="16"/>
                <w:color w:val="auto"/>
              </w:rPr>
              <w:t>23</w:t>
            </w:r>
          </w:p>
        </w:tc>
        <w:tc>
          <w:tcPr>
            <w:tcW w:w="126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33"/>
        </w:trPr>
        <w:tc>
          <w:tcPr>
            <w:tcW w:w="598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5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Free Cash Flow</w:t>
            </w:r>
          </w:p>
        </w:tc>
        <w:tc>
          <w:tcPr>
            <w:tcW w:w="224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6"/>
                <w:szCs w:val="16"/>
                <w:b w:val="1"/>
                <w:bCs w:val="1"/>
                <w:color w:val="auto"/>
              </w:rPr>
              <w:t>$550</w:t>
            </w:r>
          </w:p>
        </w:tc>
        <w:tc>
          <w:tcPr>
            <w:tcW w:w="1940" w:type="dxa"/>
            <w:vAlign w:val="bottom"/>
            <w:tcBorders>
              <w:bottom w:val="single" w:sz="8" w:color="CCEEFF"/>
            </w:tcBorders>
            <w:shd w:val="clear" w:color="auto" w:fill="CCEEFF"/>
          </w:tcPr>
          <w:p>
            <w:pPr>
              <w:jc w:val="right"/>
              <w:ind w:right="679"/>
              <w:spacing w:after="0"/>
              <w:rPr>
                <w:sz w:val="20"/>
                <w:szCs w:val="20"/>
                <w:color w:val="auto"/>
              </w:rPr>
            </w:pPr>
            <w:r>
              <w:rPr>
                <w:rFonts w:ascii="Arial" w:cs="Arial" w:eastAsia="Arial" w:hAnsi="Arial"/>
                <w:sz w:val="16"/>
                <w:szCs w:val="16"/>
                <w:color w:val="auto"/>
              </w:rPr>
              <w:t>$1,131</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$96</w:t>
            </w:r>
          </w:p>
        </w:tc>
      </w:tr>
      <w:tr>
        <w:trPr>
          <w:trHeight w:val="20"/>
        </w:trPr>
        <w:tc>
          <w:tcPr>
            <w:tcW w:w="5980" w:type="dxa"/>
            <w:vAlign w:val="bottom"/>
            <w:shd w:val="clear" w:color="auto" w:fill="000000"/>
          </w:tcPr>
          <w:p>
            <w:pPr>
              <w:spacing w:after="0" w:line="20" w:lineRule="exact"/>
              <w:rPr>
                <w:sz w:val="1"/>
                <w:szCs w:val="1"/>
                <w:color w:val="auto"/>
              </w:rPr>
            </w:pPr>
          </w:p>
        </w:tc>
        <w:tc>
          <w:tcPr>
            <w:tcW w:w="2240" w:type="dxa"/>
            <w:vAlign w:val="bottom"/>
            <w:shd w:val="clear" w:color="auto" w:fill="000000"/>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Capacity and Commitments</w:t>
      </w:r>
    </w:p>
    <w:p>
      <w:pPr>
        <w:spacing w:after="0" w:line="27" w:lineRule="exact"/>
        <w:rPr>
          <w:sz w:val="20"/>
          <w:szCs w:val="20"/>
          <w:color w:val="auto"/>
        </w:rPr>
      </w:pPr>
    </w:p>
    <w:p>
      <w:pPr>
        <w:jc w:val="both"/>
        <w:ind w:right="200"/>
        <w:spacing w:after="0" w:line="254" w:lineRule="auto"/>
        <w:rPr>
          <w:sz w:val="20"/>
          <w:szCs w:val="20"/>
          <w:color w:val="auto"/>
        </w:rPr>
      </w:pPr>
      <w:r>
        <w:rPr>
          <w:rFonts w:ascii="Arial" w:cs="Arial" w:eastAsia="Arial" w:hAnsi="Arial"/>
          <w:sz w:val="18"/>
          <w:szCs w:val="18"/>
          <w:color w:val="auto"/>
        </w:rPr>
        <w:t>As of January 28, 2017, we had total short-term borrowing capacity of $800 under our senior unsecured revolving credit facility (“revolver”) that expires in April 2020. Under the terms of our revolver, we pay a variable rate of interest and a commitment fee based on our debt rating. The revolver is available for working capital, capital expenditures and general corporate purposes. We have the option to increase the revolving commitment by up to $200, to a total of $1,000, provided that we obtain written consent from the lenders.</w:t>
      </w:r>
    </w:p>
    <w:p>
      <w:pPr>
        <w:spacing w:after="0" w:line="136" w:lineRule="exact"/>
        <w:rPr>
          <w:sz w:val="20"/>
          <w:szCs w:val="20"/>
          <w:color w:val="auto"/>
        </w:rPr>
      </w:pPr>
    </w:p>
    <w:p>
      <w:pPr>
        <w:jc w:val="both"/>
        <w:ind w:right="80"/>
        <w:spacing w:after="0" w:line="312" w:lineRule="auto"/>
        <w:rPr>
          <w:sz w:val="20"/>
          <w:szCs w:val="20"/>
          <w:color w:val="auto"/>
        </w:rPr>
      </w:pPr>
      <w:r>
        <w:rPr>
          <w:rFonts w:ascii="Arial" w:cs="Arial" w:eastAsia="Arial" w:hAnsi="Arial"/>
          <w:sz w:val="16"/>
          <w:szCs w:val="16"/>
          <w:color w:val="auto"/>
        </w:rPr>
        <w:t>Our $800 commercial paper program allows us to use the proceeds to fund operating cash requirements. Under the terms of the commercial paper agreement, we pay a rate of interest based on, among other factors, the maturity of the issuance and market conditions. The issuance of commercial paper has the effect, while it is outstanding, of reducing available liquidity under the revolver by an amount equal to the principal amount of commercial paper.</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color w:val="auto"/>
        </w:rPr>
        <w:t>As of January 28, 2017, we had no issuances outstanding under our commercial paper program and no borrowings outstanding under our revolver.</w:t>
      </w:r>
    </w:p>
    <w:p>
      <w:pPr>
        <w:spacing w:after="0" w:line="183"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Our wholly owned subsidiary in Puerto Rico maintains a $52 unsecured borrowing facility to support our expansion into that market. The facility expires in November 2018 and borrowings on this facility incur interest based upon the LIBOR plus 1.275% per annum and also incurs a fee based on our unused commitment. As of January 28, 2017, we had $50 outstanding on this facility.</w:t>
      </w:r>
    </w:p>
    <w:p>
      <w:pPr>
        <w:spacing w:after="0" w:line="127"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We have a registration statement on file with the SEC using a “shelf” registration process. Under this shelf registration process, we may offer and sell, from time to time, any combination of the securities described in a prospectus to the registration statement, including registered debt, provided we maintain Well-known Seasoned Issuer (“WKSI”) status.</w:t>
      </w:r>
    </w:p>
    <w:p>
      <w:pPr>
        <w:spacing w:after="0" w:line="127"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We maintain trade and standby letters of credit to facilitate our international payments. As of January 28, 2017, we have $8 available and $1 outstanding under the trade letter of credit and $15 available and $2 outstanding under the standby letter of credit.</w:t>
      </w:r>
    </w:p>
    <w:p>
      <w:pPr>
        <w:spacing w:after="0" w:line="116"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Plans for our Manhattan full-line store, which we currently expect to open in 2019, ultimately include owning a condominium interest in a mixed-use tower and leasing certain nearby properties. As of January 28, 2017, we had approximately $249 of fee interest in land, which is expected to convert to the condominium interest once the store is constructed. We have committed to make future installment payments based on the developer meeting pre-established construction and development milestones. In the event that this project is not completed, the opening may be delayed and we may be subject to future losses or capital commitments in order to complete construction or to monetize our investment in the land.</w:t>
      </w:r>
    </w:p>
    <w:p>
      <w:pPr>
        <w:spacing w:after="0" w:line="366" w:lineRule="exact"/>
        <w:rPr>
          <w:sz w:val="20"/>
          <w:szCs w:val="20"/>
          <w:color w:val="auto"/>
        </w:rPr>
      </w:pPr>
    </w:p>
    <w:p>
      <w:pPr>
        <w:jc w:val="right"/>
        <w:spacing w:after="0"/>
        <w:rPr>
          <w:sz w:val="20"/>
          <w:szCs w:val="20"/>
          <w:color w:val="auto"/>
        </w:rPr>
      </w:pPr>
      <w:r>
        <w:rPr>
          <w:rFonts w:ascii="Arial" w:cs="Arial" w:eastAsia="Arial" w:hAnsi="Arial"/>
          <w:sz w:val="13"/>
          <w:szCs w:val="13"/>
          <w:color w:val="auto"/>
        </w:rPr>
        <w:t xml:space="preserve">Nordstrom, Inc. and subsidiaries </w:t>
      </w:r>
      <w:r>
        <w:rPr>
          <w:rFonts w:ascii="Arial" w:cs="Arial" w:eastAsia="Arial" w:hAnsi="Arial"/>
          <w:sz w:val="16"/>
          <w:szCs w:val="16"/>
          <w:color w:val="auto"/>
        </w:rPr>
        <w:t>29</w:t>
      </w:r>
    </w:p>
    <w:p>
      <w:pPr>
        <w:sectPr>
          <w:pgSz w:w="11900" w:h="16838" w:orient="portrait"/>
          <w:cols w:equalWidth="0" w:num="1">
            <w:col w:w="11420"/>
          </w:cols>
          <w:pgMar w:left="240" w:top="126" w:right="239" w:bottom="1440" w:gutter="0" w:footer="0" w:header="0"/>
        </w:sectPr>
      </w:pPr>
    </w:p>
    <w:bookmarkStart w:id="29" w:name="page30"/>
    <w:bookmarkEnd w:id="29"/>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Credit Ratings</w:t>
      </w:r>
    </w:p>
    <w:p>
      <w:pPr>
        <w:spacing w:after="0" w:line="27" w:lineRule="exact"/>
        <w:rPr>
          <w:sz w:val="20"/>
          <w:szCs w:val="20"/>
          <w:color w:val="auto"/>
        </w:rPr>
      </w:pPr>
    </w:p>
    <w:p>
      <w:pPr>
        <w:jc w:val="both"/>
        <w:ind w:right="160"/>
        <w:spacing w:after="0" w:line="255" w:lineRule="auto"/>
        <w:rPr>
          <w:sz w:val="20"/>
          <w:szCs w:val="20"/>
          <w:color w:val="auto"/>
        </w:rPr>
      </w:pPr>
      <w:r>
        <w:rPr>
          <w:rFonts w:ascii="Arial" w:cs="Arial" w:eastAsia="Arial" w:hAnsi="Arial"/>
          <w:sz w:val="18"/>
          <w:szCs w:val="18"/>
          <w:color w:val="auto"/>
        </w:rPr>
        <w:t>Under the terms of our revolver, any borrowings we may enter into will accrue interest for Euro-Dollar Rate Loans at a floating base rate tied to LIBOR, for Canadian Dealer Offer Rate Loans at a floating rate tied to CDOR, and for Base Rate Loans at the highest of: (i) the Euro-Dollar rate plus 100 basis points, (ii) the federal funds rate plus 50 basis points and (iii) the prime rate.</w:t>
      </w:r>
    </w:p>
    <w:p>
      <w:pPr>
        <w:spacing w:after="0" w:line="136"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The rate depends upon the type of borrowing incurred, plus in each case an applicable margin. This applicable margin varies depending upon the credit ratings assigned to our long-term unsecured debt. At the time of this report, our long-term unsecured debt ratings, outlook and resulting applicable margin were as follows: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960" w:type="dxa"/>
            <w:vAlign w:val="bottom"/>
          </w:tcPr>
          <w:p>
            <w:pPr>
              <w:spacing w:after="0"/>
              <w:rPr>
                <w:sz w:val="18"/>
                <w:szCs w:val="18"/>
                <w:color w:val="auto"/>
              </w:rPr>
            </w:pPr>
          </w:p>
        </w:tc>
        <w:tc>
          <w:tcPr>
            <w:tcW w:w="4660" w:type="dxa"/>
            <w:vAlign w:val="bottom"/>
          </w:tcPr>
          <w:p>
            <w:pPr>
              <w:jc w:val="right"/>
              <w:ind w:right="799"/>
              <w:spacing w:after="0"/>
              <w:rPr>
                <w:sz w:val="20"/>
                <w:szCs w:val="20"/>
                <w:color w:val="auto"/>
              </w:rPr>
            </w:pPr>
            <w:r>
              <w:rPr>
                <w:rFonts w:ascii="Arial" w:cs="Arial" w:eastAsia="Arial" w:hAnsi="Arial"/>
                <w:sz w:val="16"/>
                <w:szCs w:val="16"/>
                <w:b w:val="1"/>
                <w:bCs w:val="1"/>
                <w:color w:val="auto"/>
              </w:rPr>
              <w:t>Credit Ratings</w:t>
            </w:r>
          </w:p>
        </w:tc>
        <w:tc>
          <w:tcPr>
            <w:tcW w:w="1800" w:type="dxa"/>
            <w:vAlign w:val="bottom"/>
          </w:tcPr>
          <w:p>
            <w:pPr>
              <w:jc w:val="right"/>
              <w:ind w:right="79"/>
              <w:spacing w:after="0"/>
              <w:rPr>
                <w:sz w:val="20"/>
                <w:szCs w:val="20"/>
                <w:color w:val="auto"/>
              </w:rPr>
            </w:pPr>
            <w:r>
              <w:rPr>
                <w:rFonts w:ascii="Arial" w:cs="Arial" w:eastAsia="Arial" w:hAnsi="Arial"/>
                <w:sz w:val="16"/>
                <w:szCs w:val="16"/>
                <w:b w:val="1"/>
                <w:bCs w:val="1"/>
                <w:color w:val="auto"/>
              </w:rPr>
              <w:t>Outlook</w:t>
            </w:r>
          </w:p>
        </w:tc>
      </w:tr>
      <w:tr>
        <w:trPr>
          <w:trHeight w:val="33"/>
        </w:trPr>
        <w:tc>
          <w:tcPr>
            <w:tcW w:w="4960" w:type="dxa"/>
            <w:vAlign w:val="bottom"/>
            <w:tcBorders>
              <w:bottom w:val="single" w:sz="8" w:color="auto"/>
            </w:tcBorders>
          </w:tcPr>
          <w:p>
            <w:pPr>
              <w:spacing w:after="0"/>
              <w:rPr>
                <w:sz w:val="2"/>
                <w:szCs w:val="2"/>
                <w:color w:val="auto"/>
              </w:rPr>
            </w:pPr>
          </w:p>
        </w:tc>
        <w:tc>
          <w:tcPr>
            <w:tcW w:w="46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44"/>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Moody’s</w:t>
            </w:r>
          </w:p>
        </w:tc>
        <w:tc>
          <w:tcPr>
            <w:tcW w:w="466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6"/>
                <w:szCs w:val="16"/>
                <w:color w:val="auto"/>
              </w:rPr>
              <w:t>Baa1</w:t>
            </w:r>
          </w:p>
        </w:tc>
        <w:tc>
          <w:tcPr>
            <w:tcW w:w="18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Stable</w:t>
            </w:r>
          </w:p>
        </w:tc>
      </w:tr>
      <w:tr>
        <w:trPr>
          <w:trHeight w:val="237"/>
        </w:trPr>
        <w:tc>
          <w:tcPr>
            <w:tcW w:w="4960" w:type="dxa"/>
            <w:vAlign w:val="bottom"/>
          </w:tcPr>
          <w:p>
            <w:pPr>
              <w:ind w:left="40"/>
              <w:spacing w:after="0"/>
              <w:rPr>
                <w:sz w:val="20"/>
                <w:szCs w:val="20"/>
                <w:color w:val="auto"/>
              </w:rPr>
            </w:pPr>
            <w:r>
              <w:rPr>
                <w:rFonts w:ascii="Arial" w:cs="Arial" w:eastAsia="Arial" w:hAnsi="Arial"/>
                <w:sz w:val="16"/>
                <w:szCs w:val="16"/>
                <w:color w:val="auto"/>
              </w:rPr>
              <w:t>Standard &amp; Poor’s</w:t>
            </w:r>
          </w:p>
        </w:tc>
        <w:tc>
          <w:tcPr>
            <w:tcW w:w="4660" w:type="dxa"/>
            <w:vAlign w:val="bottom"/>
          </w:tcPr>
          <w:p>
            <w:pPr>
              <w:jc w:val="right"/>
              <w:ind w:right="799"/>
              <w:spacing w:after="0"/>
              <w:rPr>
                <w:sz w:val="20"/>
                <w:szCs w:val="20"/>
                <w:color w:val="auto"/>
              </w:rPr>
            </w:pPr>
            <w:r>
              <w:rPr>
                <w:rFonts w:ascii="Arial" w:cs="Arial" w:eastAsia="Arial" w:hAnsi="Arial"/>
                <w:sz w:val="16"/>
                <w:szCs w:val="16"/>
                <w:color w:val="auto"/>
              </w:rPr>
              <w:t>BBB+</w:t>
            </w:r>
          </w:p>
        </w:tc>
        <w:tc>
          <w:tcPr>
            <w:tcW w:w="1800" w:type="dxa"/>
            <w:vAlign w:val="bottom"/>
          </w:tcPr>
          <w:p>
            <w:pPr>
              <w:jc w:val="right"/>
              <w:ind w:right="79"/>
              <w:spacing w:after="0"/>
              <w:rPr>
                <w:sz w:val="20"/>
                <w:szCs w:val="20"/>
                <w:color w:val="auto"/>
              </w:rPr>
            </w:pPr>
            <w:r>
              <w:rPr>
                <w:rFonts w:ascii="Arial" w:cs="Arial" w:eastAsia="Arial" w:hAnsi="Arial"/>
                <w:sz w:val="16"/>
                <w:szCs w:val="16"/>
                <w:color w:val="auto"/>
              </w:rPr>
              <w:t>Negative</w:t>
            </w:r>
          </w:p>
        </w:tc>
      </w:tr>
      <w:tr>
        <w:trPr>
          <w:trHeight w:val="33"/>
        </w:trPr>
        <w:tc>
          <w:tcPr>
            <w:tcW w:w="4960" w:type="dxa"/>
            <w:vAlign w:val="bottom"/>
            <w:tcBorders>
              <w:bottom w:val="single" w:sz="8" w:color="auto"/>
            </w:tcBorders>
          </w:tcPr>
          <w:p>
            <w:pPr>
              <w:spacing w:after="0"/>
              <w:rPr>
                <w:sz w:val="2"/>
                <w:szCs w:val="2"/>
                <w:color w:val="auto"/>
              </w:rPr>
            </w:pPr>
          </w:p>
        </w:tc>
        <w:tc>
          <w:tcPr>
            <w:tcW w:w="46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506"/>
        </w:trPr>
        <w:tc>
          <w:tcPr>
            <w:tcW w:w="4960" w:type="dxa"/>
            <w:vAlign w:val="bottom"/>
          </w:tcPr>
          <w:p>
            <w:pPr>
              <w:spacing w:after="0"/>
              <w:rPr>
                <w:sz w:val="24"/>
                <w:szCs w:val="24"/>
                <w:color w:val="auto"/>
              </w:rPr>
            </w:pPr>
          </w:p>
        </w:tc>
        <w:tc>
          <w:tcPr>
            <w:tcW w:w="4660" w:type="dxa"/>
            <w:vAlign w:val="bottom"/>
          </w:tcPr>
          <w:p>
            <w:pPr>
              <w:jc w:val="right"/>
              <w:ind w:right="799"/>
              <w:spacing w:after="0"/>
              <w:rPr>
                <w:sz w:val="20"/>
                <w:szCs w:val="20"/>
                <w:color w:val="auto"/>
              </w:rPr>
            </w:pPr>
            <w:r>
              <w:rPr>
                <w:rFonts w:ascii="Arial" w:cs="Arial" w:eastAsia="Arial" w:hAnsi="Arial"/>
                <w:sz w:val="16"/>
                <w:szCs w:val="16"/>
                <w:b w:val="1"/>
                <w:bCs w:val="1"/>
                <w:color w:val="auto"/>
              </w:rPr>
              <w:t>Base Interest</w:t>
            </w:r>
          </w:p>
        </w:tc>
        <w:tc>
          <w:tcPr>
            <w:tcW w:w="1800" w:type="dxa"/>
            <w:vAlign w:val="bottom"/>
          </w:tcPr>
          <w:p>
            <w:pPr>
              <w:jc w:val="right"/>
              <w:ind w:right="79"/>
              <w:spacing w:after="0"/>
              <w:rPr>
                <w:sz w:val="20"/>
                <w:szCs w:val="20"/>
                <w:color w:val="auto"/>
              </w:rPr>
            </w:pPr>
            <w:r>
              <w:rPr>
                <w:rFonts w:ascii="Arial" w:cs="Arial" w:eastAsia="Arial" w:hAnsi="Arial"/>
                <w:sz w:val="16"/>
                <w:szCs w:val="16"/>
                <w:b w:val="1"/>
                <w:bCs w:val="1"/>
                <w:color w:val="auto"/>
              </w:rPr>
              <w:t>Applicable</w:t>
            </w:r>
          </w:p>
        </w:tc>
      </w:tr>
      <w:tr>
        <w:trPr>
          <w:trHeight w:val="210"/>
        </w:trPr>
        <w:tc>
          <w:tcPr>
            <w:tcW w:w="4960" w:type="dxa"/>
            <w:vAlign w:val="bottom"/>
          </w:tcPr>
          <w:p>
            <w:pPr>
              <w:spacing w:after="0"/>
              <w:rPr>
                <w:sz w:val="18"/>
                <w:szCs w:val="18"/>
                <w:color w:val="auto"/>
              </w:rPr>
            </w:pPr>
          </w:p>
        </w:tc>
        <w:tc>
          <w:tcPr>
            <w:tcW w:w="4660" w:type="dxa"/>
            <w:vAlign w:val="bottom"/>
          </w:tcPr>
          <w:p>
            <w:pPr>
              <w:jc w:val="right"/>
              <w:ind w:right="799"/>
              <w:spacing w:after="0"/>
              <w:rPr>
                <w:sz w:val="20"/>
                <w:szCs w:val="20"/>
                <w:color w:val="auto"/>
              </w:rPr>
            </w:pPr>
            <w:r>
              <w:rPr>
                <w:rFonts w:ascii="Arial" w:cs="Arial" w:eastAsia="Arial" w:hAnsi="Arial"/>
                <w:sz w:val="16"/>
                <w:szCs w:val="16"/>
                <w:b w:val="1"/>
                <w:bCs w:val="1"/>
                <w:color w:val="auto"/>
              </w:rPr>
              <w:t>Rate</w:t>
            </w:r>
          </w:p>
        </w:tc>
        <w:tc>
          <w:tcPr>
            <w:tcW w:w="1800" w:type="dxa"/>
            <w:vAlign w:val="bottom"/>
          </w:tcPr>
          <w:p>
            <w:pPr>
              <w:jc w:val="right"/>
              <w:ind w:right="79"/>
              <w:spacing w:after="0"/>
              <w:rPr>
                <w:sz w:val="20"/>
                <w:szCs w:val="20"/>
                <w:color w:val="auto"/>
              </w:rPr>
            </w:pPr>
            <w:r>
              <w:rPr>
                <w:rFonts w:ascii="Arial" w:cs="Arial" w:eastAsia="Arial" w:hAnsi="Arial"/>
                <w:sz w:val="16"/>
                <w:szCs w:val="16"/>
                <w:b w:val="1"/>
                <w:bCs w:val="1"/>
                <w:color w:val="auto"/>
              </w:rPr>
              <w:t>Margin</w:t>
            </w:r>
          </w:p>
        </w:tc>
      </w:tr>
      <w:tr>
        <w:trPr>
          <w:trHeight w:val="33"/>
        </w:trPr>
        <w:tc>
          <w:tcPr>
            <w:tcW w:w="4960" w:type="dxa"/>
            <w:vAlign w:val="bottom"/>
            <w:tcBorders>
              <w:bottom w:val="single" w:sz="8" w:color="auto"/>
            </w:tcBorders>
          </w:tcPr>
          <w:p>
            <w:pPr>
              <w:spacing w:after="0"/>
              <w:rPr>
                <w:sz w:val="2"/>
                <w:szCs w:val="2"/>
                <w:color w:val="auto"/>
              </w:rPr>
            </w:pPr>
          </w:p>
        </w:tc>
        <w:tc>
          <w:tcPr>
            <w:tcW w:w="46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44"/>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Euro-Dollar Rate Loan</w:t>
            </w:r>
          </w:p>
        </w:tc>
        <w:tc>
          <w:tcPr>
            <w:tcW w:w="466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6"/>
                <w:szCs w:val="16"/>
                <w:color w:val="auto"/>
              </w:rPr>
              <w:t>LIBOR</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1.02%</w:t>
            </w:r>
          </w:p>
        </w:tc>
      </w:tr>
      <w:tr>
        <w:trPr>
          <w:trHeight w:val="237"/>
        </w:trPr>
        <w:tc>
          <w:tcPr>
            <w:tcW w:w="4960" w:type="dxa"/>
            <w:vAlign w:val="bottom"/>
          </w:tcPr>
          <w:p>
            <w:pPr>
              <w:ind w:left="40"/>
              <w:spacing w:after="0"/>
              <w:rPr>
                <w:sz w:val="20"/>
                <w:szCs w:val="20"/>
                <w:color w:val="auto"/>
              </w:rPr>
            </w:pPr>
            <w:r>
              <w:rPr>
                <w:rFonts w:ascii="Arial" w:cs="Arial" w:eastAsia="Arial" w:hAnsi="Arial"/>
                <w:sz w:val="16"/>
                <w:szCs w:val="16"/>
                <w:color w:val="auto"/>
              </w:rPr>
              <w:t>Canadian Dealer Offer Rate Loan</w:t>
            </w:r>
          </w:p>
        </w:tc>
        <w:tc>
          <w:tcPr>
            <w:tcW w:w="4660" w:type="dxa"/>
            <w:vAlign w:val="bottom"/>
          </w:tcPr>
          <w:p>
            <w:pPr>
              <w:jc w:val="right"/>
              <w:ind w:right="799"/>
              <w:spacing w:after="0"/>
              <w:rPr>
                <w:sz w:val="20"/>
                <w:szCs w:val="20"/>
                <w:color w:val="auto"/>
              </w:rPr>
            </w:pPr>
            <w:r>
              <w:rPr>
                <w:rFonts w:ascii="Arial" w:cs="Arial" w:eastAsia="Arial" w:hAnsi="Arial"/>
                <w:sz w:val="16"/>
                <w:szCs w:val="16"/>
                <w:color w:val="auto"/>
              </w:rPr>
              <w:t>CDOR</w:t>
            </w:r>
          </w:p>
        </w:tc>
        <w:tc>
          <w:tcPr>
            <w:tcW w:w="1800" w:type="dxa"/>
            <w:vAlign w:val="bottom"/>
          </w:tcPr>
          <w:p>
            <w:pPr>
              <w:jc w:val="right"/>
              <w:spacing w:after="0"/>
              <w:rPr>
                <w:sz w:val="20"/>
                <w:szCs w:val="20"/>
                <w:color w:val="auto"/>
              </w:rPr>
            </w:pPr>
            <w:r>
              <w:rPr>
                <w:rFonts w:ascii="Arial" w:cs="Arial" w:eastAsia="Arial" w:hAnsi="Arial"/>
                <w:sz w:val="16"/>
                <w:szCs w:val="16"/>
                <w:color w:val="auto"/>
              </w:rPr>
              <w:t>1.02%</w:t>
            </w:r>
          </w:p>
        </w:tc>
      </w:tr>
      <w:tr>
        <w:trPr>
          <w:trHeight w:val="33"/>
        </w:trPr>
        <w:tc>
          <w:tcPr>
            <w:tcW w:w="4960" w:type="dxa"/>
            <w:vAlign w:val="bottom"/>
          </w:tcPr>
          <w:p>
            <w:pPr>
              <w:spacing w:after="0"/>
              <w:rPr>
                <w:sz w:val="2"/>
                <w:szCs w:val="2"/>
                <w:color w:val="auto"/>
              </w:rPr>
            </w:pPr>
          </w:p>
        </w:tc>
        <w:tc>
          <w:tcPr>
            <w:tcW w:w="46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Base Rate Loan</w:t>
            </w:r>
          </w:p>
        </w:tc>
        <w:tc>
          <w:tcPr>
            <w:tcW w:w="466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6"/>
                <w:szCs w:val="16"/>
                <w:color w:val="auto"/>
              </w:rPr>
              <w:t>various</w:t>
            </w:r>
          </w:p>
        </w:tc>
        <w:tc>
          <w:tcPr>
            <w:tcW w:w="18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r>
      <w:tr>
        <w:trPr>
          <w:trHeight w:val="20"/>
        </w:trPr>
        <w:tc>
          <w:tcPr>
            <w:tcW w:w="4960" w:type="dxa"/>
            <w:vAlign w:val="bottom"/>
            <w:shd w:val="clear" w:color="auto" w:fill="000000"/>
          </w:tcPr>
          <w:p>
            <w:pPr>
              <w:spacing w:after="0" w:line="20" w:lineRule="exact"/>
              <w:rPr>
                <w:sz w:val="1"/>
                <w:szCs w:val="1"/>
                <w:color w:val="auto"/>
              </w:rPr>
            </w:pPr>
          </w:p>
        </w:tc>
        <w:tc>
          <w:tcPr>
            <w:tcW w:w="4660" w:type="dxa"/>
            <w:vAlign w:val="bottom"/>
            <w:shd w:val="clear" w:color="auto" w:fill="000000"/>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r>
    </w:tbl>
    <w:p>
      <w:pPr>
        <w:spacing w:after="0" w:line="148"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Should the ratings assigned to our long-term unsecured debt improve, the applicable margin associated with any such borrowings may decrease, resulting in a lower borrowing cost under this facility. Should the ratings assigned to our long-term unsecured debt worsen, the applicable margin associated with our borrowings may increase, resulting in a higher borrowing cost under this facility.</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Covenants</w:t>
      </w:r>
    </w:p>
    <w:p>
      <w:pPr>
        <w:spacing w:after="0" w:line="2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revolver requires that we maintain an adjusted debt to earnings before interest, income taxes, depreciation, amortization and rent (“EBITDAR”) leverage ratio of no more than four times (see the following additional discussion of Adjusted Debt to EBITDAR). As of January 28, 2017, we were in compliance with this covenant.</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420"/>
          </w:cols>
          <w:pgMar w:left="240" w:top="126" w:right="239" w:bottom="1440" w:gutter="0" w:footer="0" w:header="0"/>
        </w:sectPr>
      </w:pPr>
    </w:p>
    <w:bookmarkStart w:id="30" w:name="page31"/>
    <w:bookmarkEnd w:id="30"/>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Debt to EBITDAR (Non-GAAP financial measure)</w:t>
      </w:r>
    </w:p>
    <w:p>
      <w:pPr>
        <w:spacing w:after="0" w:line="27" w:lineRule="exact"/>
        <w:rPr>
          <w:sz w:val="20"/>
          <w:szCs w:val="20"/>
          <w:color w:val="auto"/>
        </w:rPr>
      </w:pPr>
    </w:p>
    <w:p>
      <w:pPr>
        <w:ind w:right="160"/>
        <w:spacing w:after="0" w:line="271" w:lineRule="auto"/>
        <w:rPr>
          <w:sz w:val="20"/>
          <w:szCs w:val="20"/>
          <w:color w:val="auto"/>
        </w:rPr>
      </w:pPr>
      <w:r>
        <w:rPr>
          <w:rFonts w:ascii="Arial" w:cs="Arial" w:eastAsia="Arial" w:hAnsi="Arial"/>
          <w:sz w:val="17"/>
          <w:szCs w:val="17"/>
          <w:color w:val="auto"/>
        </w:rPr>
        <w:t>Adjusted Debt to EBITDAR is one of our key financial metrics, and we believe that our debt levels are best analyzed using this measure. Our goal is to manage debt levels to maintain an investment-grade credit rating and operate with an efficient capital structure. In evaluating our debt levels, this measure provides a reflection of our credit worthiness that could impact our credit rating and borrowing costs. We also have a debt covenant that requires an adjusted debt to EBITDAR leverage ratio of no more than four times. As of January 28, 2017, our Adjusted Debt to EBITDAR was 2.4, compared with 2.2 as of January 30, 2016. This increase was primarily driven by an increase in our estimated capitalized operating lease liability.</w:t>
      </w:r>
    </w:p>
    <w:p>
      <w:pPr>
        <w:spacing w:after="0" w:line="12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Adjusted Debt to EBITDAR is not a measure of financial performance under GAAP and should be considered in addition to, and not as a substitute for, debt to net earnings, net earnings, debt or other financial measures prepared in accordance with GAAP. Our method of determining non-GAAP financial measures may differ from other companies’ methods and therefore may not be comparable to those used by other companies. The financial measure calculated under GAAP which is most directly comparable to Adjusted Debt to EBITDAR is debt to net earnings. The following is a reconciliation of the components of Adjusted Debt to EBITDAR and debt to net earnings: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460" w:type="dxa"/>
            <w:vAlign w:val="bottom"/>
            <w:tcBorders>
              <w:bottom w:val="single" w:sz="8" w:color="auto"/>
            </w:tcBorders>
          </w:tcPr>
          <w:p>
            <w:pPr>
              <w:spacing w:after="0"/>
              <w:rPr>
                <w:sz w:val="21"/>
                <w:szCs w:val="21"/>
                <w:color w:val="auto"/>
              </w:rPr>
            </w:pPr>
          </w:p>
        </w:tc>
        <w:tc>
          <w:tcPr>
            <w:tcW w:w="370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2016</w:t>
            </w:r>
            <w:r>
              <w:rPr>
                <w:rFonts w:ascii="Arial" w:cs="Arial" w:eastAsia="Arial" w:hAnsi="Arial"/>
                <w:sz w:val="21"/>
                <w:szCs w:val="21"/>
                <w:color w:val="auto"/>
                <w:vertAlign w:val="superscript"/>
              </w:rPr>
              <w:t>1</w:t>
            </w: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2015</w:t>
            </w:r>
            <w:r>
              <w:rPr>
                <w:rFonts w:ascii="Arial" w:cs="Arial" w:eastAsia="Arial" w:hAnsi="Arial"/>
                <w:sz w:val="21"/>
                <w:szCs w:val="21"/>
                <w:color w:val="auto"/>
                <w:vertAlign w:val="superscript"/>
              </w:rPr>
              <w:t>1</w:t>
            </w:r>
          </w:p>
        </w:tc>
      </w:tr>
      <w:tr>
        <w:trPr>
          <w:trHeight w:val="244"/>
        </w:trPr>
        <w:tc>
          <w:tcPr>
            <w:tcW w:w="6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Debt</w:t>
            </w:r>
          </w:p>
        </w:tc>
        <w:tc>
          <w:tcPr>
            <w:tcW w:w="3700" w:type="dxa"/>
            <w:vAlign w:val="bottom"/>
            <w:tcBorders>
              <w:bottom w:val="single" w:sz="8" w:color="CCEEFF"/>
            </w:tcBorders>
            <w:shd w:val="clear" w:color="auto" w:fill="CCEEFF"/>
          </w:tcPr>
          <w:p>
            <w:pPr>
              <w:jc w:val="right"/>
              <w:ind w:right="679"/>
              <w:spacing w:after="0"/>
              <w:rPr>
                <w:sz w:val="20"/>
                <w:szCs w:val="20"/>
                <w:color w:val="auto"/>
              </w:rPr>
            </w:pPr>
            <w:r>
              <w:rPr>
                <w:rFonts w:ascii="Arial" w:cs="Arial" w:eastAsia="Arial" w:hAnsi="Arial"/>
                <w:sz w:val="16"/>
                <w:szCs w:val="16"/>
                <w:b w:val="1"/>
                <w:bCs w:val="1"/>
                <w:color w:val="auto"/>
              </w:rPr>
              <w:t>$2,774</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$2,805</w:t>
            </w:r>
          </w:p>
        </w:tc>
      </w:tr>
      <w:tr>
        <w:trPr>
          <w:trHeight w:val="270"/>
        </w:trPr>
        <w:tc>
          <w:tcPr>
            <w:tcW w:w="6460" w:type="dxa"/>
            <w:vAlign w:val="bottom"/>
          </w:tcPr>
          <w:p>
            <w:pPr>
              <w:ind w:left="40"/>
              <w:spacing w:after="0"/>
              <w:rPr>
                <w:sz w:val="20"/>
                <w:szCs w:val="20"/>
                <w:color w:val="auto"/>
              </w:rPr>
            </w:pPr>
            <w:r>
              <w:rPr>
                <w:rFonts w:ascii="Arial" w:cs="Arial" w:eastAsia="Arial" w:hAnsi="Arial"/>
                <w:sz w:val="16"/>
                <w:szCs w:val="16"/>
                <w:color w:val="auto"/>
              </w:rPr>
              <w:t>Add: estimated capitalized operating lease liability</w:t>
            </w:r>
            <w:r>
              <w:rPr>
                <w:rFonts w:ascii="Arial" w:cs="Arial" w:eastAsia="Arial" w:hAnsi="Arial"/>
                <w:sz w:val="21"/>
                <w:szCs w:val="21"/>
                <w:color w:val="auto"/>
                <w:vertAlign w:val="superscript"/>
              </w:rPr>
              <w:t>2</w:t>
            </w:r>
          </w:p>
        </w:tc>
        <w:tc>
          <w:tcPr>
            <w:tcW w:w="3700" w:type="dxa"/>
            <w:vAlign w:val="bottom"/>
          </w:tcPr>
          <w:p>
            <w:pPr>
              <w:jc w:val="right"/>
              <w:ind w:right="679"/>
              <w:spacing w:after="0"/>
              <w:rPr>
                <w:sz w:val="20"/>
                <w:szCs w:val="20"/>
                <w:color w:val="auto"/>
              </w:rPr>
            </w:pPr>
            <w:r>
              <w:rPr>
                <w:rFonts w:ascii="Arial" w:cs="Arial" w:eastAsia="Arial" w:hAnsi="Arial"/>
                <w:sz w:val="16"/>
                <w:szCs w:val="16"/>
                <w:b w:val="1"/>
                <w:bCs w:val="1"/>
                <w:color w:val="auto"/>
              </w:rPr>
              <w:t>1,616</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1,405</w:t>
            </w:r>
          </w:p>
        </w:tc>
      </w:tr>
      <w:tr>
        <w:trPr>
          <w:trHeight w:val="275"/>
        </w:trPr>
        <w:tc>
          <w:tcPr>
            <w:tcW w:w="6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fair value hedge adjustment included in long-term debt</w:t>
            </w:r>
          </w:p>
        </w:tc>
        <w:tc>
          <w:tcPr>
            <w:tcW w:w="3700" w:type="dxa"/>
            <w:vAlign w:val="bottom"/>
            <w:tcBorders>
              <w:bottom w:val="single" w:sz="8" w:color="CCEEFF"/>
            </w:tcBorders>
            <w:shd w:val="clear" w:color="auto" w:fill="CCEEFF"/>
          </w:tcPr>
          <w:p>
            <w:pPr>
              <w:jc w:val="right"/>
              <w:ind w:right="639"/>
              <w:spacing w:after="0"/>
              <w:rPr>
                <w:sz w:val="20"/>
                <w:szCs w:val="20"/>
                <w:color w:val="auto"/>
              </w:rPr>
            </w:pPr>
            <w:r>
              <w:rPr>
                <w:rFonts w:ascii="Arial" w:cs="Arial" w:eastAsia="Arial" w:hAnsi="Arial"/>
                <w:sz w:val="16"/>
                <w:szCs w:val="16"/>
                <w:b w:val="1"/>
                <w:bCs w:val="1"/>
                <w:color w:val="auto"/>
              </w:rPr>
              <w:t>(12)</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w:t>
            </w:r>
          </w:p>
        </w:tc>
      </w:tr>
      <w:tr>
        <w:trPr>
          <w:trHeight w:val="231"/>
        </w:trPr>
        <w:tc>
          <w:tcPr>
            <w:tcW w:w="646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Adjusted Debt</w:t>
            </w:r>
          </w:p>
        </w:tc>
        <w:tc>
          <w:tcPr>
            <w:tcW w:w="3700" w:type="dxa"/>
            <w:vAlign w:val="bottom"/>
            <w:tcBorders>
              <w:top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$4,378</w:t>
            </w: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$4,186</w:t>
            </w:r>
          </w:p>
        </w:tc>
      </w:tr>
      <w:tr>
        <w:trPr>
          <w:trHeight w:val="33"/>
        </w:trPr>
        <w:tc>
          <w:tcPr>
            <w:tcW w:w="6460" w:type="dxa"/>
            <w:vAlign w:val="bottom"/>
            <w:tcBorders>
              <w:bottom w:val="single" w:sz="8" w:color="auto"/>
            </w:tcBorders>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91"/>
        </w:trPr>
        <w:tc>
          <w:tcPr>
            <w:tcW w:w="6460" w:type="dxa"/>
            <w:vAlign w:val="bottom"/>
            <w:shd w:val="clear" w:color="auto" w:fill="CCEEFF"/>
          </w:tcPr>
          <w:p>
            <w:pPr>
              <w:spacing w:after="0"/>
              <w:rPr>
                <w:sz w:val="24"/>
                <w:szCs w:val="24"/>
                <w:color w:val="auto"/>
              </w:rPr>
            </w:pPr>
          </w:p>
        </w:tc>
        <w:tc>
          <w:tcPr>
            <w:tcW w:w="37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237"/>
        </w:trPr>
        <w:tc>
          <w:tcPr>
            <w:tcW w:w="6460" w:type="dxa"/>
            <w:vAlign w:val="bottom"/>
          </w:tcPr>
          <w:p>
            <w:pPr>
              <w:ind w:left="40"/>
              <w:spacing w:after="0"/>
              <w:rPr>
                <w:sz w:val="20"/>
                <w:szCs w:val="20"/>
                <w:color w:val="auto"/>
              </w:rPr>
            </w:pPr>
            <w:r>
              <w:rPr>
                <w:rFonts w:ascii="Arial" w:cs="Arial" w:eastAsia="Arial" w:hAnsi="Arial"/>
                <w:sz w:val="16"/>
                <w:szCs w:val="16"/>
                <w:b w:val="1"/>
                <w:bCs w:val="1"/>
                <w:color w:val="auto"/>
              </w:rPr>
              <w:t>Net earnings</w:t>
            </w:r>
          </w:p>
        </w:tc>
        <w:tc>
          <w:tcPr>
            <w:tcW w:w="3700" w:type="dxa"/>
            <w:vAlign w:val="bottom"/>
          </w:tcPr>
          <w:p>
            <w:pPr>
              <w:jc w:val="right"/>
              <w:ind w:right="679"/>
              <w:spacing w:after="0"/>
              <w:rPr>
                <w:sz w:val="20"/>
                <w:szCs w:val="20"/>
                <w:color w:val="auto"/>
              </w:rPr>
            </w:pPr>
            <w:r>
              <w:rPr>
                <w:rFonts w:ascii="Arial" w:cs="Arial" w:eastAsia="Arial" w:hAnsi="Arial"/>
                <w:sz w:val="16"/>
                <w:szCs w:val="16"/>
                <w:b w:val="1"/>
                <w:bCs w:val="1"/>
                <w:color w:val="auto"/>
              </w:rPr>
              <w:t>354</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600</w:t>
            </w:r>
          </w:p>
        </w:tc>
      </w:tr>
      <w:tr>
        <w:trPr>
          <w:trHeight w:val="33"/>
        </w:trPr>
        <w:tc>
          <w:tcPr>
            <w:tcW w:w="6460" w:type="dxa"/>
            <w:vAlign w:val="bottom"/>
          </w:tcPr>
          <w:p>
            <w:pPr>
              <w:spacing w:after="0"/>
              <w:rPr>
                <w:sz w:val="2"/>
                <w:szCs w:val="2"/>
                <w:color w:val="auto"/>
              </w:rPr>
            </w:pPr>
          </w:p>
        </w:tc>
        <w:tc>
          <w:tcPr>
            <w:tcW w:w="37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income tax expense</w:t>
            </w:r>
          </w:p>
        </w:tc>
        <w:tc>
          <w:tcPr>
            <w:tcW w:w="3700" w:type="dxa"/>
            <w:vAlign w:val="bottom"/>
            <w:tcBorders>
              <w:bottom w:val="single" w:sz="8" w:color="CCEEFF"/>
            </w:tcBorders>
            <w:shd w:val="clear" w:color="auto" w:fill="CCEEFF"/>
          </w:tcPr>
          <w:p>
            <w:pPr>
              <w:jc w:val="right"/>
              <w:ind w:right="679"/>
              <w:spacing w:after="0"/>
              <w:rPr>
                <w:sz w:val="20"/>
                <w:szCs w:val="20"/>
                <w:color w:val="auto"/>
              </w:rPr>
            </w:pPr>
            <w:r>
              <w:rPr>
                <w:rFonts w:ascii="Arial" w:cs="Arial" w:eastAsia="Arial" w:hAnsi="Arial"/>
                <w:sz w:val="16"/>
                <w:szCs w:val="16"/>
                <w:b w:val="1"/>
                <w:bCs w:val="1"/>
                <w:color w:val="auto"/>
              </w:rPr>
              <w:t>330</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376</w:t>
            </w:r>
          </w:p>
        </w:tc>
      </w:tr>
      <w:tr>
        <w:trPr>
          <w:trHeight w:val="237"/>
        </w:trPr>
        <w:tc>
          <w:tcPr>
            <w:tcW w:w="6460" w:type="dxa"/>
            <w:vAlign w:val="bottom"/>
          </w:tcPr>
          <w:p>
            <w:pPr>
              <w:ind w:left="40"/>
              <w:spacing w:after="0"/>
              <w:rPr>
                <w:sz w:val="20"/>
                <w:szCs w:val="20"/>
                <w:color w:val="auto"/>
              </w:rPr>
            </w:pPr>
            <w:r>
              <w:rPr>
                <w:rFonts w:ascii="Arial" w:cs="Arial" w:eastAsia="Arial" w:hAnsi="Arial"/>
                <w:sz w:val="16"/>
                <w:szCs w:val="16"/>
                <w:color w:val="auto"/>
              </w:rPr>
              <w:t>Add: interest expense, net</w:t>
            </w:r>
          </w:p>
        </w:tc>
        <w:tc>
          <w:tcPr>
            <w:tcW w:w="3700" w:type="dxa"/>
            <w:vAlign w:val="bottom"/>
          </w:tcPr>
          <w:p>
            <w:pPr>
              <w:jc w:val="right"/>
              <w:ind w:right="679"/>
              <w:spacing w:after="0"/>
              <w:rPr>
                <w:sz w:val="20"/>
                <w:szCs w:val="20"/>
                <w:color w:val="auto"/>
              </w:rPr>
            </w:pPr>
            <w:r>
              <w:rPr>
                <w:rFonts w:ascii="Arial" w:cs="Arial" w:eastAsia="Arial" w:hAnsi="Arial"/>
                <w:sz w:val="16"/>
                <w:szCs w:val="16"/>
                <w:b w:val="1"/>
                <w:bCs w:val="1"/>
                <w:color w:val="auto"/>
              </w:rPr>
              <w:t>121</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125</w:t>
            </w:r>
          </w:p>
        </w:tc>
      </w:tr>
      <w:tr>
        <w:trPr>
          <w:trHeight w:val="33"/>
        </w:trPr>
        <w:tc>
          <w:tcPr>
            <w:tcW w:w="6460" w:type="dxa"/>
            <w:vAlign w:val="bottom"/>
            <w:tcBorders>
              <w:bottom w:val="single" w:sz="8" w:color="auto"/>
            </w:tcBorders>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6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Earnings before interest and income taxes</w:t>
            </w:r>
          </w:p>
        </w:tc>
        <w:tc>
          <w:tcPr>
            <w:tcW w:w="3700" w:type="dxa"/>
            <w:vAlign w:val="bottom"/>
            <w:tcBorders>
              <w:bottom w:val="single" w:sz="8" w:color="CCEEFF"/>
            </w:tcBorders>
            <w:shd w:val="clear" w:color="auto" w:fill="CCEEFF"/>
          </w:tcPr>
          <w:p>
            <w:pPr>
              <w:jc w:val="right"/>
              <w:ind w:right="679"/>
              <w:spacing w:after="0"/>
              <w:rPr>
                <w:sz w:val="20"/>
                <w:szCs w:val="20"/>
                <w:color w:val="auto"/>
              </w:rPr>
            </w:pPr>
            <w:r>
              <w:rPr>
                <w:rFonts w:ascii="Arial" w:cs="Arial" w:eastAsia="Arial" w:hAnsi="Arial"/>
                <w:sz w:val="16"/>
                <w:szCs w:val="16"/>
                <w:b w:val="1"/>
                <w:bCs w:val="1"/>
                <w:color w:val="auto"/>
              </w:rPr>
              <w:t>805</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1,101</w:t>
            </w:r>
          </w:p>
        </w:tc>
      </w:tr>
      <w:tr>
        <w:trPr>
          <w:trHeight w:val="297"/>
        </w:trPr>
        <w:tc>
          <w:tcPr>
            <w:tcW w:w="64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50"/>
        </w:trPr>
        <w:tc>
          <w:tcPr>
            <w:tcW w:w="6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depreciation and amortization expenses</w:t>
            </w:r>
          </w:p>
        </w:tc>
        <w:tc>
          <w:tcPr>
            <w:tcW w:w="3700" w:type="dxa"/>
            <w:vAlign w:val="bottom"/>
            <w:tcBorders>
              <w:bottom w:val="single" w:sz="8" w:color="CCEEFF"/>
            </w:tcBorders>
            <w:shd w:val="clear" w:color="auto" w:fill="CCEEFF"/>
          </w:tcPr>
          <w:p>
            <w:pPr>
              <w:jc w:val="right"/>
              <w:ind w:right="679"/>
              <w:spacing w:after="0"/>
              <w:rPr>
                <w:sz w:val="20"/>
                <w:szCs w:val="20"/>
                <w:color w:val="auto"/>
              </w:rPr>
            </w:pPr>
            <w:r>
              <w:rPr>
                <w:rFonts w:ascii="Arial" w:cs="Arial" w:eastAsia="Arial" w:hAnsi="Arial"/>
                <w:sz w:val="16"/>
                <w:szCs w:val="16"/>
                <w:b w:val="1"/>
                <w:bCs w:val="1"/>
                <w:color w:val="auto"/>
              </w:rPr>
              <w:t>645</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576</w:t>
            </w:r>
          </w:p>
        </w:tc>
      </w:tr>
      <w:tr>
        <w:trPr>
          <w:trHeight w:val="237"/>
        </w:trPr>
        <w:tc>
          <w:tcPr>
            <w:tcW w:w="6460" w:type="dxa"/>
            <w:vAlign w:val="bottom"/>
          </w:tcPr>
          <w:p>
            <w:pPr>
              <w:ind w:left="40"/>
              <w:spacing w:after="0"/>
              <w:rPr>
                <w:sz w:val="20"/>
                <w:szCs w:val="20"/>
                <w:color w:val="auto"/>
              </w:rPr>
            </w:pPr>
            <w:r>
              <w:rPr>
                <w:rFonts w:ascii="Arial" w:cs="Arial" w:eastAsia="Arial" w:hAnsi="Arial"/>
                <w:sz w:val="16"/>
                <w:szCs w:val="16"/>
                <w:color w:val="auto"/>
              </w:rPr>
              <w:t>Add: rent expense</w:t>
            </w:r>
          </w:p>
        </w:tc>
        <w:tc>
          <w:tcPr>
            <w:tcW w:w="3700" w:type="dxa"/>
            <w:vAlign w:val="bottom"/>
          </w:tcPr>
          <w:p>
            <w:pPr>
              <w:jc w:val="right"/>
              <w:ind w:right="679"/>
              <w:spacing w:after="0"/>
              <w:rPr>
                <w:sz w:val="20"/>
                <w:szCs w:val="20"/>
                <w:color w:val="auto"/>
              </w:rPr>
            </w:pPr>
            <w:r>
              <w:rPr>
                <w:rFonts w:ascii="Arial" w:cs="Arial" w:eastAsia="Arial" w:hAnsi="Arial"/>
                <w:sz w:val="16"/>
                <w:szCs w:val="16"/>
                <w:b w:val="1"/>
                <w:bCs w:val="1"/>
                <w:color w:val="auto"/>
              </w:rPr>
              <w:t>202</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176</w:t>
            </w:r>
          </w:p>
        </w:tc>
      </w:tr>
      <w:tr>
        <w:trPr>
          <w:trHeight w:val="33"/>
        </w:trPr>
        <w:tc>
          <w:tcPr>
            <w:tcW w:w="6460" w:type="dxa"/>
            <w:vAlign w:val="bottom"/>
          </w:tcPr>
          <w:p>
            <w:pPr>
              <w:spacing w:after="0"/>
              <w:rPr>
                <w:sz w:val="2"/>
                <w:szCs w:val="2"/>
                <w:color w:val="auto"/>
              </w:rPr>
            </w:pPr>
          </w:p>
        </w:tc>
        <w:tc>
          <w:tcPr>
            <w:tcW w:w="37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64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Add: non-cash acquisition-related charges</w:t>
            </w:r>
            <w:r>
              <w:rPr>
                <w:rFonts w:ascii="Arial" w:cs="Arial" w:eastAsia="Arial" w:hAnsi="Arial"/>
                <w:sz w:val="21"/>
                <w:szCs w:val="21"/>
                <w:color w:val="auto"/>
                <w:vertAlign w:val="superscript"/>
              </w:rPr>
              <w:t>3</w:t>
            </w:r>
          </w:p>
        </w:tc>
        <w:tc>
          <w:tcPr>
            <w:tcW w:w="3700" w:type="dxa"/>
            <w:vAlign w:val="bottom"/>
            <w:tcBorders>
              <w:bottom w:val="single" w:sz="8" w:color="auto"/>
            </w:tcBorders>
            <w:shd w:val="clear" w:color="auto" w:fill="CCEEFF"/>
          </w:tcPr>
          <w:p>
            <w:pPr>
              <w:jc w:val="right"/>
              <w:ind w:right="679"/>
              <w:spacing w:after="0"/>
              <w:rPr>
                <w:sz w:val="20"/>
                <w:szCs w:val="20"/>
                <w:color w:val="auto"/>
              </w:rPr>
            </w:pPr>
            <w:r>
              <w:rPr>
                <w:rFonts w:ascii="Arial" w:cs="Arial" w:eastAsia="Arial" w:hAnsi="Arial"/>
                <w:sz w:val="16"/>
                <w:szCs w:val="16"/>
                <w:b w:val="1"/>
                <w:bCs w:val="1"/>
                <w:color w:val="auto"/>
              </w:rPr>
              <w:t>198</w:t>
            </w: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w:t>
            </w:r>
          </w:p>
        </w:tc>
      </w:tr>
      <w:tr>
        <w:trPr>
          <w:trHeight w:val="231"/>
        </w:trPr>
        <w:tc>
          <w:tcPr>
            <w:tcW w:w="6460" w:type="dxa"/>
            <w:vAlign w:val="bottom"/>
          </w:tcPr>
          <w:p>
            <w:pPr>
              <w:ind w:left="40"/>
              <w:spacing w:after="0"/>
              <w:rPr>
                <w:sz w:val="20"/>
                <w:szCs w:val="20"/>
                <w:color w:val="auto"/>
              </w:rPr>
            </w:pPr>
            <w:r>
              <w:rPr>
                <w:rFonts w:ascii="Arial" w:cs="Arial" w:eastAsia="Arial" w:hAnsi="Arial"/>
                <w:sz w:val="16"/>
                <w:szCs w:val="16"/>
                <w:b w:val="1"/>
                <w:bCs w:val="1"/>
                <w:color w:val="auto"/>
              </w:rPr>
              <w:t>EBITDAR</w:t>
            </w:r>
          </w:p>
        </w:tc>
        <w:tc>
          <w:tcPr>
            <w:tcW w:w="3700" w:type="dxa"/>
            <w:vAlign w:val="bottom"/>
          </w:tcPr>
          <w:p>
            <w:pPr>
              <w:jc w:val="right"/>
              <w:ind w:right="679"/>
              <w:spacing w:after="0"/>
              <w:rPr>
                <w:sz w:val="20"/>
                <w:szCs w:val="20"/>
                <w:color w:val="auto"/>
              </w:rPr>
            </w:pPr>
            <w:r>
              <w:rPr>
                <w:rFonts w:ascii="Arial" w:cs="Arial" w:eastAsia="Arial" w:hAnsi="Arial"/>
                <w:sz w:val="16"/>
                <w:szCs w:val="16"/>
                <w:b w:val="1"/>
                <w:bCs w:val="1"/>
                <w:color w:val="auto"/>
              </w:rPr>
              <w:t>$1,850</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$1,862</w:t>
            </w:r>
          </w:p>
        </w:tc>
      </w:tr>
      <w:tr>
        <w:trPr>
          <w:trHeight w:val="33"/>
        </w:trPr>
        <w:tc>
          <w:tcPr>
            <w:tcW w:w="6460" w:type="dxa"/>
            <w:vAlign w:val="bottom"/>
            <w:tcBorders>
              <w:bottom w:val="single" w:sz="8" w:color="auto"/>
            </w:tcBorders>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91"/>
        </w:trPr>
        <w:tc>
          <w:tcPr>
            <w:tcW w:w="6460" w:type="dxa"/>
            <w:vAlign w:val="bottom"/>
            <w:shd w:val="clear" w:color="auto" w:fill="CCEEFF"/>
          </w:tcPr>
          <w:p>
            <w:pPr>
              <w:spacing w:after="0"/>
              <w:rPr>
                <w:sz w:val="24"/>
                <w:szCs w:val="24"/>
                <w:color w:val="auto"/>
              </w:rPr>
            </w:pPr>
          </w:p>
        </w:tc>
        <w:tc>
          <w:tcPr>
            <w:tcW w:w="37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237"/>
        </w:trPr>
        <w:tc>
          <w:tcPr>
            <w:tcW w:w="6460" w:type="dxa"/>
            <w:vAlign w:val="bottom"/>
          </w:tcPr>
          <w:p>
            <w:pPr>
              <w:ind w:left="40"/>
              <w:spacing w:after="0"/>
              <w:rPr>
                <w:sz w:val="20"/>
                <w:szCs w:val="20"/>
                <w:color w:val="auto"/>
              </w:rPr>
            </w:pPr>
            <w:r>
              <w:rPr>
                <w:rFonts w:ascii="Arial" w:cs="Arial" w:eastAsia="Arial" w:hAnsi="Arial"/>
                <w:sz w:val="16"/>
                <w:szCs w:val="16"/>
                <w:b w:val="1"/>
                <w:bCs w:val="1"/>
                <w:color w:val="auto"/>
              </w:rPr>
              <w:t>Debt to Net Earnings</w:t>
            </w:r>
          </w:p>
        </w:tc>
        <w:tc>
          <w:tcPr>
            <w:tcW w:w="3700" w:type="dxa"/>
            <w:vAlign w:val="bottom"/>
          </w:tcPr>
          <w:p>
            <w:pPr>
              <w:jc w:val="right"/>
              <w:ind w:right="679"/>
              <w:spacing w:after="0"/>
              <w:rPr>
                <w:sz w:val="20"/>
                <w:szCs w:val="20"/>
                <w:color w:val="auto"/>
              </w:rPr>
            </w:pPr>
            <w:r>
              <w:rPr>
                <w:rFonts w:ascii="Arial" w:cs="Arial" w:eastAsia="Arial" w:hAnsi="Arial"/>
                <w:sz w:val="16"/>
                <w:szCs w:val="16"/>
                <w:b w:val="1"/>
                <w:bCs w:val="1"/>
                <w:color w:val="auto"/>
              </w:rPr>
              <w:t>7.8</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4.7</w:t>
            </w:r>
          </w:p>
        </w:tc>
      </w:tr>
      <w:tr>
        <w:trPr>
          <w:trHeight w:val="33"/>
        </w:trPr>
        <w:tc>
          <w:tcPr>
            <w:tcW w:w="6460" w:type="dxa"/>
            <w:vAlign w:val="bottom"/>
          </w:tcPr>
          <w:p>
            <w:pPr>
              <w:spacing w:after="0"/>
              <w:rPr>
                <w:sz w:val="2"/>
                <w:szCs w:val="2"/>
                <w:color w:val="auto"/>
              </w:rPr>
            </w:pPr>
          </w:p>
        </w:tc>
        <w:tc>
          <w:tcPr>
            <w:tcW w:w="37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7"/>
        </w:trPr>
        <w:tc>
          <w:tcPr>
            <w:tcW w:w="64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Adjusted Debt to EBITDAR</w:t>
            </w:r>
          </w:p>
        </w:tc>
        <w:tc>
          <w:tcPr>
            <w:tcW w:w="3700" w:type="dxa"/>
            <w:vAlign w:val="bottom"/>
            <w:shd w:val="clear" w:color="auto" w:fill="CCEEFF"/>
          </w:tcPr>
          <w:p>
            <w:pPr>
              <w:jc w:val="right"/>
              <w:ind w:right="679"/>
              <w:spacing w:after="0"/>
              <w:rPr>
                <w:sz w:val="20"/>
                <w:szCs w:val="20"/>
                <w:color w:val="auto"/>
              </w:rPr>
            </w:pPr>
            <w:r>
              <w:rPr>
                <w:rFonts w:ascii="Arial" w:cs="Arial" w:eastAsia="Arial" w:hAnsi="Arial"/>
                <w:sz w:val="16"/>
                <w:szCs w:val="16"/>
                <w:b w:val="1"/>
                <w:bCs w:val="1"/>
                <w:color w:val="auto"/>
              </w:rPr>
              <w:t>2.4</w:t>
            </w: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w:t>
            </w:r>
          </w:p>
        </w:tc>
      </w:tr>
      <w:tr>
        <w:trPr>
          <w:trHeight w:val="33"/>
        </w:trPr>
        <w:tc>
          <w:tcPr>
            <w:tcW w:w="6460" w:type="dxa"/>
            <w:vAlign w:val="bottom"/>
            <w:shd w:val="clear" w:color="auto" w:fill="CCEEFF"/>
          </w:tcPr>
          <w:p>
            <w:pPr>
              <w:spacing w:after="0"/>
              <w:rPr>
                <w:sz w:val="2"/>
                <w:szCs w:val="2"/>
                <w:color w:val="auto"/>
              </w:rPr>
            </w:pPr>
          </w:p>
        </w:tc>
        <w:tc>
          <w:tcPr>
            <w:tcW w:w="37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80" w:hanging="72"/>
        <w:spacing w:after="0"/>
        <w:tabs>
          <w:tab w:leader="none" w:pos="80" w:val="left"/>
        </w:tabs>
        <w:numPr>
          <w:ilvl w:val="0"/>
          <w:numId w:val="31"/>
        </w:numPr>
        <w:rPr>
          <w:rFonts w:ascii="Arial" w:cs="Arial" w:eastAsia="Arial" w:hAnsi="Arial"/>
          <w:sz w:val="8"/>
          <w:szCs w:val="8"/>
          <w:color w:val="auto"/>
        </w:rPr>
      </w:pPr>
      <w:r>
        <w:rPr>
          <w:rFonts w:ascii="Arial" w:cs="Arial" w:eastAsia="Arial" w:hAnsi="Arial"/>
          <w:sz w:val="13"/>
          <w:szCs w:val="13"/>
          <w:color w:val="auto"/>
        </w:rPr>
        <w:t>The components of Adjusted Debt are as of January 28, 2017 and January 30, 2016, while the components of EBITDAR are for the 12 months ended January 28, 2017 and January 30, 2016.</w:t>
      </w:r>
    </w:p>
    <w:p>
      <w:pPr>
        <w:spacing w:after="0" w:line="19" w:lineRule="exact"/>
        <w:rPr>
          <w:sz w:val="20"/>
          <w:szCs w:val="20"/>
          <w:color w:val="auto"/>
        </w:rPr>
      </w:pPr>
    </w:p>
    <w:p>
      <w:pPr>
        <w:ind w:left="80" w:hanging="72"/>
        <w:spacing w:after="0"/>
        <w:tabs>
          <w:tab w:leader="none" w:pos="80" w:val="left"/>
        </w:tabs>
        <w:numPr>
          <w:ilvl w:val="0"/>
          <w:numId w:val="32"/>
        </w:numPr>
        <w:rPr>
          <w:rFonts w:ascii="Arial" w:cs="Arial" w:eastAsia="Arial" w:hAnsi="Arial"/>
          <w:sz w:val="8"/>
          <w:szCs w:val="8"/>
          <w:color w:val="auto"/>
        </w:rPr>
      </w:pPr>
      <w:r>
        <w:rPr>
          <w:rFonts w:ascii="Arial" w:cs="Arial" w:eastAsia="Arial" w:hAnsi="Arial"/>
          <w:sz w:val="13"/>
          <w:szCs w:val="13"/>
          <w:color w:val="auto"/>
        </w:rPr>
        <w:t>Based upon the estimated lease liability as of the end of the period, calculated as the trailing 12 months of rent expense multiplied by eight. The multiple of eight times rent expense is a commonly</w:t>
      </w:r>
    </w:p>
    <w:p>
      <w:pPr>
        <w:spacing w:after="0" w:line="13" w:lineRule="exact"/>
        <w:rPr>
          <w:sz w:val="20"/>
          <w:szCs w:val="20"/>
          <w:color w:val="auto"/>
        </w:rPr>
      </w:pPr>
    </w:p>
    <w:p>
      <w:pPr>
        <w:ind w:left="80"/>
        <w:spacing w:after="0"/>
        <w:rPr>
          <w:sz w:val="20"/>
          <w:szCs w:val="20"/>
          <w:color w:val="auto"/>
        </w:rPr>
      </w:pPr>
      <w:r>
        <w:rPr>
          <w:rFonts w:ascii="Arial" w:cs="Arial" w:eastAsia="Arial" w:hAnsi="Arial"/>
          <w:sz w:val="14"/>
          <w:szCs w:val="14"/>
          <w:color w:val="auto"/>
        </w:rPr>
        <w:t>used method of estimating the debt we would record for our leases that are classified as operating if they had met the criteria for a capital lease or we had purchased the property.</w:t>
      </w:r>
    </w:p>
    <w:p>
      <w:pPr>
        <w:spacing w:after="0" w:line="1" w:lineRule="exact"/>
        <w:rPr>
          <w:sz w:val="20"/>
          <w:szCs w:val="20"/>
          <w:color w:val="auto"/>
        </w:rPr>
      </w:pPr>
    </w:p>
    <w:p>
      <w:pPr>
        <w:jc w:val="both"/>
        <w:ind w:left="80" w:right="120" w:hanging="72"/>
        <w:spacing w:after="0" w:line="248" w:lineRule="auto"/>
        <w:tabs>
          <w:tab w:leader="none" w:pos="66" w:val="left"/>
        </w:tabs>
        <w:numPr>
          <w:ilvl w:val="0"/>
          <w:numId w:val="33"/>
        </w:numPr>
        <w:rPr>
          <w:rFonts w:ascii="Arial" w:cs="Arial" w:eastAsia="Arial" w:hAnsi="Arial"/>
          <w:sz w:val="9"/>
          <w:szCs w:val="9"/>
          <w:color w:val="auto"/>
        </w:rPr>
      </w:pPr>
      <w:r>
        <w:rPr>
          <w:rFonts w:ascii="Arial" w:cs="Arial" w:eastAsia="Arial" w:hAnsi="Arial"/>
          <w:sz w:val="14"/>
          <w:szCs w:val="14"/>
          <w:color w:val="auto"/>
        </w:rPr>
        <w:t>Our revolver agreement stipulates that non-cash charges (including goodwill or other impairment charges) related to acquisitions be deducted in determining net earnings for purposes of our debt covenant calculation. As such, the Trunk Club goodwill impairment of $197 (see Note 8: Fair Value Measurements in Item 8) has been added back to arrive at EBITDAR for the 12 months ended January 28, 2017.</w:t>
      </w:r>
    </w:p>
    <w:p>
      <w:pPr>
        <w:spacing w:after="0" w:line="389" w:lineRule="exact"/>
        <w:rPr>
          <w:sz w:val="20"/>
          <w:szCs w:val="20"/>
          <w:color w:val="auto"/>
        </w:rPr>
      </w:pPr>
    </w:p>
    <w:p>
      <w:pPr>
        <w:jc w:val="right"/>
        <w:spacing w:after="0"/>
        <w:rPr>
          <w:sz w:val="20"/>
          <w:szCs w:val="20"/>
          <w:color w:val="auto"/>
        </w:rPr>
      </w:pPr>
      <w:r>
        <w:rPr>
          <w:rFonts w:ascii="Arial" w:cs="Arial" w:eastAsia="Arial" w:hAnsi="Arial"/>
          <w:sz w:val="13"/>
          <w:szCs w:val="13"/>
          <w:color w:val="auto"/>
        </w:rPr>
        <w:t xml:space="preserve">Nordstrom, Inc. and subsidiaries </w:t>
      </w:r>
      <w:r>
        <w:rPr>
          <w:rFonts w:ascii="Arial" w:cs="Arial" w:eastAsia="Arial" w:hAnsi="Arial"/>
          <w:sz w:val="16"/>
          <w:szCs w:val="16"/>
          <w:color w:val="auto"/>
        </w:rPr>
        <w:t>31</w:t>
      </w:r>
    </w:p>
    <w:p>
      <w:pPr>
        <w:sectPr>
          <w:pgSz w:w="11900" w:h="16838" w:orient="portrait"/>
          <w:cols w:equalWidth="0" w:num="1">
            <w:col w:w="11420"/>
          </w:cols>
          <w:pgMar w:left="240" w:top="126" w:right="239" w:bottom="1440" w:gutter="0" w:footer="0" w:header="0"/>
        </w:sectPr>
      </w:pPr>
    </w:p>
    <w:bookmarkStart w:id="31" w:name="page32"/>
    <w:bookmarkEnd w:id="31"/>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following table summarizes our contractual obligations and the expected effect on our liquidity and cash flows as of January 28, 2017. We expect to fund these commitments primarily with operating cash flows generated in the normal course of business and credit available to us under existing and potential future facilities.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88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700" w:type="dxa"/>
            <w:vAlign w:val="bottom"/>
          </w:tcPr>
          <w:p>
            <w:pPr>
              <w:jc w:val="right"/>
              <w:ind w:right="419"/>
              <w:spacing w:after="0"/>
              <w:rPr>
                <w:sz w:val="20"/>
                <w:szCs w:val="20"/>
                <w:color w:val="auto"/>
              </w:rPr>
            </w:pPr>
            <w:r>
              <w:rPr>
                <w:rFonts w:ascii="Arial" w:cs="Arial" w:eastAsia="Arial" w:hAnsi="Arial"/>
                <w:sz w:val="16"/>
                <w:szCs w:val="16"/>
                <w:b w:val="1"/>
                <w:bCs w:val="1"/>
                <w:color w:val="auto"/>
              </w:rPr>
              <w:t>Less than</w:t>
            </w:r>
          </w:p>
        </w:tc>
        <w:tc>
          <w:tcPr>
            <w:tcW w:w="17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b w:val="1"/>
                <w:bCs w:val="1"/>
                <w:color w:val="auto"/>
              </w:rPr>
              <w:t>More than</w:t>
            </w:r>
          </w:p>
        </w:tc>
      </w:tr>
      <w:tr>
        <w:trPr>
          <w:trHeight w:val="210"/>
        </w:trPr>
        <w:tc>
          <w:tcPr>
            <w:tcW w:w="2880" w:type="dxa"/>
            <w:vAlign w:val="bottom"/>
          </w:tcPr>
          <w:p>
            <w:pPr>
              <w:spacing w:after="0"/>
              <w:rPr>
                <w:sz w:val="18"/>
                <w:szCs w:val="18"/>
                <w:color w:val="auto"/>
              </w:rPr>
            </w:pPr>
          </w:p>
        </w:tc>
        <w:tc>
          <w:tcPr>
            <w:tcW w:w="2140" w:type="dxa"/>
            <w:vAlign w:val="bottom"/>
          </w:tcPr>
          <w:p>
            <w:pPr>
              <w:jc w:val="right"/>
              <w:ind w:right="459"/>
              <w:spacing w:after="0"/>
              <w:rPr>
                <w:sz w:val="20"/>
                <w:szCs w:val="20"/>
                <w:color w:val="auto"/>
              </w:rPr>
            </w:pPr>
            <w:r>
              <w:rPr>
                <w:rFonts w:ascii="Arial" w:cs="Arial" w:eastAsia="Arial" w:hAnsi="Arial"/>
                <w:sz w:val="16"/>
                <w:szCs w:val="16"/>
                <w:b w:val="1"/>
                <w:bCs w:val="1"/>
                <w:color w:val="auto"/>
              </w:rPr>
              <w:t>Total</w:t>
            </w:r>
          </w:p>
        </w:tc>
        <w:tc>
          <w:tcPr>
            <w:tcW w:w="1700" w:type="dxa"/>
            <w:vAlign w:val="bottom"/>
          </w:tcPr>
          <w:p>
            <w:pPr>
              <w:jc w:val="right"/>
              <w:ind w:right="419"/>
              <w:spacing w:after="0"/>
              <w:rPr>
                <w:sz w:val="20"/>
                <w:szCs w:val="20"/>
                <w:color w:val="auto"/>
              </w:rPr>
            </w:pPr>
            <w:r>
              <w:rPr>
                <w:rFonts w:ascii="Arial" w:cs="Arial" w:eastAsia="Arial" w:hAnsi="Arial"/>
                <w:sz w:val="16"/>
                <w:szCs w:val="16"/>
                <w:b w:val="1"/>
                <w:bCs w:val="1"/>
                <w:color w:val="auto"/>
              </w:rPr>
              <w:t>1 year</w:t>
            </w:r>
          </w:p>
        </w:tc>
        <w:tc>
          <w:tcPr>
            <w:tcW w:w="1700" w:type="dxa"/>
            <w:vAlign w:val="bottom"/>
          </w:tcPr>
          <w:p>
            <w:pPr>
              <w:jc w:val="right"/>
              <w:ind w:right="399"/>
              <w:spacing w:after="0"/>
              <w:rPr>
                <w:sz w:val="20"/>
                <w:szCs w:val="20"/>
                <w:color w:val="auto"/>
              </w:rPr>
            </w:pPr>
            <w:r>
              <w:rPr>
                <w:rFonts w:ascii="Arial" w:cs="Arial" w:eastAsia="Arial" w:hAnsi="Arial"/>
                <w:sz w:val="16"/>
                <w:szCs w:val="16"/>
                <w:b w:val="1"/>
                <w:bCs w:val="1"/>
                <w:color w:val="auto"/>
              </w:rPr>
              <w:t>1 – 3 years</w:t>
            </w:r>
          </w:p>
        </w:tc>
        <w:tc>
          <w:tcPr>
            <w:tcW w:w="1680" w:type="dxa"/>
            <w:vAlign w:val="bottom"/>
          </w:tcPr>
          <w:p>
            <w:pPr>
              <w:jc w:val="right"/>
              <w:ind w:right="399"/>
              <w:spacing w:after="0"/>
              <w:rPr>
                <w:sz w:val="20"/>
                <w:szCs w:val="20"/>
                <w:color w:val="auto"/>
              </w:rPr>
            </w:pPr>
            <w:r>
              <w:rPr>
                <w:rFonts w:ascii="Arial" w:cs="Arial" w:eastAsia="Arial" w:hAnsi="Arial"/>
                <w:sz w:val="16"/>
                <w:szCs w:val="16"/>
                <w:b w:val="1"/>
                <w:bCs w:val="1"/>
                <w:color w:val="auto"/>
              </w:rPr>
              <w:t>3 – 5 years</w:t>
            </w:r>
          </w:p>
        </w:tc>
        <w:tc>
          <w:tcPr>
            <w:tcW w:w="1320" w:type="dxa"/>
            <w:vAlign w:val="bottom"/>
          </w:tcPr>
          <w:p>
            <w:pPr>
              <w:jc w:val="right"/>
              <w:ind w:right="19"/>
              <w:spacing w:after="0"/>
              <w:rPr>
                <w:sz w:val="20"/>
                <w:szCs w:val="20"/>
                <w:color w:val="auto"/>
              </w:rPr>
            </w:pPr>
            <w:r>
              <w:rPr>
                <w:rFonts w:ascii="Arial" w:cs="Arial" w:eastAsia="Arial" w:hAnsi="Arial"/>
                <w:sz w:val="16"/>
                <w:szCs w:val="16"/>
                <w:b w:val="1"/>
                <w:bCs w:val="1"/>
                <w:color w:val="auto"/>
              </w:rPr>
              <w:t>5 years</w:t>
            </w:r>
          </w:p>
        </w:tc>
      </w:tr>
      <w:tr>
        <w:trPr>
          <w:trHeight w:val="33"/>
        </w:trPr>
        <w:tc>
          <w:tcPr>
            <w:tcW w:w="288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debt</w:t>
            </w:r>
          </w:p>
        </w:tc>
        <w:tc>
          <w:tcPr>
            <w:tcW w:w="2140" w:type="dxa"/>
            <w:vAlign w:val="bottom"/>
            <w:tcBorders>
              <w:bottom w:val="single" w:sz="8" w:color="CCEEFF"/>
            </w:tcBorders>
            <w:shd w:val="clear" w:color="auto" w:fill="CCEEFF"/>
          </w:tcPr>
          <w:p>
            <w:pPr>
              <w:jc w:val="right"/>
              <w:ind w:right="459"/>
              <w:spacing w:after="0"/>
              <w:rPr>
                <w:sz w:val="20"/>
                <w:szCs w:val="20"/>
                <w:color w:val="auto"/>
              </w:rPr>
            </w:pPr>
            <w:r>
              <w:rPr>
                <w:rFonts w:ascii="Arial" w:cs="Arial" w:eastAsia="Arial" w:hAnsi="Arial"/>
                <w:sz w:val="16"/>
                <w:szCs w:val="16"/>
                <w:b w:val="1"/>
                <w:bCs w:val="1"/>
                <w:color w:val="auto"/>
              </w:rPr>
              <w:t>$4,409</w:t>
            </w:r>
          </w:p>
        </w:tc>
        <w:tc>
          <w:tcPr>
            <w:tcW w:w="170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color w:val="auto"/>
              </w:rPr>
              <w:t>$162</w:t>
            </w:r>
          </w:p>
        </w:tc>
        <w:tc>
          <w:tcPr>
            <w:tcW w:w="1700" w:type="dxa"/>
            <w:vAlign w:val="bottom"/>
            <w:tcBorders>
              <w:bottom w:val="single" w:sz="8" w:color="CCEEFF"/>
            </w:tcBorders>
            <w:shd w:val="clear" w:color="auto" w:fill="CCEEFF"/>
          </w:tcPr>
          <w:p>
            <w:pPr>
              <w:jc w:val="right"/>
              <w:ind w:right="399"/>
              <w:spacing w:after="0"/>
              <w:rPr>
                <w:sz w:val="20"/>
                <w:szCs w:val="20"/>
                <w:color w:val="auto"/>
              </w:rPr>
            </w:pPr>
            <w:r>
              <w:rPr>
                <w:rFonts w:ascii="Arial" w:cs="Arial" w:eastAsia="Arial" w:hAnsi="Arial"/>
                <w:sz w:val="16"/>
                <w:szCs w:val="16"/>
                <w:color w:val="auto"/>
              </w:rPr>
              <w:t>$285</w:t>
            </w:r>
          </w:p>
        </w:tc>
        <w:tc>
          <w:tcPr>
            <w:tcW w:w="1680" w:type="dxa"/>
            <w:vAlign w:val="bottom"/>
            <w:tcBorders>
              <w:bottom w:val="single" w:sz="8" w:color="CCEEFF"/>
            </w:tcBorders>
            <w:shd w:val="clear" w:color="auto" w:fill="CCEEFF"/>
          </w:tcPr>
          <w:p>
            <w:pPr>
              <w:jc w:val="right"/>
              <w:ind w:right="399"/>
              <w:spacing w:after="0"/>
              <w:rPr>
                <w:sz w:val="20"/>
                <w:szCs w:val="20"/>
                <w:color w:val="auto"/>
              </w:rPr>
            </w:pPr>
            <w:r>
              <w:rPr>
                <w:rFonts w:ascii="Arial" w:cs="Arial" w:eastAsia="Arial" w:hAnsi="Arial"/>
                <w:sz w:val="16"/>
                <w:szCs w:val="16"/>
                <w:color w:val="auto"/>
              </w:rPr>
              <w:t>$1,172</w:t>
            </w: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$2,790</w:t>
            </w:r>
          </w:p>
        </w:tc>
      </w:tr>
      <w:tr>
        <w:trPr>
          <w:trHeight w:val="237"/>
        </w:trPr>
        <w:tc>
          <w:tcPr>
            <w:tcW w:w="2880" w:type="dxa"/>
            <w:vAlign w:val="bottom"/>
          </w:tcPr>
          <w:p>
            <w:pPr>
              <w:ind w:left="40"/>
              <w:spacing w:after="0"/>
              <w:rPr>
                <w:sz w:val="20"/>
                <w:szCs w:val="20"/>
                <w:color w:val="auto"/>
              </w:rPr>
            </w:pPr>
            <w:r>
              <w:rPr>
                <w:rFonts w:ascii="Arial" w:cs="Arial" w:eastAsia="Arial" w:hAnsi="Arial"/>
                <w:sz w:val="16"/>
                <w:szCs w:val="16"/>
                <w:color w:val="auto"/>
              </w:rPr>
              <w:t>Capital lease obligations</w:t>
            </w:r>
          </w:p>
        </w:tc>
        <w:tc>
          <w:tcPr>
            <w:tcW w:w="2140" w:type="dxa"/>
            <w:vAlign w:val="bottom"/>
          </w:tcPr>
          <w:p>
            <w:pPr>
              <w:jc w:val="right"/>
              <w:ind w:right="459"/>
              <w:spacing w:after="0"/>
              <w:rPr>
                <w:sz w:val="20"/>
                <w:szCs w:val="20"/>
                <w:color w:val="auto"/>
              </w:rPr>
            </w:pPr>
            <w:r>
              <w:rPr>
                <w:rFonts w:ascii="Arial" w:cs="Arial" w:eastAsia="Arial" w:hAnsi="Arial"/>
                <w:sz w:val="16"/>
                <w:szCs w:val="16"/>
                <w:b w:val="1"/>
                <w:bCs w:val="1"/>
                <w:color w:val="auto"/>
              </w:rPr>
              <w:t>2</w:t>
            </w:r>
          </w:p>
        </w:tc>
        <w:tc>
          <w:tcPr>
            <w:tcW w:w="1700" w:type="dxa"/>
            <w:vAlign w:val="bottom"/>
          </w:tcPr>
          <w:p>
            <w:pPr>
              <w:jc w:val="right"/>
              <w:ind w:right="419"/>
              <w:spacing w:after="0"/>
              <w:rPr>
                <w:sz w:val="20"/>
                <w:szCs w:val="20"/>
                <w:color w:val="auto"/>
              </w:rPr>
            </w:pPr>
            <w:r>
              <w:rPr>
                <w:rFonts w:ascii="Arial" w:cs="Arial" w:eastAsia="Arial" w:hAnsi="Arial"/>
                <w:sz w:val="16"/>
                <w:szCs w:val="16"/>
                <w:color w:val="auto"/>
              </w:rPr>
              <w:t>1</w:t>
            </w:r>
          </w:p>
        </w:tc>
        <w:tc>
          <w:tcPr>
            <w:tcW w:w="1700" w:type="dxa"/>
            <w:vAlign w:val="bottom"/>
          </w:tcPr>
          <w:p>
            <w:pPr>
              <w:jc w:val="right"/>
              <w:ind w:right="399"/>
              <w:spacing w:after="0"/>
              <w:rPr>
                <w:sz w:val="20"/>
                <w:szCs w:val="20"/>
                <w:color w:val="auto"/>
              </w:rPr>
            </w:pPr>
            <w:r>
              <w:rPr>
                <w:rFonts w:ascii="Arial" w:cs="Arial" w:eastAsia="Arial" w:hAnsi="Arial"/>
                <w:sz w:val="16"/>
                <w:szCs w:val="16"/>
                <w:color w:val="auto"/>
              </w:rPr>
              <w:t>1</w:t>
            </w:r>
          </w:p>
        </w:tc>
        <w:tc>
          <w:tcPr>
            <w:tcW w:w="168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288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leases</w:t>
            </w:r>
          </w:p>
        </w:tc>
        <w:tc>
          <w:tcPr>
            <w:tcW w:w="2140" w:type="dxa"/>
            <w:vAlign w:val="bottom"/>
            <w:tcBorders>
              <w:bottom w:val="single" w:sz="8" w:color="CCEEFF"/>
            </w:tcBorders>
            <w:shd w:val="clear" w:color="auto" w:fill="CCEEFF"/>
          </w:tcPr>
          <w:p>
            <w:pPr>
              <w:jc w:val="right"/>
              <w:ind w:right="459"/>
              <w:spacing w:after="0"/>
              <w:rPr>
                <w:sz w:val="20"/>
                <w:szCs w:val="20"/>
                <w:color w:val="auto"/>
              </w:rPr>
            </w:pPr>
            <w:r>
              <w:rPr>
                <w:rFonts w:ascii="Arial" w:cs="Arial" w:eastAsia="Arial" w:hAnsi="Arial"/>
                <w:sz w:val="16"/>
                <w:szCs w:val="16"/>
                <w:b w:val="1"/>
                <w:bCs w:val="1"/>
                <w:color w:val="auto"/>
              </w:rPr>
              <w:t>2,849</w:t>
            </w:r>
          </w:p>
        </w:tc>
        <w:tc>
          <w:tcPr>
            <w:tcW w:w="170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color w:val="auto"/>
              </w:rPr>
              <w:t>277</w:t>
            </w:r>
          </w:p>
        </w:tc>
        <w:tc>
          <w:tcPr>
            <w:tcW w:w="1700" w:type="dxa"/>
            <w:vAlign w:val="bottom"/>
            <w:tcBorders>
              <w:bottom w:val="single" w:sz="8" w:color="CCEEFF"/>
            </w:tcBorders>
            <w:shd w:val="clear" w:color="auto" w:fill="CCEEFF"/>
          </w:tcPr>
          <w:p>
            <w:pPr>
              <w:jc w:val="right"/>
              <w:ind w:right="399"/>
              <w:spacing w:after="0"/>
              <w:rPr>
                <w:sz w:val="20"/>
                <w:szCs w:val="20"/>
                <w:color w:val="auto"/>
              </w:rPr>
            </w:pPr>
            <w:r>
              <w:rPr>
                <w:rFonts w:ascii="Arial" w:cs="Arial" w:eastAsia="Arial" w:hAnsi="Arial"/>
                <w:sz w:val="16"/>
                <w:szCs w:val="16"/>
                <w:color w:val="auto"/>
              </w:rPr>
              <w:t>601</w:t>
            </w:r>
          </w:p>
        </w:tc>
        <w:tc>
          <w:tcPr>
            <w:tcW w:w="1680" w:type="dxa"/>
            <w:vAlign w:val="bottom"/>
            <w:tcBorders>
              <w:bottom w:val="single" w:sz="8" w:color="CCEEFF"/>
            </w:tcBorders>
            <w:shd w:val="clear" w:color="auto" w:fill="CCEEFF"/>
          </w:tcPr>
          <w:p>
            <w:pPr>
              <w:jc w:val="right"/>
              <w:ind w:right="399"/>
              <w:spacing w:after="0"/>
              <w:rPr>
                <w:sz w:val="20"/>
                <w:szCs w:val="20"/>
                <w:color w:val="auto"/>
              </w:rPr>
            </w:pPr>
            <w:r>
              <w:rPr>
                <w:rFonts w:ascii="Arial" w:cs="Arial" w:eastAsia="Arial" w:hAnsi="Arial"/>
                <w:sz w:val="16"/>
                <w:szCs w:val="16"/>
                <w:color w:val="auto"/>
              </w:rPr>
              <w:t>536</w:t>
            </w: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1,435</w:t>
            </w:r>
          </w:p>
        </w:tc>
      </w:tr>
      <w:tr>
        <w:trPr>
          <w:trHeight w:val="237"/>
        </w:trPr>
        <w:tc>
          <w:tcPr>
            <w:tcW w:w="2880" w:type="dxa"/>
            <w:vAlign w:val="bottom"/>
          </w:tcPr>
          <w:p>
            <w:pPr>
              <w:ind w:left="40"/>
              <w:spacing w:after="0"/>
              <w:rPr>
                <w:sz w:val="20"/>
                <w:szCs w:val="20"/>
                <w:color w:val="auto"/>
              </w:rPr>
            </w:pPr>
            <w:r>
              <w:rPr>
                <w:rFonts w:ascii="Arial" w:cs="Arial" w:eastAsia="Arial" w:hAnsi="Arial"/>
                <w:sz w:val="16"/>
                <w:szCs w:val="16"/>
                <w:color w:val="auto"/>
              </w:rPr>
              <w:t>Purchase obligations</w:t>
            </w:r>
          </w:p>
        </w:tc>
        <w:tc>
          <w:tcPr>
            <w:tcW w:w="2140" w:type="dxa"/>
            <w:vAlign w:val="bottom"/>
          </w:tcPr>
          <w:p>
            <w:pPr>
              <w:jc w:val="right"/>
              <w:ind w:right="459"/>
              <w:spacing w:after="0"/>
              <w:rPr>
                <w:sz w:val="20"/>
                <w:szCs w:val="20"/>
                <w:color w:val="auto"/>
              </w:rPr>
            </w:pPr>
            <w:r>
              <w:rPr>
                <w:rFonts w:ascii="Arial" w:cs="Arial" w:eastAsia="Arial" w:hAnsi="Arial"/>
                <w:sz w:val="16"/>
                <w:szCs w:val="16"/>
                <w:b w:val="1"/>
                <w:bCs w:val="1"/>
                <w:color w:val="auto"/>
              </w:rPr>
              <w:t>1,661</w:t>
            </w:r>
          </w:p>
        </w:tc>
        <w:tc>
          <w:tcPr>
            <w:tcW w:w="1700" w:type="dxa"/>
            <w:vAlign w:val="bottom"/>
          </w:tcPr>
          <w:p>
            <w:pPr>
              <w:jc w:val="right"/>
              <w:ind w:right="419"/>
              <w:spacing w:after="0"/>
              <w:rPr>
                <w:sz w:val="20"/>
                <w:szCs w:val="20"/>
                <w:color w:val="auto"/>
              </w:rPr>
            </w:pPr>
            <w:r>
              <w:rPr>
                <w:rFonts w:ascii="Arial" w:cs="Arial" w:eastAsia="Arial" w:hAnsi="Arial"/>
                <w:sz w:val="16"/>
                <w:szCs w:val="16"/>
                <w:color w:val="auto"/>
              </w:rPr>
              <w:t>1,466</w:t>
            </w:r>
          </w:p>
        </w:tc>
        <w:tc>
          <w:tcPr>
            <w:tcW w:w="1700" w:type="dxa"/>
            <w:vAlign w:val="bottom"/>
          </w:tcPr>
          <w:p>
            <w:pPr>
              <w:jc w:val="right"/>
              <w:ind w:right="399"/>
              <w:spacing w:after="0"/>
              <w:rPr>
                <w:sz w:val="20"/>
                <w:szCs w:val="20"/>
                <w:color w:val="auto"/>
              </w:rPr>
            </w:pPr>
            <w:r>
              <w:rPr>
                <w:rFonts w:ascii="Arial" w:cs="Arial" w:eastAsia="Arial" w:hAnsi="Arial"/>
                <w:sz w:val="16"/>
                <w:szCs w:val="16"/>
                <w:color w:val="auto"/>
              </w:rPr>
              <w:t>193</w:t>
            </w:r>
          </w:p>
        </w:tc>
        <w:tc>
          <w:tcPr>
            <w:tcW w:w="1680" w:type="dxa"/>
            <w:vAlign w:val="bottom"/>
          </w:tcPr>
          <w:p>
            <w:pPr>
              <w:jc w:val="right"/>
              <w:ind w:right="399"/>
              <w:spacing w:after="0"/>
              <w:rPr>
                <w:sz w:val="20"/>
                <w:szCs w:val="20"/>
                <w:color w:val="auto"/>
              </w:rPr>
            </w:pPr>
            <w:r>
              <w:rPr>
                <w:rFonts w:ascii="Arial" w:cs="Arial" w:eastAsia="Arial" w:hAnsi="Arial"/>
                <w:sz w:val="16"/>
                <w:szCs w:val="16"/>
                <w:color w:val="auto"/>
              </w:rPr>
              <w:t>2</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288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5"/>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long-term liabilities</w:t>
            </w:r>
          </w:p>
        </w:tc>
        <w:tc>
          <w:tcPr>
            <w:tcW w:w="2140" w:type="dxa"/>
            <w:vAlign w:val="bottom"/>
            <w:tcBorders>
              <w:bottom w:val="single" w:sz="8" w:color="CCEEFF"/>
            </w:tcBorders>
            <w:shd w:val="clear" w:color="auto" w:fill="CCEEFF"/>
          </w:tcPr>
          <w:p>
            <w:pPr>
              <w:jc w:val="right"/>
              <w:ind w:right="459"/>
              <w:spacing w:after="0"/>
              <w:rPr>
                <w:sz w:val="20"/>
                <w:szCs w:val="20"/>
                <w:color w:val="auto"/>
              </w:rPr>
            </w:pPr>
            <w:r>
              <w:rPr>
                <w:rFonts w:ascii="Arial" w:cs="Arial" w:eastAsia="Arial" w:hAnsi="Arial"/>
                <w:sz w:val="16"/>
                <w:szCs w:val="16"/>
                <w:b w:val="1"/>
                <w:bCs w:val="1"/>
                <w:color w:val="auto"/>
              </w:rPr>
              <w:t>353</w:t>
            </w:r>
          </w:p>
        </w:tc>
        <w:tc>
          <w:tcPr>
            <w:tcW w:w="170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color w:val="auto"/>
              </w:rPr>
              <w:t>50</w:t>
            </w:r>
          </w:p>
        </w:tc>
        <w:tc>
          <w:tcPr>
            <w:tcW w:w="1700" w:type="dxa"/>
            <w:vAlign w:val="bottom"/>
            <w:tcBorders>
              <w:bottom w:val="single" w:sz="8" w:color="CCEEFF"/>
            </w:tcBorders>
            <w:shd w:val="clear" w:color="auto" w:fill="CCEEFF"/>
          </w:tcPr>
          <w:p>
            <w:pPr>
              <w:jc w:val="right"/>
              <w:ind w:right="399"/>
              <w:spacing w:after="0"/>
              <w:rPr>
                <w:sz w:val="20"/>
                <w:szCs w:val="20"/>
                <w:color w:val="auto"/>
              </w:rPr>
            </w:pPr>
            <w:r>
              <w:rPr>
                <w:rFonts w:ascii="Arial" w:cs="Arial" w:eastAsia="Arial" w:hAnsi="Arial"/>
                <w:sz w:val="16"/>
                <w:szCs w:val="16"/>
                <w:color w:val="auto"/>
              </w:rPr>
              <w:t>57</w:t>
            </w:r>
          </w:p>
        </w:tc>
        <w:tc>
          <w:tcPr>
            <w:tcW w:w="1680" w:type="dxa"/>
            <w:vAlign w:val="bottom"/>
            <w:tcBorders>
              <w:bottom w:val="single" w:sz="8" w:color="CCEEFF"/>
            </w:tcBorders>
            <w:shd w:val="clear" w:color="auto" w:fill="CCEEFF"/>
          </w:tcPr>
          <w:p>
            <w:pPr>
              <w:jc w:val="right"/>
              <w:ind w:right="399"/>
              <w:spacing w:after="0"/>
              <w:rPr>
                <w:sz w:val="20"/>
                <w:szCs w:val="20"/>
                <w:color w:val="auto"/>
              </w:rPr>
            </w:pPr>
            <w:r>
              <w:rPr>
                <w:rFonts w:ascii="Arial" w:cs="Arial" w:eastAsia="Arial" w:hAnsi="Arial"/>
                <w:sz w:val="16"/>
                <w:szCs w:val="16"/>
                <w:color w:val="auto"/>
              </w:rPr>
              <w:t>41</w:t>
            </w: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205</w:t>
            </w:r>
          </w:p>
        </w:tc>
      </w:tr>
      <w:tr>
        <w:trPr>
          <w:trHeight w:val="231"/>
        </w:trPr>
        <w:tc>
          <w:tcPr>
            <w:tcW w:w="288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w:t>
            </w:r>
          </w:p>
        </w:tc>
        <w:tc>
          <w:tcPr>
            <w:tcW w:w="2140" w:type="dxa"/>
            <w:vAlign w:val="bottom"/>
            <w:tcBorders>
              <w:top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$9,274</w:t>
            </w:r>
          </w:p>
        </w:tc>
        <w:tc>
          <w:tcPr>
            <w:tcW w:w="1700" w:type="dxa"/>
            <w:vAlign w:val="bottom"/>
            <w:tcBorders>
              <w:top w:val="single" w:sz="8" w:color="auto"/>
            </w:tcBorders>
          </w:tcPr>
          <w:p>
            <w:pPr>
              <w:jc w:val="right"/>
              <w:ind w:right="419"/>
              <w:spacing w:after="0"/>
              <w:rPr>
                <w:sz w:val="20"/>
                <w:szCs w:val="20"/>
                <w:color w:val="auto"/>
              </w:rPr>
            </w:pPr>
            <w:r>
              <w:rPr>
                <w:rFonts w:ascii="Arial" w:cs="Arial" w:eastAsia="Arial" w:hAnsi="Arial"/>
                <w:sz w:val="16"/>
                <w:szCs w:val="16"/>
                <w:color w:val="auto"/>
              </w:rPr>
              <w:t>$1,956</w:t>
            </w:r>
          </w:p>
        </w:tc>
        <w:tc>
          <w:tcPr>
            <w:tcW w:w="1700" w:type="dxa"/>
            <w:vAlign w:val="bottom"/>
            <w:tcBorders>
              <w:top w:val="single" w:sz="8" w:color="auto"/>
            </w:tcBorders>
          </w:tcPr>
          <w:p>
            <w:pPr>
              <w:jc w:val="right"/>
              <w:ind w:right="399"/>
              <w:spacing w:after="0"/>
              <w:rPr>
                <w:sz w:val="20"/>
                <w:szCs w:val="20"/>
                <w:color w:val="auto"/>
              </w:rPr>
            </w:pPr>
            <w:r>
              <w:rPr>
                <w:rFonts w:ascii="Arial" w:cs="Arial" w:eastAsia="Arial" w:hAnsi="Arial"/>
                <w:sz w:val="16"/>
                <w:szCs w:val="16"/>
                <w:color w:val="auto"/>
              </w:rPr>
              <w:t>$1,137</w:t>
            </w:r>
          </w:p>
        </w:tc>
        <w:tc>
          <w:tcPr>
            <w:tcW w:w="1680" w:type="dxa"/>
            <w:vAlign w:val="bottom"/>
            <w:tcBorders>
              <w:top w:val="single" w:sz="8" w:color="auto"/>
            </w:tcBorders>
          </w:tcPr>
          <w:p>
            <w:pPr>
              <w:jc w:val="right"/>
              <w:ind w:right="399"/>
              <w:spacing w:after="0"/>
              <w:rPr>
                <w:sz w:val="20"/>
                <w:szCs w:val="20"/>
                <w:color w:val="auto"/>
              </w:rPr>
            </w:pPr>
            <w:r>
              <w:rPr>
                <w:rFonts w:ascii="Arial" w:cs="Arial" w:eastAsia="Arial" w:hAnsi="Arial"/>
                <w:sz w:val="16"/>
                <w:szCs w:val="16"/>
                <w:color w:val="auto"/>
              </w:rPr>
              <w:t>$1,751</w:t>
            </w:r>
          </w:p>
        </w:tc>
        <w:tc>
          <w:tcPr>
            <w:tcW w:w="13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$4,430</w:t>
            </w:r>
          </w:p>
        </w:tc>
      </w:tr>
      <w:tr>
        <w:trPr>
          <w:trHeight w:val="33"/>
        </w:trPr>
        <w:tc>
          <w:tcPr>
            <w:tcW w:w="288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Included in the required debt repayments disclosed above are estimated total interest payments of $1,569 as of January 28, 2017, payable over the remaining life of the debt.</w:t>
      </w:r>
    </w:p>
    <w:p>
      <w:pPr>
        <w:spacing w:after="0" w:line="116"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The capital and operating lease obligations in the table above do not include payments for operating expenses that are required by most of our lease agreements. Such expenses, which include common area charges, real estate taxes and other executory costs, totaled $112 in 2016, $97 in 2015 and $88 in 2014. In addition, some of our leases require additional rental payments based on a percentage of our sales, referred to as “percentage rent.” Percentage rent, which is also excluded from the obligations in the table above, was $12 in 2016, $13 in 2015 and $14 in 2014.</w:t>
      </w:r>
    </w:p>
    <w:p>
      <w:pPr>
        <w:spacing w:after="0" w:line="11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Purchase obligations primarily consist of purchase orders for unreceived goods or services and capital expenditure commitments, including our Manhattan store.</w:t>
      </w:r>
    </w:p>
    <w:p>
      <w:pPr>
        <w:spacing w:after="0" w:line="116" w:lineRule="exact"/>
        <w:rPr>
          <w:sz w:val="20"/>
          <w:szCs w:val="20"/>
          <w:color w:val="auto"/>
        </w:rPr>
      </w:pPr>
    </w:p>
    <w:p>
      <w:pPr>
        <w:ind w:right="380"/>
        <w:spacing w:after="0" w:line="279" w:lineRule="auto"/>
        <w:rPr>
          <w:sz w:val="20"/>
          <w:szCs w:val="20"/>
          <w:color w:val="auto"/>
        </w:rPr>
      </w:pPr>
      <w:r>
        <w:rPr>
          <w:rFonts w:ascii="Arial" w:cs="Arial" w:eastAsia="Arial" w:hAnsi="Arial"/>
          <w:sz w:val="17"/>
          <w:szCs w:val="17"/>
          <w:color w:val="auto"/>
        </w:rPr>
        <w:t>Other long-term liabilities consist of workers’ compensation and other liability insurance reserves and postretirement benefits. The payment amounts presented above were estimated based on historical payment trends. Other long-term liabilities not requiring cash payments, such as deferred property incentives and deferred revenue, were excluded from the table above. Also excluded from the table above are unrecognized tax benefits of $34, as we are unable to reasonably estimate the timing of future cash payments, if any, for these liabilities.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7" w:lineRule="exact"/>
        <w:rPr>
          <w:sz w:val="20"/>
          <w:szCs w:val="20"/>
          <w:color w:val="auto"/>
        </w:rPr>
      </w:pPr>
    </w:p>
    <w:p>
      <w:pPr>
        <w:ind w:right="300"/>
        <w:spacing w:after="0" w:line="253" w:lineRule="auto"/>
        <w:rPr>
          <w:sz w:val="20"/>
          <w:szCs w:val="20"/>
          <w:color w:val="auto"/>
        </w:rPr>
      </w:pPr>
      <w:r>
        <w:rPr>
          <w:rFonts w:ascii="Arial" w:cs="Arial" w:eastAsia="Arial" w:hAnsi="Arial"/>
          <w:sz w:val="18"/>
          <w:szCs w:val="18"/>
          <w:color w:val="auto"/>
        </w:rPr>
        <w:t>On October 1, 2015, we completed the sale of a substantial majority of our U.S. Visa and private label credit card portfolio to TD (see Note 2: Credit Card Receivable Transaction in Item 8). Pursuant to the program agreement with TD, we offer and administer our loyalty program and perform other account servicing functions. Credit card receivables serviced under this contract are $2,342 as of January 28, 2017. We retained certain accounts receivable subsequent to the sale and the unused credit card capacity available represents an off-balance sheet commitment. As of January 28, 2017, this unfunded commitment was $124.</w:t>
      </w:r>
    </w:p>
    <w:p>
      <w:pPr>
        <w:spacing w:after="0" w:line="137"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Other than items noted in the paragraph above, in addition to operating leases entered into in the normal course of business and the development of our Manhattan full-line store, we had no material off-balance sheet arrangements during 2016.</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7"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The preparation of our financial statements requires that we make estimates and judgments that affect the reported amounts of assets, liabilities, revenues and expenses, and disclosure of contingent assets and liabilities. We base our estimates on historical experience and other assumptions that we believe to be reasonable under the circumstances. Actual results may differ from these estimates. The following discussion highlights the estimates we believe are critical and should be read in conjunction with the Notes to Consolidated Financial Statements in Item 8. Our management has discussed the development and selection of these critical accounting estimates with the Audit Committee of our Board of Directors and the Audit Committee has reviewed our disclosures that follow.</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420"/>
          </w:cols>
          <w:pgMar w:left="240" w:top="126" w:right="239" w:bottom="1440" w:gutter="0" w:footer="0" w:header="0"/>
        </w:sectPr>
      </w:pPr>
    </w:p>
    <w:bookmarkStart w:id="32" w:name="page33"/>
    <w:bookmarkEnd w:id="32"/>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7"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We recognize revenue net of estimated returns and excluding sales taxes. Revenue from sales to customers shipped directly from our stores, websites and catalog, which includes shipping revenue when applicable, is recognized upon estimated receipt by the customer. We estimate customer merchandise returns based on historical return patterns and reduce sales and cost of sales accordingly.</w:t>
      </w:r>
    </w:p>
    <w:p>
      <w:pPr>
        <w:spacing w:after="0" w:line="136" w:lineRule="exact"/>
        <w:rPr>
          <w:sz w:val="20"/>
          <w:szCs w:val="20"/>
          <w:color w:val="auto"/>
        </w:rPr>
      </w:pPr>
    </w:p>
    <w:p>
      <w:pPr>
        <w:jc w:val="both"/>
        <w:ind w:right="420"/>
        <w:spacing w:after="0" w:line="259" w:lineRule="auto"/>
        <w:rPr>
          <w:sz w:val="20"/>
          <w:szCs w:val="20"/>
          <w:color w:val="auto"/>
        </w:rPr>
      </w:pPr>
      <w:r>
        <w:rPr>
          <w:rFonts w:ascii="Arial" w:cs="Arial" w:eastAsia="Arial" w:hAnsi="Arial"/>
          <w:sz w:val="18"/>
          <w:szCs w:val="18"/>
          <w:color w:val="auto"/>
        </w:rPr>
        <w:t>Although we believe we have sufficient current and historical knowledge to record reasonable estimates of sales returns, there is a possibility that actual returns could differ from recorded amounts. In the past three years, there were no significant changes in customer return behavior and we have made no material changes to our estimates included in the calculations of our sales return reserve. A 10% change in the sales return reserve would have had a $12 impact on our net earnings for the year ended January 28, 2017.</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Merchandise Inventories</w:t>
      </w:r>
    </w:p>
    <w:p>
      <w:pPr>
        <w:spacing w:after="0" w:line="27" w:lineRule="exact"/>
        <w:rPr>
          <w:sz w:val="20"/>
          <w:szCs w:val="20"/>
          <w:color w:val="auto"/>
        </w:rPr>
      </w:pPr>
    </w:p>
    <w:p>
      <w:pPr>
        <w:ind w:right="100"/>
        <w:spacing w:after="0" w:line="292" w:lineRule="auto"/>
        <w:rPr>
          <w:sz w:val="20"/>
          <w:szCs w:val="20"/>
          <w:color w:val="auto"/>
        </w:rPr>
      </w:pPr>
      <w:r>
        <w:rPr>
          <w:rFonts w:ascii="Arial" w:cs="Arial" w:eastAsia="Arial" w:hAnsi="Arial"/>
          <w:sz w:val="16"/>
          <w:szCs w:val="16"/>
          <w:color w:val="auto"/>
        </w:rPr>
        <w:t>Merchandise inventories are generally stated at the lower of cost or market value using the retail inventory method (weighted-average cost). Under the retail method, the valuation of inventories is determined by applying a calculated cost-to-retail ratio to the retail value of ending inventory. The value of our inventory on the balance sheet is then reduced by a charge to cost of sales for retail inventory markdowns taken on the selling floor. To determine if the retail value of our inventory should be marked down, we consider current and anticipated demand, customer preferences, age of the merchandise and fashion trends. Inherent in the retail inventory method are certain management judgments that may affect the ending inventory valuation as well as gross profit.</w:t>
      </w:r>
    </w:p>
    <w:p>
      <w:pPr>
        <w:spacing w:after="0" w:line="109"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We reserve for obsolescence based on historical trends and specific identification. Our obsolescence reserve contains uncertainties as the calculations require management to make assumptions and to apply judgment regarding a number of factors, including market conditions, the selling environment, historical results and current inventory trends.</w:t>
      </w:r>
    </w:p>
    <w:p>
      <w:pPr>
        <w:spacing w:after="0" w:line="12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We do not believe that the assumptions used in these estimates will change significantly based on prior experience. In the past three years, we have made no material changes to our estimates included in the calculations of the obsolescence reserve. A 10% change in the obsolescence reserve would have had a $3 impact on our net earnings for the year ended January 28, 2017.</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We review our goodwill annually for impairment or when circumstances indicate that the carrying value may exceed the fair value. We perform this evaluation at the reporting unit level, comprised of the principal business units within our Retail segment, through the application of a two-step fair value test. The first step compares the carrying value of the reporting unit to its estimated fair value, which is based on the expected present value of future cash flows (income approach), comparable public companies and acquisitions (market approach) or a combination of both. If fair value is lower than the carrying value, then a second step is performed to quantify the amount of the impairment.</w:t>
      </w:r>
    </w:p>
    <w:p>
      <w:pPr>
        <w:spacing w:after="0" w:line="137"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As part of our impairment testing, we utilize certain assumptions and apply judgment regarding a number of factors. Significant estimates in the market approach include identifying similar companies and acquisitions with comparable business factors such as size, growth, profitability, risk and return of investment, and assessing comparable earnings or revenue multiples in estimating the fair value of the reporting unit. Assumptions in the income approach include future cash flows for the business, future growth rates and discount rates. Estimates of cash flows may differ from actual cash flows due to, among other things, economic conditions, changes to the business model or changes in operating performance. For Nordstrom.com, Jeffrey and HauteLook, the fair values substantially exceeded carrying values and therefore we had no material goodwill impairment in 2016, 2015 or 2014. A 10% change in the fair value of any of these reporting units would not have had an impact on our net earnings for the year ended January 28, 2017.</w:t>
      </w:r>
    </w:p>
    <w:p>
      <w:pPr>
        <w:spacing w:after="0" w:line="113"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We recognized a goodwill impairment charge of $197 for the year ended January 28, 2017 related to Trunk Club, resulting from changes to the long-term operating plan that reflected lower expectations for growth and profitability than previous expectations (see Note 1: Nature of Operations and Summary of Significant Accounting Policies and Note 8: Fair Value Measurements in Item 8). There were no material goodwill impairment charges related to Trunk Club in 2015 or 2014.</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2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When facts and circumstances indicate that the carrying values of long-lived assets, including buildings, equipment and amortizable intangible assets, may be impaired, we perform an evaluation of recoverability by comparing the carrying values of the net assets to their related projected undiscounted future cash flows, in addition to other quantitative and qualitative analyses.</w:t>
      </w:r>
    </w:p>
    <w:p>
      <w:pPr>
        <w:spacing w:after="0" w:line="136"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Land, property and equipment are grouped at the lowest level at which there are identifiable cash flows when assessing impairment. Cash flows for our retail store assets are identified at the individual store level, while our intangible assets associated with HauteLook and Trunk Club are identified at their respective reporting unit levels. The assets recorded in connection with the credit card receivable transaction are individually evaluated against the anticipated cash flows under the program agreement (see Note 2: Credit Card Receivable Transaction in Item 8).</w:t>
      </w:r>
    </w:p>
    <w:p>
      <w:pPr>
        <w:spacing w:after="0" w:line="11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Our estimates are subject to uncertainties and may be impacted by various external factors such as economic conditions and market competition. While we believe the inputs and assumptions utilized in our analyses of future cash flows are reasonable, events or circumstances may change which could cause us to revise these estimates.</w:t>
      </w:r>
    </w:p>
    <w:p>
      <w:pPr>
        <w:sectPr>
          <w:pgSz w:w="11900" w:h="16838" w:orient="portrait"/>
          <w:cols w:equalWidth="0" w:num="1">
            <w:col w:w="11420"/>
          </w:cols>
          <w:pgMar w:left="240" w:top="126" w:right="239" w:bottom="1440" w:gutter="0" w:footer="0" w:header="0"/>
        </w:sectPr>
      </w:pPr>
    </w:p>
    <w:p>
      <w:pPr>
        <w:spacing w:after="0" w:line="375" w:lineRule="exact"/>
        <w:rPr>
          <w:sz w:val="20"/>
          <w:szCs w:val="20"/>
          <w:color w:val="auto"/>
        </w:rPr>
      </w:pPr>
    </w:p>
    <w:p>
      <w:pPr>
        <w:ind w:left="9580"/>
        <w:spacing w:after="0"/>
        <w:rPr>
          <w:sz w:val="20"/>
          <w:szCs w:val="20"/>
          <w:color w:val="auto"/>
        </w:rPr>
      </w:pPr>
      <w:r>
        <w:rPr>
          <w:rFonts w:ascii="Arial" w:cs="Arial" w:eastAsia="Arial" w:hAnsi="Arial"/>
          <w:sz w:val="11"/>
          <w:szCs w:val="11"/>
          <w:color w:val="auto"/>
        </w:rPr>
        <w:t xml:space="preserve">Nordstrom, Inc. and subsidiaries </w:t>
      </w:r>
      <w:r>
        <w:rPr>
          <w:rFonts w:ascii="Arial" w:cs="Arial" w:eastAsia="Arial" w:hAnsi="Arial"/>
          <w:sz w:val="14"/>
          <w:szCs w:val="14"/>
          <w:color w:val="auto"/>
        </w:rPr>
        <w:t>33</w:t>
      </w:r>
    </w:p>
    <w:p>
      <w:pPr>
        <w:sectPr>
          <w:pgSz w:w="11900" w:h="16838" w:orient="portrait"/>
          <w:cols w:equalWidth="0" w:num="1">
            <w:col w:w="11420"/>
          </w:cols>
          <w:pgMar w:left="240" w:top="126" w:right="239" w:bottom="1440" w:gutter="0" w:footer="0" w:header="0"/>
          <w:type w:val="continuous"/>
        </w:sectPr>
      </w:pPr>
    </w:p>
    <w:bookmarkStart w:id="33" w:name="page34"/>
    <w:bookmarkEnd w:id="33"/>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 Expense</w:t>
      </w:r>
    </w:p>
    <w:p>
      <w:pPr>
        <w:spacing w:after="0" w:line="27"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We grant stock-based awards under our 2010 Equity Incentive Plan (“2010 Plan”), 2002 Nonemployee Director Stock Incentive Plan (“2002 Plan”) and Trunk Club Value Creation Plan (“VCP”), and employees may purchase our stock at a discount under our Employee Stock Purchase Plan (“ESPP”). We predominantly recognize stock-based compensation expense related to stock-based awards at their estimated grant date fair value, recorded on a straight-line basis over the requisite service period. Compensation expense for certain award holders is accelerated based upon achievement of age and years of service. The total compensation expense is reduced by estimated forfeitures expected to occur over the vesting period of the awards.</w:t>
      </w:r>
    </w:p>
    <w:p>
      <w:pPr>
        <w:spacing w:after="0" w:line="125"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We estimate the grant date fair value of stock options using the Binomial Lattice option valuation model. Stock-based compensation expense related to the VCP is based on the grant date fair value of the payout scenario we believe is probable using the Black-Scholes valuation model and is recognized on an accelerated basis due to performance criteria and graded vesting features of the plan. The fair value of restricted stock is determined based on the number of shares granted and the quoted price of our common stock on the date of grant, less the estimated present value of dividends over the vesting period. Performance share units granted prior to 2016 are classified as liabilities and revalued using the quoted price of our common stock as of each reporting date. Performance share units granted in 2016 and beyond are classified as equity and the fair value is determined using the Monte-Carlo valuation model.</w:t>
      </w:r>
    </w:p>
    <w:p>
      <w:pPr>
        <w:spacing w:after="0" w:line="111"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Calculating the grant date fair value of stock-based awards is based on certain assumptions and requires judgment, including estimating stock price volatility, forfeiture rates, expected life and performance criteria. A 10% change in stock-based compensation expense would have a $6 impact on our net earnings for the year ended January 28, 2017.</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We use the asset and liability method of accounting for income taxes. Using this method, deferred tax assets and liabilities are recorded based on differences between the financial reporting and tax basis of assets and liabilities and for operating loss and tax credit carryforwards. The deferred tax assets and liabilities are calculated using the enacted tax rates and laws that are expected to be in effect when the differences are expected to reverse. We routinely evaluate the likelihood of realizing the benefit of our deferred tax assets and may record a valuation allowance if, based on all available evidence, it is determined that some portion of the tax benefit will not be realized.</w:t>
      </w:r>
    </w:p>
    <w:p>
      <w:pPr>
        <w:spacing w:after="0" w:line="137"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We regularly evaluate the likelihood of realizing the benefit for income tax positions we have taken in various federal, state and foreign filings by considering all relevant facts, circumstances and information available. If we believe it is more likely than not that our position will be sustained, we recognize a benefit at the largest amount that we believe is cumulatively greater than 50% likely to be realized. Our unrecognized tax benefit was $32 as of January 28, 2017 and $19 as of January 30, 2016. Interest and penalties related to income tax matters are classified as a component of income tax expense.</w:t>
      </w:r>
    </w:p>
    <w:p>
      <w:pPr>
        <w:spacing w:after="0" w:line="100"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Income taxes require significant management judgment regarding applicable statutes and their related interpretation, the status of various income tax audits and our particular facts and circumstances. Also, as audits are completed or statutes of limitations lapse, it may be necessary to record adjustments to our taxes payable, deferred taxes, tax reserves or income tax expense. Such adjustments did not materially impact our effective income tax rate in 2016 or 2015.</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7"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See Note 1: Nature of Operations and Summary of Significant Accounting Policies in Item 8 for a discussion of recent accounting pronouncements and the impact these standards are anticipated to have on our results of operations, liquidity or capital resources.</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400"/>
          </w:cols>
          <w:pgMar w:left="240" w:top="126" w:right="259" w:bottom="1440" w:gutter="0" w:footer="0" w:header="0"/>
        </w:sectPr>
      </w:pPr>
    </w:p>
    <w:bookmarkStart w:id="34" w:name="page35"/>
    <w:bookmarkEnd w:id="34"/>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7A. Quantitative and Qualitative Disclosures About Market Risk.</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Dollars in millions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are exposed to interest rate risk primarily from changes in short-term interest rates. On October 1, 2015, we completed the sale of a substantial majority of our U.S. Visa and private label credit card portfolio to TD (see Note 2: Credit Card Receivable Transaction in Item 8). The interest rate risk on our retained receivables is insignificant.</w:t>
      </w:r>
    </w:p>
    <w:p>
      <w:pPr>
        <w:spacing w:after="0" w:line="13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For our long-term debt of $2,774, our exposure to interest rate risk is limited to changes in fair value. As our debt is primarily fixed-rate, changes in interest rates do not significantly impact our cash flows. However, changes in interest rates increase or decrease the fair value of our debt, depending on whether market rates are lower or higher than our fixed rates. As of January 28, 2017, the fair value of our long-term debt was $2,949. See Note 7: Debt and Credit Facilities and Note 8: Fair Value Measurements in Item 8 for additional information.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RISK</w:t>
      </w:r>
    </w:p>
    <w:p>
      <w:pPr>
        <w:spacing w:after="0" w:line="27"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The majority of our revenues, expenses and capital expenditures are transacted in U.S. Dollars. Our U.S. operation periodically enters into merchandise purchase orders denominated in British Pounds or Euros. From time to time, we may use forward contracts to hedge against fluctuations in foreign currency prices. As of January 28, 2017, our outstanding forward contracts did not have a material impact on our Consolidated Financial Statements.</w:t>
      </w:r>
    </w:p>
    <w:p>
      <w:pPr>
        <w:spacing w:after="0" w:line="101"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We have five full-line stores in Canada and have announced plans to open one additional full-line store in Canada in 2017. The functional currency of our Canadian operations is the Canadian Dollar. We translate assets and liabilities into U.S. Dollars using the exchange rate in effect at the balance sheet date, while we translate revenues and expenses using a weighted-average exchange rate for the period. We record these translation adjustments as a component of accumulated other comprehensive loss on the Consolidated Balance Sheets in Item 8. Our Canadian operations enter into merchandise purchase orders denominated in U.S. Dollars for approximately one third of its inventory. As sales in Canada are denominated in the Canadian Dollar, gross profit for our Canadian operations can be impacted by foreign currency fluctuations.</w:t>
      </w:r>
    </w:p>
    <w:p>
      <w:pPr>
        <w:spacing w:after="0" w:line="12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addition, our U.S. operations incur certain expenditures denominated in Canadian Dollars and our Canadian operations incur certain expenditures denominated in U.S. Dollars. This activity results in transaction gains and losses that arise from exchange rate fluctuations and are recorded as gains or losses in the Consolidated Statements of Earnings in Item 8. As of January 28, 2017, activities associated with foreign currency exchange risk have not had a material impact on our Consolidated Financial Statements.</w:t>
      </w:r>
    </w:p>
    <w:p>
      <w:pPr>
        <w:spacing w:after="0" w:line="381" w:lineRule="exact"/>
        <w:rPr>
          <w:sz w:val="20"/>
          <w:szCs w:val="20"/>
          <w:color w:val="auto"/>
        </w:rPr>
      </w:pPr>
    </w:p>
    <w:p>
      <w:pPr>
        <w:jc w:val="right"/>
        <w:spacing w:after="0"/>
        <w:rPr>
          <w:sz w:val="20"/>
          <w:szCs w:val="20"/>
          <w:color w:val="auto"/>
        </w:rPr>
      </w:pPr>
      <w:r>
        <w:rPr>
          <w:rFonts w:ascii="Arial" w:cs="Arial" w:eastAsia="Arial" w:hAnsi="Arial"/>
          <w:sz w:val="13"/>
          <w:szCs w:val="13"/>
          <w:color w:val="auto"/>
        </w:rPr>
        <w:t xml:space="preserve">Nordstrom, Inc. and subsidiaries </w:t>
      </w:r>
      <w:r>
        <w:rPr>
          <w:rFonts w:ascii="Arial" w:cs="Arial" w:eastAsia="Arial" w:hAnsi="Arial"/>
          <w:sz w:val="16"/>
          <w:szCs w:val="16"/>
          <w:color w:val="auto"/>
        </w:rPr>
        <w:t>35</w:t>
      </w:r>
    </w:p>
    <w:p>
      <w:pPr>
        <w:sectPr>
          <w:pgSz w:w="11900" w:h="16838" w:orient="portrait"/>
          <w:cols w:equalWidth="0" w:num="1">
            <w:col w:w="11420"/>
          </w:cols>
          <w:pgMar w:left="240" w:top="126" w:right="239" w:bottom="1440" w:gutter="0" w:footer="0" w:header="0"/>
        </w:sectPr>
      </w:pPr>
    </w:p>
    <w:bookmarkStart w:id="35" w:name="page36"/>
    <w:bookmarkEnd w:id="35"/>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8: Financial Statements and Supplementary Data.</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 Nordstrom,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Seattle, Washington</w:t>
      </w:r>
    </w:p>
    <w:p>
      <w:pPr>
        <w:spacing w:after="0" w:line="15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have audited the accompanying consolidated balance sheets of Nordstrom, Inc. and subsidiaries (the “Company”) as of January 28, 2017 and January 30, 2016, and the related consolidated statements of earnings, comprehensive earnings, shareholders’ equity, and cash flows for each of the three years in the period ended January 28, 2017. These financial statements are the responsibility of the Company’s management. Our responsibility is to express an opinion on these financial statements based on our audits.</w:t>
      </w:r>
    </w:p>
    <w:p>
      <w:pPr>
        <w:spacing w:after="0" w:line="308"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48"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In our opinion, such consolidated financial statements present fairly, in all material respects, the financial position of Nordstrom, Inc. and subsidiaries as of January 28, 2017 and January 30, 2016, and the results of their operations and their cash flows for each of the three years in the period ended January 28, 2017, in conformity with accounting principles generally accepted in the United States of America.</w:t>
      </w:r>
    </w:p>
    <w:p>
      <w:pPr>
        <w:spacing w:after="0" w:line="14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the Company’s internal control over financial reporting as of January 28, 2017, based on the criteria established in </w:t>
      </w:r>
      <w:r>
        <w:rPr>
          <w:rFonts w:ascii="Arial" w:cs="Arial" w:eastAsia="Arial" w:hAnsi="Arial"/>
          <w:sz w:val="18"/>
          <w:szCs w:val="18"/>
          <w:i w:val="1"/>
          <w:iCs w:val="1"/>
          <w:color w:val="auto"/>
        </w:rPr>
        <w:t>Internal Control-Integrated Framework (2013)</w:t>
      </w:r>
      <w:r>
        <w:rPr>
          <w:rFonts w:ascii="Arial" w:cs="Arial" w:eastAsia="Arial" w:hAnsi="Arial"/>
          <w:sz w:val="18"/>
          <w:szCs w:val="18"/>
          <w:color w:val="auto"/>
        </w:rPr>
        <w:t xml:space="preserve"> issued by the Committee of Sponsoring Organizations of the Treadway Commission and our report dated March 20, 2017 expressed an unqualified opinion on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Seattle, Washington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20, 2017</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420"/>
          </w:cols>
          <w:pgMar w:left="240" w:top="126" w:right="239" w:bottom="1440" w:gutter="0" w:footer="0" w:header="0"/>
        </w:sectPr>
      </w:pPr>
    </w:p>
    <w:bookmarkStart w:id="36" w:name="page37"/>
    <w:bookmarkEnd w:id="36"/>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Nordstrom, Inc.</w:t>
      </w:r>
    </w:p>
    <w:p>
      <w:pPr>
        <w:spacing w:after="0" w:line="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Statements of Earnings</w:t>
      </w:r>
    </w:p>
    <w:p>
      <w:pPr>
        <w:spacing w:after="0"/>
        <w:rPr>
          <w:sz w:val="20"/>
          <w:szCs w:val="20"/>
          <w:color w:val="auto"/>
        </w:rPr>
      </w:pPr>
      <w:r>
        <w:rPr>
          <w:rFonts w:ascii="Arial" w:cs="Arial" w:eastAsia="Arial" w:hAnsi="Arial"/>
          <w:sz w:val="18"/>
          <w:szCs w:val="18"/>
          <w:color w:val="auto"/>
        </w:rPr>
        <w:t>In millions except per share amounts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200" w:type="dxa"/>
            <w:vAlign w:val="bottom"/>
          </w:tcPr>
          <w:p>
            <w:pPr>
              <w:ind w:left="40"/>
              <w:spacing w:after="0"/>
              <w:rPr>
                <w:sz w:val="20"/>
                <w:szCs w:val="20"/>
                <w:color w:val="auto"/>
              </w:rPr>
            </w:pPr>
            <w:r>
              <w:rPr>
                <w:rFonts w:ascii="Arial" w:cs="Arial" w:eastAsia="Arial" w:hAnsi="Arial"/>
                <w:sz w:val="16"/>
                <w:szCs w:val="16"/>
                <w:b w:val="1"/>
                <w:bCs w:val="1"/>
                <w:color w:val="auto"/>
              </w:rPr>
              <w:t>Fiscal year</w:t>
            </w:r>
          </w:p>
        </w:tc>
        <w:tc>
          <w:tcPr>
            <w:tcW w:w="2980" w:type="dxa"/>
            <w:vAlign w:val="bottom"/>
          </w:tcPr>
          <w:p>
            <w:pPr>
              <w:jc w:val="right"/>
              <w:ind w:right="659"/>
              <w:spacing w:after="0"/>
              <w:rPr>
                <w:sz w:val="20"/>
                <w:szCs w:val="20"/>
                <w:color w:val="auto"/>
              </w:rPr>
            </w:pPr>
            <w:r>
              <w:rPr>
                <w:rFonts w:ascii="Arial" w:cs="Arial" w:eastAsia="Arial" w:hAnsi="Arial"/>
                <w:sz w:val="16"/>
                <w:szCs w:val="16"/>
                <w:b w:val="1"/>
                <w:bCs w:val="1"/>
                <w:color w:val="auto"/>
              </w:rPr>
              <w:t>2016</w:t>
            </w:r>
          </w:p>
        </w:tc>
        <w:tc>
          <w:tcPr>
            <w:tcW w:w="1940" w:type="dxa"/>
            <w:vAlign w:val="bottom"/>
          </w:tcPr>
          <w:p>
            <w:pPr>
              <w:jc w:val="right"/>
              <w:ind w:right="639"/>
              <w:spacing w:after="0"/>
              <w:rPr>
                <w:sz w:val="20"/>
                <w:szCs w:val="20"/>
                <w:color w:val="auto"/>
              </w:rPr>
            </w:pPr>
            <w:r>
              <w:rPr>
                <w:rFonts w:ascii="Arial" w:cs="Arial" w:eastAsia="Arial" w:hAnsi="Arial"/>
                <w:sz w:val="16"/>
                <w:szCs w:val="16"/>
                <w:b w:val="1"/>
                <w:bCs w:val="1"/>
                <w:color w:val="auto"/>
              </w:rPr>
              <w:t>2015</w:t>
            </w:r>
          </w:p>
        </w:tc>
        <w:tc>
          <w:tcPr>
            <w:tcW w:w="1300" w:type="dxa"/>
            <w:vAlign w:val="bottom"/>
          </w:tcPr>
          <w:p>
            <w:pPr>
              <w:jc w:val="right"/>
              <w:ind w:right="19"/>
              <w:spacing w:after="0"/>
              <w:rPr>
                <w:sz w:val="20"/>
                <w:szCs w:val="20"/>
                <w:color w:val="auto"/>
              </w:rPr>
            </w:pPr>
            <w:r>
              <w:rPr>
                <w:rFonts w:ascii="Arial" w:cs="Arial" w:eastAsia="Arial" w:hAnsi="Arial"/>
                <w:sz w:val="16"/>
                <w:szCs w:val="16"/>
                <w:b w:val="1"/>
                <w:bCs w:val="1"/>
                <w:color w:val="auto"/>
              </w:rPr>
              <w:t>2014</w:t>
            </w:r>
          </w:p>
        </w:tc>
      </w:tr>
      <w:tr>
        <w:trPr>
          <w:trHeight w:val="33"/>
        </w:trPr>
        <w:tc>
          <w:tcPr>
            <w:tcW w:w="5200" w:type="dxa"/>
            <w:vAlign w:val="bottom"/>
            <w:tcBorders>
              <w:bottom w:val="single" w:sz="8" w:color="auto"/>
            </w:tcBorders>
          </w:tcPr>
          <w:p>
            <w:pPr>
              <w:spacing w:after="0"/>
              <w:rPr>
                <w:sz w:val="2"/>
                <w:szCs w:val="2"/>
                <w:color w:val="auto"/>
              </w:rPr>
            </w:pPr>
          </w:p>
        </w:tc>
        <w:tc>
          <w:tcPr>
            <w:tcW w:w="29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5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sales</w:t>
            </w:r>
          </w:p>
        </w:tc>
        <w:tc>
          <w:tcPr>
            <w:tcW w:w="2980" w:type="dxa"/>
            <w:vAlign w:val="bottom"/>
            <w:tcBorders>
              <w:bottom w:val="single" w:sz="8" w:color="CCEEFF"/>
            </w:tcBorders>
            <w:shd w:val="clear" w:color="auto" w:fill="CCEEFF"/>
          </w:tcPr>
          <w:p>
            <w:pPr>
              <w:jc w:val="right"/>
              <w:ind w:right="659"/>
              <w:spacing w:after="0"/>
              <w:rPr>
                <w:sz w:val="20"/>
                <w:szCs w:val="20"/>
                <w:color w:val="auto"/>
              </w:rPr>
            </w:pPr>
            <w:r>
              <w:rPr>
                <w:rFonts w:ascii="Arial" w:cs="Arial" w:eastAsia="Arial" w:hAnsi="Arial"/>
                <w:sz w:val="16"/>
                <w:szCs w:val="16"/>
                <w:b w:val="1"/>
                <w:bCs w:val="1"/>
                <w:color w:val="auto"/>
              </w:rPr>
              <w:t>$14,498</w:t>
            </w:r>
          </w:p>
        </w:tc>
        <w:tc>
          <w:tcPr>
            <w:tcW w:w="1940" w:type="dxa"/>
            <w:vAlign w:val="bottom"/>
            <w:tcBorders>
              <w:bottom w:val="single" w:sz="8" w:color="CCEEFF"/>
            </w:tcBorders>
            <w:shd w:val="clear" w:color="auto" w:fill="CCEEFF"/>
          </w:tcPr>
          <w:p>
            <w:pPr>
              <w:jc w:val="right"/>
              <w:ind w:right="639"/>
              <w:spacing w:after="0"/>
              <w:rPr>
                <w:sz w:val="20"/>
                <w:szCs w:val="20"/>
                <w:color w:val="auto"/>
              </w:rPr>
            </w:pPr>
            <w:r>
              <w:rPr>
                <w:rFonts w:ascii="Arial" w:cs="Arial" w:eastAsia="Arial" w:hAnsi="Arial"/>
                <w:sz w:val="16"/>
                <w:szCs w:val="16"/>
                <w:color w:val="auto"/>
              </w:rPr>
              <w:t>$14,095</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$13,110</w:t>
            </w:r>
          </w:p>
        </w:tc>
      </w:tr>
      <w:tr>
        <w:trPr>
          <w:trHeight w:val="237"/>
        </w:trPr>
        <w:tc>
          <w:tcPr>
            <w:tcW w:w="5200" w:type="dxa"/>
            <w:vAlign w:val="bottom"/>
          </w:tcPr>
          <w:p>
            <w:pPr>
              <w:ind w:left="40"/>
              <w:spacing w:after="0"/>
              <w:rPr>
                <w:sz w:val="20"/>
                <w:szCs w:val="20"/>
                <w:color w:val="auto"/>
              </w:rPr>
            </w:pPr>
            <w:r>
              <w:rPr>
                <w:rFonts w:ascii="Arial" w:cs="Arial" w:eastAsia="Arial" w:hAnsi="Arial"/>
                <w:sz w:val="16"/>
                <w:szCs w:val="16"/>
                <w:color w:val="auto"/>
              </w:rPr>
              <w:t>Credit card revenues, net</w:t>
            </w:r>
          </w:p>
        </w:tc>
        <w:tc>
          <w:tcPr>
            <w:tcW w:w="2980" w:type="dxa"/>
            <w:vAlign w:val="bottom"/>
          </w:tcPr>
          <w:p>
            <w:pPr>
              <w:jc w:val="right"/>
              <w:ind w:right="659"/>
              <w:spacing w:after="0"/>
              <w:rPr>
                <w:sz w:val="20"/>
                <w:szCs w:val="20"/>
                <w:color w:val="auto"/>
              </w:rPr>
            </w:pPr>
            <w:r>
              <w:rPr>
                <w:rFonts w:ascii="Arial" w:cs="Arial" w:eastAsia="Arial" w:hAnsi="Arial"/>
                <w:sz w:val="16"/>
                <w:szCs w:val="16"/>
                <w:b w:val="1"/>
                <w:bCs w:val="1"/>
                <w:color w:val="auto"/>
              </w:rPr>
              <w:t>259</w:t>
            </w:r>
          </w:p>
        </w:tc>
        <w:tc>
          <w:tcPr>
            <w:tcW w:w="1940" w:type="dxa"/>
            <w:vAlign w:val="bottom"/>
          </w:tcPr>
          <w:p>
            <w:pPr>
              <w:jc w:val="right"/>
              <w:ind w:right="639"/>
              <w:spacing w:after="0"/>
              <w:rPr>
                <w:sz w:val="20"/>
                <w:szCs w:val="20"/>
                <w:color w:val="auto"/>
              </w:rPr>
            </w:pPr>
            <w:r>
              <w:rPr>
                <w:rFonts w:ascii="Arial" w:cs="Arial" w:eastAsia="Arial" w:hAnsi="Arial"/>
                <w:sz w:val="16"/>
                <w:szCs w:val="16"/>
                <w:color w:val="auto"/>
              </w:rPr>
              <w:t>342</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396</w:t>
            </w:r>
          </w:p>
        </w:tc>
      </w:tr>
      <w:tr>
        <w:trPr>
          <w:trHeight w:val="33"/>
        </w:trPr>
        <w:tc>
          <w:tcPr>
            <w:tcW w:w="5200" w:type="dxa"/>
            <w:vAlign w:val="bottom"/>
            <w:tcBorders>
              <w:bottom w:val="single" w:sz="8" w:color="auto"/>
            </w:tcBorders>
          </w:tcPr>
          <w:p>
            <w:pPr>
              <w:spacing w:after="0"/>
              <w:rPr>
                <w:sz w:val="2"/>
                <w:szCs w:val="2"/>
                <w:color w:val="auto"/>
              </w:rPr>
            </w:pPr>
          </w:p>
        </w:tc>
        <w:tc>
          <w:tcPr>
            <w:tcW w:w="29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5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revenues</w:t>
            </w:r>
          </w:p>
        </w:tc>
        <w:tc>
          <w:tcPr>
            <w:tcW w:w="2980" w:type="dxa"/>
            <w:vAlign w:val="bottom"/>
            <w:tcBorders>
              <w:bottom w:val="single" w:sz="8" w:color="CCEEFF"/>
            </w:tcBorders>
            <w:shd w:val="clear" w:color="auto" w:fill="CCEEFF"/>
          </w:tcPr>
          <w:p>
            <w:pPr>
              <w:jc w:val="right"/>
              <w:ind w:right="659"/>
              <w:spacing w:after="0"/>
              <w:rPr>
                <w:sz w:val="20"/>
                <w:szCs w:val="20"/>
                <w:color w:val="auto"/>
              </w:rPr>
            </w:pPr>
            <w:r>
              <w:rPr>
                <w:rFonts w:ascii="Arial" w:cs="Arial" w:eastAsia="Arial" w:hAnsi="Arial"/>
                <w:sz w:val="16"/>
                <w:szCs w:val="16"/>
                <w:b w:val="1"/>
                <w:bCs w:val="1"/>
                <w:color w:val="auto"/>
              </w:rPr>
              <w:t>14,757</w:t>
            </w:r>
          </w:p>
        </w:tc>
        <w:tc>
          <w:tcPr>
            <w:tcW w:w="1940" w:type="dxa"/>
            <w:vAlign w:val="bottom"/>
            <w:tcBorders>
              <w:bottom w:val="single" w:sz="8" w:color="CCEEFF"/>
            </w:tcBorders>
            <w:shd w:val="clear" w:color="auto" w:fill="CCEEFF"/>
          </w:tcPr>
          <w:p>
            <w:pPr>
              <w:jc w:val="right"/>
              <w:ind w:right="639"/>
              <w:spacing w:after="0"/>
              <w:rPr>
                <w:sz w:val="20"/>
                <w:szCs w:val="20"/>
                <w:color w:val="auto"/>
              </w:rPr>
            </w:pPr>
            <w:r>
              <w:rPr>
                <w:rFonts w:ascii="Arial" w:cs="Arial" w:eastAsia="Arial" w:hAnsi="Arial"/>
                <w:sz w:val="16"/>
                <w:szCs w:val="16"/>
                <w:color w:val="auto"/>
              </w:rPr>
              <w:t>14,437</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13,506</w:t>
            </w:r>
          </w:p>
        </w:tc>
      </w:tr>
      <w:tr>
        <w:trPr>
          <w:trHeight w:val="237"/>
        </w:trPr>
        <w:tc>
          <w:tcPr>
            <w:tcW w:w="5200" w:type="dxa"/>
            <w:vAlign w:val="bottom"/>
          </w:tcPr>
          <w:p>
            <w:pPr>
              <w:ind w:left="40"/>
              <w:spacing w:after="0"/>
              <w:rPr>
                <w:sz w:val="20"/>
                <w:szCs w:val="20"/>
                <w:color w:val="auto"/>
              </w:rPr>
            </w:pPr>
            <w:r>
              <w:rPr>
                <w:rFonts w:ascii="Arial" w:cs="Arial" w:eastAsia="Arial" w:hAnsi="Arial"/>
                <w:sz w:val="16"/>
                <w:szCs w:val="16"/>
                <w:color w:val="auto"/>
              </w:rPr>
              <w:t>Cost of sales and related buying and occupancy costs</w:t>
            </w:r>
          </w:p>
        </w:tc>
        <w:tc>
          <w:tcPr>
            <w:tcW w:w="2980" w:type="dxa"/>
            <w:vAlign w:val="bottom"/>
          </w:tcPr>
          <w:p>
            <w:pPr>
              <w:jc w:val="right"/>
              <w:ind w:right="599"/>
              <w:spacing w:after="0"/>
              <w:rPr>
                <w:sz w:val="20"/>
                <w:szCs w:val="20"/>
                <w:color w:val="auto"/>
              </w:rPr>
            </w:pPr>
            <w:r>
              <w:rPr>
                <w:rFonts w:ascii="Arial" w:cs="Arial" w:eastAsia="Arial" w:hAnsi="Arial"/>
                <w:sz w:val="16"/>
                <w:szCs w:val="16"/>
                <w:b w:val="1"/>
                <w:bCs w:val="1"/>
                <w:color w:val="auto"/>
              </w:rPr>
              <w:t>(9,440)</w:t>
            </w:r>
          </w:p>
        </w:tc>
        <w:tc>
          <w:tcPr>
            <w:tcW w:w="1940" w:type="dxa"/>
            <w:vAlign w:val="bottom"/>
          </w:tcPr>
          <w:p>
            <w:pPr>
              <w:jc w:val="right"/>
              <w:ind w:right="599"/>
              <w:spacing w:after="0"/>
              <w:rPr>
                <w:sz w:val="20"/>
                <w:szCs w:val="20"/>
                <w:color w:val="auto"/>
              </w:rPr>
            </w:pPr>
            <w:r>
              <w:rPr>
                <w:rFonts w:ascii="Arial" w:cs="Arial" w:eastAsia="Arial" w:hAnsi="Arial"/>
                <w:sz w:val="16"/>
                <w:szCs w:val="16"/>
                <w:color w:val="auto"/>
              </w:rPr>
              <w:t>(9,168)</w:t>
            </w:r>
          </w:p>
        </w:tc>
        <w:tc>
          <w:tcPr>
            <w:tcW w:w="1300" w:type="dxa"/>
            <w:vAlign w:val="bottom"/>
          </w:tcPr>
          <w:p>
            <w:pPr>
              <w:jc w:val="right"/>
              <w:spacing w:after="0"/>
              <w:rPr>
                <w:sz w:val="20"/>
                <w:szCs w:val="20"/>
                <w:color w:val="auto"/>
              </w:rPr>
            </w:pPr>
            <w:r>
              <w:rPr>
                <w:rFonts w:ascii="Arial" w:cs="Arial" w:eastAsia="Arial" w:hAnsi="Arial"/>
                <w:sz w:val="16"/>
                <w:szCs w:val="16"/>
                <w:color w:val="auto"/>
              </w:rPr>
              <w:t>(8,406)</w:t>
            </w:r>
          </w:p>
        </w:tc>
      </w:tr>
      <w:tr>
        <w:trPr>
          <w:trHeight w:val="33"/>
        </w:trPr>
        <w:tc>
          <w:tcPr>
            <w:tcW w:w="520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Selling, general and administrative expenses</w:t>
            </w:r>
          </w:p>
        </w:tc>
        <w:tc>
          <w:tcPr>
            <w:tcW w:w="2980" w:type="dxa"/>
            <w:vAlign w:val="bottom"/>
            <w:tcBorders>
              <w:bottom w:val="single" w:sz="8" w:color="CCEEFF"/>
            </w:tcBorders>
            <w:shd w:val="clear" w:color="auto" w:fill="CCEEFF"/>
          </w:tcPr>
          <w:p>
            <w:pPr>
              <w:jc w:val="right"/>
              <w:ind w:right="599"/>
              <w:spacing w:after="0"/>
              <w:rPr>
                <w:sz w:val="20"/>
                <w:szCs w:val="20"/>
                <w:color w:val="auto"/>
              </w:rPr>
            </w:pPr>
            <w:r>
              <w:rPr>
                <w:rFonts w:ascii="Arial" w:cs="Arial" w:eastAsia="Arial" w:hAnsi="Arial"/>
                <w:sz w:val="16"/>
                <w:szCs w:val="16"/>
                <w:b w:val="1"/>
                <w:bCs w:val="1"/>
                <w:color w:val="auto"/>
              </w:rPr>
              <w:t>(4,315)</w:t>
            </w:r>
          </w:p>
        </w:tc>
        <w:tc>
          <w:tcPr>
            <w:tcW w:w="1940" w:type="dxa"/>
            <w:vAlign w:val="bottom"/>
            <w:tcBorders>
              <w:bottom w:val="single" w:sz="8" w:color="CCEEFF"/>
            </w:tcBorders>
            <w:shd w:val="clear" w:color="auto" w:fill="CCEEFF"/>
          </w:tcPr>
          <w:p>
            <w:pPr>
              <w:jc w:val="right"/>
              <w:ind w:right="599"/>
              <w:spacing w:after="0"/>
              <w:rPr>
                <w:sz w:val="20"/>
                <w:szCs w:val="20"/>
                <w:color w:val="auto"/>
              </w:rPr>
            </w:pPr>
            <w:r>
              <w:rPr>
                <w:rFonts w:ascii="Arial" w:cs="Arial" w:eastAsia="Arial" w:hAnsi="Arial"/>
                <w:sz w:val="16"/>
                <w:szCs w:val="16"/>
                <w:color w:val="auto"/>
              </w:rPr>
              <w:t>(4,168)</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(3,777)</w:t>
            </w:r>
          </w:p>
        </w:tc>
      </w:tr>
      <w:tr>
        <w:trPr>
          <w:trHeight w:val="237"/>
        </w:trPr>
        <w:tc>
          <w:tcPr>
            <w:tcW w:w="5200" w:type="dxa"/>
            <w:vAlign w:val="bottom"/>
          </w:tcPr>
          <w:p>
            <w:pPr>
              <w:ind w:left="40"/>
              <w:spacing w:after="0"/>
              <w:rPr>
                <w:sz w:val="20"/>
                <w:szCs w:val="20"/>
                <w:color w:val="auto"/>
              </w:rPr>
            </w:pPr>
            <w:r>
              <w:rPr>
                <w:rFonts w:ascii="Arial" w:cs="Arial" w:eastAsia="Arial" w:hAnsi="Arial"/>
                <w:sz w:val="16"/>
                <w:szCs w:val="16"/>
                <w:color w:val="auto"/>
              </w:rPr>
              <w:t>Goodwill impairment</w:t>
            </w:r>
          </w:p>
        </w:tc>
        <w:tc>
          <w:tcPr>
            <w:tcW w:w="2980" w:type="dxa"/>
            <w:vAlign w:val="bottom"/>
          </w:tcPr>
          <w:p>
            <w:pPr>
              <w:jc w:val="right"/>
              <w:ind w:right="599"/>
              <w:spacing w:after="0"/>
              <w:rPr>
                <w:sz w:val="20"/>
                <w:szCs w:val="20"/>
                <w:color w:val="auto"/>
              </w:rPr>
            </w:pPr>
            <w:r>
              <w:rPr>
                <w:rFonts w:ascii="Arial" w:cs="Arial" w:eastAsia="Arial" w:hAnsi="Arial"/>
                <w:sz w:val="16"/>
                <w:szCs w:val="16"/>
                <w:b w:val="1"/>
                <w:bCs w:val="1"/>
                <w:color w:val="auto"/>
              </w:rPr>
              <w:t>(197)</w:t>
            </w:r>
          </w:p>
        </w:tc>
        <w:tc>
          <w:tcPr>
            <w:tcW w:w="1940" w:type="dxa"/>
            <w:vAlign w:val="bottom"/>
          </w:tcPr>
          <w:p>
            <w:pPr>
              <w:jc w:val="right"/>
              <w:ind w:right="63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5200" w:type="dxa"/>
            <w:vAlign w:val="bottom"/>
            <w:tcBorders>
              <w:bottom w:val="single" w:sz="8" w:color="auto"/>
            </w:tcBorders>
          </w:tcPr>
          <w:p>
            <w:pPr>
              <w:spacing w:after="0"/>
              <w:rPr>
                <w:sz w:val="2"/>
                <w:szCs w:val="2"/>
                <w:color w:val="auto"/>
              </w:rPr>
            </w:pPr>
          </w:p>
        </w:tc>
        <w:tc>
          <w:tcPr>
            <w:tcW w:w="29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5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Earnings before interest and income taxes</w:t>
            </w:r>
          </w:p>
        </w:tc>
        <w:tc>
          <w:tcPr>
            <w:tcW w:w="2980" w:type="dxa"/>
            <w:vAlign w:val="bottom"/>
            <w:tcBorders>
              <w:bottom w:val="single" w:sz="8" w:color="CCEEFF"/>
            </w:tcBorders>
            <w:shd w:val="clear" w:color="auto" w:fill="CCEEFF"/>
          </w:tcPr>
          <w:p>
            <w:pPr>
              <w:jc w:val="right"/>
              <w:ind w:right="659"/>
              <w:spacing w:after="0"/>
              <w:rPr>
                <w:sz w:val="20"/>
                <w:szCs w:val="20"/>
                <w:color w:val="auto"/>
              </w:rPr>
            </w:pPr>
            <w:r>
              <w:rPr>
                <w:rFonts w:ascii="Arial" w:cs="Arial" w:eastAsia="Arial" w:hAnsi="Arial"/>
                <w:sz w:val="16"/>
                <w:szCs w:val="16"/>
                <w:b w:val="1"/>
                <w:bCs w:val="1"/>
                <w:color w:val="auto"/>
              </w:rPr>
              <w:t>805</w:t>
            </w:r>
          </w:p>
        </w:tc>
        <w:tc>
          <w:tcPr>
            <w:tcW w:w="1940" w:type="dxa"/>
            <w:vAlign w:val="bottom"/>
            <w:tcBorders>
              <w:bottom w:val="single" w:sz="8" w:color="CCEEFF"/>
            </w:tcBorders>
            <w:shd w:val="clear" w:color="auto" w:fill="CCEEFF"/>
          </w:tcPr>
          <w:p>
            <w:pPr>
              <w:jc w:val="right"/>
              <w:ind w:right="639"/>
              <w:spacing w:after="0"/>
              <w:rPr>
                <w:sz w:val="20"/>
                <w:szCs w:val="20"/>
                <w:color w:val="auto"/>
              </w:rPr>
            </w:pPr>
            <w:r>
              <w:rPr>
                <w:rFonts w:ascii="Arial" w:cs="Arial" w:eastAsia="Arial" w:hAnsi="Arial"/>
                <w:sz w:val="16"/>
                <w:szCs w:val="16"/>
                <w:color w:val="auto"/>
              </w:rPr>
              <w:t>1,101</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1,323</w:t>
            </w:r>
          </w:p>
        </w:tc>
      </w:tr>
      <w:tr>
        <w:trPr>
          <w:trHeight w:val="237"/>
        </w:trPr>
        <w:tc>
          <w:tcPr>
            <w:tcW w:w="5200" w:type="dxa"/>
            <w:vAlign w:val="bottom"/>
          </w:tcPr>
          <w:p>
            <w:pPr>
              <w:ind w:left="40"/>
              <w:spacing w:after="0"/>
              <w:rPr>
                <w:sz w:val="20"/>
                <w:szCs w:val="20"/>
                <w:color w:val="auto"/>
              </w:rPr>
            </w:pPr>
            <w:r>
              <w:rPr>
                <w:rFonts w:ascii="Arial" w:cs="Arial" w:eastAsia="Arial" w:hAnsi="Arial"/>
                <w:sz w:val="16"/>
                <w:szCs w:val="16"/>
                <w:color w:val="auto"/>
              </w:rPr>
              <w:t>Interest expense, net</w:t>
            </w:r>
          </w:p>
        </w:tc>
        <w:tc>
          <w:tcPr>
            <w:tcW w:w="2980" w:type="dxa"/>
            <w:vAlign w:val="bottom"/>
          </w:tcPr>
          <w:p>
            <w:pPr>
              <w:jc w:val="right"/>
              <w:ind w:right="599"/>
              <w:spacing w:after="0"/>
              <w:rPr>
                <w:sz w:val="20"/>
                <w:szCs w:val="20"/>
                <w:color w:val="auto"/>
              </w:rPr>
            </w:pPr>
            <w:r>
              <w:rPr>
                <w:rFonts w:ascii="Arial" w:cs="Arial" w:eastAsia="Arial" w:hAnsi="Arial"/>
                <w:sz w:val="16"/>
                <w:szCs w:val="16"/>
                <w:b w:val="1"/>
                <w:bCs w:val="1"/>
                <w:color w:val="auto"/>
              </w:rPr>
              <w:t>(121)</w:t>
            </w:r>
          </w:p>
        </w:tc>
        <w:tc>
          <w:tcPr>
            <w:tcW w:w="1940" w:type="dxa"/>
            <w:vAlign w:val="bottom"/>
          </w:tcPr>
          <w:p>
            <w:pPr>
              <w:jc w:val="right"/>
              <w:ind w:right="599"/>
              <w:spacing w:after="0"/>
              <w:rPr>
                <w:sz w:val="20"/>
                <w:szCs w:val="20"/>
                <w:color w:val="auto"/>
              </w:rPr>
            </w:pPr>
            <w:r>
              <w:rPr>
                <w:rFonts w:ascii="Arial" w:cs="Arial" w:eastAsia="Arial" w:hAnsi="Arial"/>
                <w:sz w:val="16"/>
                <w:szCs w:val="16"/>
                <w:color w:val="auto"/>
              </w:rPr>
              <w:t>(125)</w:t>
            </w:r>
          </w:p>
        </w:tc>
        <w:tc>
          <w:tcPr>
            <w:tcW w:w="1300" w:type="dxa"/>
            <w:vAlign w:val="bottom"/>
          </w:tcPr>
          <w:p>
            <w:pPr>
              <w:jc w:val="right"/>
              <w:spacing w:after="0"/>
              <w:rPr>
                <w:sz w:val="20"/>
                <w:szCs w:val="20"/>
                <w:color w:val="auto"/>
              </w:rPr>
            </w:pPr>
            <w:r>
              <w:rPr>
                <w:rFonts w:ascii="Arial" w:cs="Arial" w:eastAsia="Arial" w:hAnsi="Arial"/>
                <w:sz w:val="16"/>
                <w:szCs w:val="16"/>
                <w:color w:val="auto"/>
              </w:rPr>
              <w:t>(138)</w:t>
            </w:r>
          </w:p>
        </w:tc>
      </w:tr>
      <w:tr>
        <w:trPr>
          <w:trHeight w:val="33"/>
        </w:trPr>
        <w:tc>
          <w:tcPr>
            <w:tcW w:w="5200" w:type="dxa"/>
            <w:vAlign w:val="bottom"/>
            <w:tcBorders>
              <w:bottom w:val="single" w:sz="8" w:color="auto"/>
            </w:tcBorders>
          </w:tcPr>
          <w:p>
            <w:pPr>
              <w:spacing w:after="0"/>
              <w:rPr>
                <w:sz w:val="2"/>
                <w:szCs w:val="2"/>
                <w:color w:val="auto"/>
              </w:rPr>
            </w:pPr>
          </w:p>
        </w:tc>
        <w:tc>
          <w:tcPr>
            <w:tcW w:w="29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5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Earnings before income taxes</w:t>
            </w:r>
          </w:p>
        </w:tc>
        <w:tc>
          <w:tcPr>
            <w:tcW w:w="2980" w:type="dxa"/>
            <w:vAlign w:val="bottom"/>
            <w:tcBorders>
              <w:bottom w:val="single" w:sz="8" w:color="CCEEFF"/>
            </w:tcBorders>
            <w:shd w:val="clear" w:color="auto" w:fill="CCEEFF"/>
          </w:tcPr>
          <w:p>
            <w:pPr>
              <w:jc w:val="right"/>
              <w:ind w:right="659"/>
              <w:spacing w:after="0"/>
              <w:rPr>
                <w:sz w:val="20"/>
                <w:szCs w:val="20"/>
                <w:color w:val="auto"/>
              </w:rPr>
            </w:pPr>
            <w:r>
              <w:rPr>
                <w:rFonts w:ascii="Arial" w:cs="Arial" w:eastAsia="Arial" w:hAnsi="Arial"/>
                <w:sz w:val="16"/>
                <w:szCs w:val="16"/>
                <w:b w:val="1"/>
                <w:bCs w:val="1"/>
                <w:color w:val="auto"/>
              </w:rPr>
              <w:t>684</w:t>
            </w:r>
          </w:p>
        </w:tc>
        <w:tc>
          <w:tcPr>
            <w:tcW w:w="1940" w:type="dxa"/>
            <w:vAlign w:val="bottom"/>
            <w:tcBorders>
              <w:bottom w:val="single" w:sz="8" w:color="CCEEFF"/>
            </w:tcBorders>
            <w:shd w:val="clear" w:color="auto" w:fill="CCEEFF"/>
          </w:tcPr>
          <w:p>
            <w:pPr>
              <w:jc w:val="right"/>
              <w:ind w:right="639"/>
              <w:spacing w:after="0"/>
              <w:rPr>
                <w:sz w:val="20"/>
                <w:szCs w:val="20"/>
                <w:color w:val="auto"/>
              </w:rPr>
            </w:pPr>
            <w:r>
              <w:rPr>
                <w:rFonts w:ascii="Arial" w:cs="Arial" w:eastAsia="Arial" w:hAnsi="Arial"/>
                <w:sz w:val="16"/>
                <w:szCs w:val="16"/>
                <w:color w:val="auto"/>
              </w:rPr>
              <w:t>976</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1,185</w:t>
            </w:r>
          </w:p>
        </w:tc>
      </w:tr>
      <w:tr>
        <w:trPr>
          <w:trHeight w:val="237"/>
        </w:trPr>
        <w:tc>
          <w:tcPr>
            <w:tcW w:w="5200" w:type="dxa"/>
            <w:vAlign w:val="bottom"/>
          </w:tcPr>
          <w:p>
            <w:pPr>
              <w:ind w:left="40"/>
              <w:spacing w:after="0"/>
              <w:rPr>
                <w:sz w:val="20"/>
                <w:szCs w:val="20"/>
                <w:color w:val="auto"/>
              </w:rPr>
            </w:pPr>
            <w:r>
              <w:rPr>
                <w:rFonts w:ascii="Arial" w:cs="Arial" w:eastAsia="Arial" w:hAnsi="Arial"/>
                <w:sz w:val="16"/>
                <w:szCs w:val="16"/>
                <w:color w:val="auto"/>
              </w:rPr>
              <w:t>Income tax expense</w:t>
            </w:r>
          </w:p>
        </w:tc>
        <w:tc>
          <w:tcPr>
            <w:tcW w:w="2980" w:type="dxa"/>
            <w:vAlign w:val="bottom"/>
          </w:tcPr>
          <w:p>
            <w:pPr>
              <w:jc w:val="right"/>
              <w:ind w:right="599"/>
              <w:spacing w:after="0"/>
              <w:rPr>
                <w:sz w:val="20"/>
                <w:szCs w:val="20"/>
                <w:color w:val="auto"/>
              </w:rPr>
            </w:pPr>
            <w:r>
              <w:rPr>
                <w:rFonts w:ascii="Arial" w:cs="Arial" w:eastAsia="Arial" w:hAnsi="Arial"/>
                <w:sz w:val="16"/>
                <w:szCs w:val="16"/>
                <w:b w:val="1"/>
                <w:bCs w:val="1"/>
                <w:color w:val="auto"/>
              </w:rPr>
              <w:t>(330)</w:t>
            </w:r>
          </w:p>
        </w:tc>
        <w:tc>
          <w:tcPr>
            <w:tcW w:w="1940" w:type="dxa"/>
            <w:vAlign w:val="bottom"/>
          </w:tcPr>
          <w:p>
            <w:pPr>
              <w:jc w:val="right"/>
              <w:ind w:right="599"/>
              <w:spacing w:after="0"/>
              <w:rPr>
                <w:sz w:val="20"/>
                <w:szCs w:val="20"/>
                <w:color w:val="auto"/>
              </w:rPr>
            </w:pPr>
            <w:r>
              <w:rPr>
                <w:rFonts w:ascii="Arial" w:cs="Arial" w:eastAsia="Arial" w:hAnsi="Arial"/>
                <w:sz w:val="16"/>
                <w:szCs w:val="16"/>
                <w:color w:val="auto"/>
              </w:rPr>
              <w:t>(376)</w:t>
            </w:r>
          </w:p>
        </w:tc>
        <w:tc>
          <w:tcPr>
            <w:tcW w:w="1300" w:type="dxa"/>
            <w:vAlign w:val="bottom"/>
          </w:tcPr>
          <w:p>
            <w:pPr>
              <w:jc w:val="right"/>
              <w:spacing w:after="0"/>
              <w:rPr>
                <w:sz w:val="20"/>
                <w:szCs w:val="20"/>
                <w:color w:val="auto"/>
              </w:rPr>
            </w:pPr>
            <w:r>
              <w:rPr>
                <w:rFonts w:ascii="Arial" w:cs="Arial" w:eastAsia="Arial" w:hAnsi="Arial"/>
                <w:sz w:val="16"/>
                <w:szCs w:val="16"/>
                <w:color w:val="auto"/>
              </w:rPr>
              <w:t>(465)</w:t>
            </w:r>
          </w:p>
        </w:tc>
      </w:tr>
      <w:tr>
        <w:trPr>
          <w:trHeight w:val="33"/>
        </w:trPr>
        <w:tc>
          <w:tcPr>
            <w:tcW w:w="5200" w:type="dxa"/>
            <w:vAlign w:val="bottom"/>
            <w:tcBorders>
              <w:bottom w:val="single" w:sz="8" w:color="auto"/>
            </w:tcBorders>
          </w:tcPr>
          <w:p>
            <w:pPr>
              <w:spacing w:after="0"/>
              <w:rPr>
                <w:sz w:val="2"/>
                <w:szCs w:val="2"/>
                <w:color w:val="auto"/>
              </w:rPr>
            </w:pPr>
          </w:p>
        </w:tc>
        <w:tc>
          <w:tcPr>
            <w:tcW w:w="29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9"/>
        </w:trPr>
        <w:tc>
          <w:tcPr>
            <w:tcW w:w="5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earnings</w:t>
            </w:r>
          </w:p>
        </w:tc>
        <w:tc>
          <w:tcPr>
            <w:tcW w:w="2980" w:type="dxa"/>
            <w:vAlign w:val="bottom"/>
            <w:tcBorders>
              <w:bottom w:val="single" w:sz="8" w:color="CCEEFF"/>
            </w:tcBorders>
            <w:shd w:val="clear" w:color="auto" w:fill="CCEEFF"/>
          </w:tcPr>
          <w:p>
            <w:pPr>
              <w:jc w:val="right"/>
              <w:ind w:right="659"/>
              <w:spacing w:after="0"/>
              <w:rPr>
                <w:sz w:val="20"/>
                <w:szCs w:val="20"/>
                <w:color w:val="auto"/>
              </w:rPr>
            </w:pPr>
            <w:r>
              <w:rPr>
                <w:rFonts w:ascii="Arial" w:cs="Arial" w:eastAsia="Arial" w:hAnsi="Arial"/>
                <w:sz w:val="16"/>
                <w:szCs w:val="16"/>
                <w:b w:val="1"/>
                <w:bCs w:val="1"/>
                <w:color w:val="auto"/>
              </w:rPr>
              <w:t>$354</w:t>
            </w:r>
          </w:p>
        </w:tc>
        <w:tc>
          <w:tcPr>
            <w:tcW w:w="1940" w:type="dxa"/>
            <w:vAlign w:val="bottom"/>
            <w:tcBorders>
              <w:bottom w:val="single" w:sz="8" w:color="CCEEFF"/>
            </w:tcBorders>
            <w:shd w:val="clear" w:color="auto" w:fill="CCEEFF"/>
          </w:tcPr>
          <w:p>
            <w:pPr>
              <w:jc w:val="right"/>
              <w:ind w:right="639"/>
              <w:spacing w:after="0"/>
              <w:rPr>
                <w:sz w:val="20"/>
                <w:szCs w:val="20"/>
                <w:color w:val="auto"/>
              </w:rPr>
            </w:pPr>
            <w:r>
              <w:rPr>
                <w:rFonts w:ascii="Arial" w:cs="Arial" w:eastAsia="Arial" w:hAnsi="Arial"/>
                <w:sz w:val="16"/>
                <w:szCs w:val="16"/>
                <w:color w:val="auto"/>
              </w:rPr>
              <w:t>$600</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$720</w:t>
            </w:r>
          </w:p>
        </w:tc>
      </w:tr>
      <w:tr>
        <w:trPr>
          <w:trHeight w:val="291"/>
        </w:trPr>
        <w:tc>
          <w:tcPr>
            <w:tcW w:w="5200" w:type="dxa"/>
            <w:vAlign w:val="bottom"/>
            <w:tcBorders>
              <w:top w:val="single" w:sz="8" w:color="auto"/>
            </w:tcBorders>
          </w:tcPr>
          <w:p>
            <w:pPr>
              <w:spacing w:after="0"/>
              <w:rPr>
                <w:sz w:val="24"/>
                <w:szCs w:val="24"/>
                <w:color w:val="auto"/>
              </w:rPr>
            </w:pPr>
          </w:p>
        </w:tc>
        <w:tc>
          <w:tcPr>
            <w:tcW w:w="2980" w:type="dxa"/>
            <w:vAlign w:val="bottom"/>
            <w:tcBorders>
              <w:top w:val="single" w:sz="8" w:color="auto"/>
            </w:tcBorders>
          </w:tcPr>
          <w:p>
            <w:pPr>
              <w:spacing w:after="0"/>
              <w:rPr>
                <w:sz w:val="24"/>
                <w:szCs w:val="24"/>
                <w:color w:val="auto"/>
              </w:rPr>
            </w:pPr>
          </w:p>
        </w:tc>
        <w:tc>
          <w:tcPr>
            <w:tcW w:w="194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r>
      <w:tr>
        <w:trPr>
          <w:trHeight w:val="250"/>
        </w:trPr>
        <w:tc>
          <w:tcPr>
            <w:tcW w:w="5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Earnings per share:</w:t>
            </w:r>
          </w:p>
        </w:tc>
        <w:tc>
          <w:tcPr>
            <w:tcW w:w="298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37"/>
        </w:trPr>
        <w:tc>
          <w:tcPr>
            <w:tcW w:w="5200" w:type="dxa"/>
            <w:vAlign w:val="bottom"/>
          </w:tcPr>
          <w:p>
            <w:pPr>
              <w:ind w:left="280"/>
              <w:spacing w:after="0"/>
              <w:rPr>
                <w:sz w:val="20"/>
                <w:szCs w:val="20"/>
                <w:color w:val="auto"/>
              </w:rPr>
            </w:pPr>
            <w:r>
              <w:rPr>
                <w:rFonts w:ascii="Arial" w:cs="Arial" w:eastAsia="Arial" w:hAnsi="Arial"/>
                <w:sz w:val="16"/>
                <w:szCs w:val="16"/>
                <w:color w:val="auto"/>
              </w:rPr>
              <w:t>Basic</w:t>
            </w:r>
          </w:p>
        </w:tc>
        <w:tc>
          <w:tcPr>
            <w:tcW w:w="2980" w:type="dxa"/>
            <w:vAlign w:val="bottom"/>
          </w:tcPr>
          <w:p>
            <w:pPr>
              <w:jc w:val="right"/>
              <w:ind w:right="659"/>
              <w:spacing w:after="0"/>
              <w:rPr>
                <w:sz w:val="20"/>
                <w:szCs w:val="20"/>
                <w:color w:val="auto"/>
              </w:rPr>
            </w:pPr>
            <w:r>
              <w:rPr>
                <w:rFonts w:ascii="Arial" w:cs="Arial" w:eastAsia="Arial" w:hAnsi="Arial"/>
                <w:sz w:val="16"/>
                <w:szCs w:val="16"/>
                <w:b w:val="1"/>
                <w:bCs w:val="1"/>
                <w:color w:val="auto"/>
              </w:rPr>
              <w:t>$2.05</w:t>
            </w:r>
          </w:p>
        </w:tc>
        <w:tc>
          <w:tcPr>
            <w:tcW w:w="1940" w:type="dxa"/>
            <w:vAlign w:val="bottom"/>
          </w:tcPr>
          <w:p>
            <w:pPr>
              <w:jc w:val="right"/>
              <w:ind w:right="639"/>
              <w:spacing w:after="0"/>
              <w:rPr>
                <w:sz w:val="20"/>
                <w:szCs w:val="20"/>
                <w:color w:val="auto"/>
              </w:rPr>
            </w:pPr>
            <w:r>
              <w:rPr>
                <w:rFonts w:ascii="Arial" w:cs="Arial" w:eastAsia="Arial" w:hAnsi="Arial"/>
                <w:sz w:val="16"/>
                <w:szCs w:val="16"/>
                <w:color w:val="auto"/>
              </w:rPr>
              <w:t>$3.22</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$3.79</w:t>
            </w:r>
          </w:p>
        </w:tc>
      </w:tr>
      <w:tr>
        <w:trPr>
          <w:trHeight w:val="33"/>
        </w:trPr>
        <w:tc>
          <w:tcPr>
            <w:tcW w:w="520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5"/>
        </w:trPr>
        <w:tc>
          <w:tcPr>
            <w:tcW w:w="5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Diluted</w:t>
            </w:r>
          </w:p>
        </w:tc>
        <w:tc>
          <w:tcPr>
            <w:tcW w:w="2980" w:type="dxa"/>
            <w:vAlign w:val="bottom"/>
            <w:tcBorders>
              <w:bottom w:val="single" w:sz="8" w:color="CCEEFF"/>
            </w:tcBorders>
            <w:shd w:val="clear" w:color="auto" w:fill="CCEEFF"/>
          </w:tcPr>
          <w:p>
            <w:pPr>
              <w:jc w:val="right"/>
              <w:ind w:right="659"/>
              <w:spacing w:after="0"/>
              <w:rPr>
                <w:sz w:val="20"/>
                <w:szCs w:val="20"/>
                <w:color w:val="auto"/>
              </w:rPr>
            </w:pPr>
            <w:r>
              <w:rPr>
                <w:rFonts w:ascii="Arial" w:cs="Arial" w:eastAsia="Arial" w:hAnsi="Arial"/>
                <w:sz w:val="16"/>
                <w:szCs w:val="16"/>
                <w:b w:val="1"/>
                <w:bCs w:val="1"/>
                <w:color w:val="auto"/>
              </w:rPr>
              <w:t>$2.02</w:t>
            </w:r>
          </w:p>
        </w:tc>
        <w:tc>
          <w:tcPr>
            <w:tcW w:w="1940" w:type="dxa"/>
            <w:vAlign w:val="bottom"/>
            <w:tcBorders>
              <w:bottom w:val="single" w:sz="8" w:color="CCEEFF"/>
            </w:tcBorders>
            <w:shd w:val="clear" w:color="auto" w:fill="CCEEFF"/>
          </w:tcPr>
          <w:p>
            <w:pPr>
              <w:jc w:val="right"/>
              <w:ind w:right="639"/>
              <w:spacing w:after="0"/>
              <w:rPr>
                <w:sz w:val="20"/>
                <w:szCs w:val="20"/>
                <w:color w:val="auto"/>
              </w:rPr>
            </w:pPr>
            <w:r>
              <w:rPr>
                <w:rFonts w:ascii="Arial" w:cs="Arial" w:eastAsia="Arial" w:hAnsi="Arial"/>
                <w:sz w:val="16"/>
                <w:szCs w:val="16"/>
                <w:color w:val="auto"/>
              </w:rPr>
              <w:t>$3.15</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$3.72</w:t>
            </w:r>
          </w:p>
        </w:tc>
      </w:tr>
      <w:tr>
        <w:trPr>
          <w:trHeight w:val="291"/>
        </w:trPr>
        <w:tc>
          <w:tcPr>
            <w:tcW w:w="5200" w:type="dxa"/>
            <w:vAlign w:val="bottom"/>
            <w:tcBorders>
              <w:top w:val="single" w:sz="8" w:color="auto"/>
            </w:tcBorders>
          </w:tcPr>
          <w:p>
            <w:pPr>
              <w:spacing w:after="0"/>
              <w:rPr>
                <w:sz w:val="24"/>
                <w:szCs w:val="24"/>
                <w:color w:val="auto"/>
              </w:rPr>
            </w:pPr>
          </w:p>
        </w:tc>
        <w:tc>
          <w:tcPr>
            <w:tcW w:w="2980" w:type="dxa"/>
            <w:vAlign w:val="bottom"/>
            <w:tcBorders>
              <w:top w:val="single" w:sz="8" w:color="auto"/>
            </w:tcBorders>
          </w:tcPr>
          <w:p>
            <w:pPr>
              <w:spacing w:after="0"/>
              <w:rPr>
                <w:sz w:val="24"/>
                <w:szCs w:val="24"/>
                <w:color w:val="auto"/>
              </w:rPr>
            </w:pPr>
          </w:p>
        </w:tc>
        <w:tc>
          <w:tcPr>
            <w:tcW w:w="194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r>
      <w:tr>
        <w:trPr>
          <w:trHeight w:val="250"/>
        </w:trPr>
        <w:tc>
          <w:tcPr>
            <w:tcW w:w="5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Weighted-average shares outstanding:</w:t>
            </w:r>
          </w:p>
        </w:tc>
        <w:tc>
          <w:tcPr>
            <w:tcW w:w="298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37"/>
        </w:trPr>
        <w:tc>
          <w:tcPr>
            <w:tcW w:w="5200" w:type="dxa"/>
            <w:vAlign w:val="bottom"/>
          </w:tcPr>
          <w:p>
            <w:pPr>
              <w:ind w:left="280"/>
              <w:spacing w:after="0"/>
              <w:rPr>
                <w:sz w:val="20"/>
                <w:szCs w:val="20"/>
                <w:color w:val="auto"/>
              </w:rPr>
            </w:pPr>
            <w:r>
              <w:rPr>
                <w:rFonts w:ascii="Arial" w:cs="Arial" w:eastAsia="Arial" w:hAnsi="Arial"/>
                <w:sz w:val="16"/>
                <w:szCs w:val="16"/>
                <w:color w:val="auto"/>
              </w:rPr>
              <w:t>Basic</w:t>
            </w:r>
          </w:p>
        </w:tc>
        <w:tc>
          <w:tcPr>
            <w:tcW w:w="2980" w:type="dxa"/>
            <w:vAlign w:val="bottom"/>
          </w:tcPr>
          <w:p>
            <w:pPr>
              <w:jc w:val="right"/>
              <w:ind w:right="659"/>
              <w:spacing w:after="0"/>
              <w:rPr>
                <w:sz w:val="20"/>
                <w:szCs w:val="20"/>
                <w:color w:val="auto"/>
              </w:rPr>
            </w:pPr>
            <w:r>
              <w:rPr>
                <w:rFonts w:ascii="Arial" w:cs="Arial" w:eastAsia="Arial" w:hAnsi="Arial"/>
                <w:sz w:val="16"/>
                <w:szCs w:val="16"/>
                <w:b w:val="1"/>
                <w:bCs w:val="1"/>
                <w:color w:val="auto"/>
              </w:rPr>
              <w:t>173.2</w:t>
            </w:r>
          </w:p>
        </w:tc>
        <w:tc>
          <w:tcPr>
            <w:tcW w:w="1940" w:type="dxa"/>
            <w:vAlign w:val="bottom"/>
          </w:tcPr>
          <w:p>
            <w:pPr>
              <w:jc w:val="right"/>
              <w:ind w:right="639"/>
              <w:spacing w:after="0"/>
              <w:rPr>
                <w:sz w:val="20"/>
                <w:szCs w:val="20"/>
                <w:color w:val="auto"/>
              </w:rPr>
            </w:pPr>
            <w:r>
              <w:rPr>
                <w:rFonts w:ascii="Arial" w:cs="Arial" w:eastAsia="Arial" w:hAnsi="Arial"/>
                <w:sz w:val="16"/>
                <w:szCs w:val="16"/>
                <w:color w:val="auto"/>
              </w:rPr>
              <w:t>186.3</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190.0</w:t>
            </w:r>
          </w:p>
        </w:tc>
      </w:tr>
      <w:tr>
        <w:trPr>
          <w:trHeight w:val="33"/>
        </w:trPr>
        <w:tc>
          <w:tcPr>
            <w:tcW w:w="520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Diluted</w:t>
            </w:r>
          </w:p>
        </w:tc>
        <w:tc>
          <w:tcPr>
            <w:tcW w:w="2980" w:type="dxa"/>
            <w:vAlign w:val="bottom"/>
            <w:tcBorders>
              <w:bottom w:val="single" w:sz="8" w:color="CCEEFF"/>
            </w:tcBorders>
            <w:shd w:val="clear" w:color="auto" w:fill="CCEEFF"/>
          </w:tcPr>
          <w:p>
            <w:pPr>
              <w:jc w:val="right"/>
              <w:ind w:right="659"/>
              <w:spacing w:after="0"/>
              <w:rPr>
                <w:sz w:val="20"/>
                <w:szCs w:val="20"/>
                <w:color w:val="auto"/>
              </w:rPr>
            </w:pPr>
            <w:r>
              <w:rPr>
                <w:rFonts w:ascii="Arial" w:cs="Arial" w:eastAsia="Arial" w:hAnsi="Arial"/>
                <w:sz w:val="16"/>
                <w:szCs w:val="16"/>
                <w:b w:val="1"/>
                <w:bCs w:val="1"/>
                <w:color w:val="auto"/>
              </w:rPr>
              <w:t>175.6</w:t>
            </w:r>
          </w:p>
        </w:tc>
        <w:tc>
          <w:tcPr>
            <w:tcW w:w="1940" w:type="dxa"/>
            <w:vAlign w:val="bottom"/>
            <w:tcBorders>
              <w:bottom w:val="single" w:sz="8" w:color="CCEEFF"/>
            </w:tcBorders>
            <w:shd w:val="clear" w:color="auto" w:fill="CCEEFF"/>
          </w:tcPr>
          <w:p>
            <w:pPr>
              <w:jc w:val="right"/>
              <w:ind w:right="639"/>
              <w:spacing w:after="0"/>
              <w:rPr>
                <w:sz w:val="20"/>
                <w:szCs w:val="20"/>
                <w:color w:val="auto"/>
              </w:rPr>
            </w:pPr>
            <w:r>
              <w:rPr>
                <w:rFonts w:ascii="Arial" w:cs="Arial" w:eastAsia="Arial" w:hAnsi="Arial"/>
                <w:sz w:val="16"/>
                <w:szCs w:val="16"/>
                <w:color w:val="auto"/>
              </w:rPr>
              <w:t>190.1</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193.6</w:t>
            </w:r>
          </w:p>
        </w:tc>
      </w:tr>
      <w:tr>
        <w:trPr>
          <w:trHeight w:val="20"/>
        </w:trPr>
        <w:tc>
          <w:tcPr>
            <w:tcW w:w="5200" w:type="dxa"/>
            <w:vAlign w:val="bottom"/>
            <w:shd w:val="clear" w:color="auto" w:fill="000000"/>
          </w:tcPr>
          <w:p>
            <w:pPr>
              <w:spacing w:after="0" w:line="20" w:lineRule="exact"/>
              <w:rPr>
                <w:sz w:val="1"/>
                <w:szCs w:val="1"/>
                <w:color w:val="auto"/>
              </w:rPr>
            </w:pPr>
          </w:p>
        </w:tc>
        <w:tc>
          <w:tcPr>
            <w:tcW w:w="2980" w:type="dxa"/>
            <w:vAlign w:val="bottom"/>
            <w:shd w:val="clear" w:color="auto" w:fill="000000"/>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r>
    </w:tbl>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to Consolidated Financial Statements are an integral part of these financial statements.</w:t>
      </w:r>
    </w:p>
    <w:p>
      <w:pPr>
        <w:spacing w:after="0" w:line="16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Nordstrom, Inc.</w:t>
      </w:r>
    </w:p>
    <w:p>
      <w:pPr>
        <w:spacing w:after="0" w:line="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Statements of Comprehensive Earnings</w:t>
      </w:r>
    </w:p>
    <w:p>
      <w:pPr>
        <w:spacing w:after="0"/>
        <w:rPr>
          <w:sz w:val="20"/>
          <w:szCs w:val="20"/>
          <w:color w:val="auto"/>
        </w:rPr>
      </w:pPr>
      <w:r>
        <w:rPr>
          <w:rFonts w:ascii="Arial" w:cs="Arial" w:eastAsia="Arial" w:hAnsi="Arial"/>
          <w:sz w:val="18"/>
          <w:szCs w:val="18"/>
          <w:color w:val="auto"/>
        </w:rPr>
        <w:t>In millions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60" w:type="dxa"/>
            <w:vAlign w:val="bottom"/>
          </w:tcPr>
          <w:p>
            <w:pPr>
              <w:ind w:left="40"/>
              <w:spacing w:after="0"/>
              <w:rPr>
                <w:sz w:val="20"/>
                <w:szCs w:val="20"/>
                <w:color w:val="auto"/>
              </w:rPr>
            </w:pPr>
            <w:r>
              <w:rPr>
                <w:rFonts w:ascii="Arial" w:cs="Arial" w:eastAsia="Arial" w:hAnsi="Arial"/>
                <w:sz w:val="16"/>
                <w:szCs w:val="16"/>
                <w:b w:val="1"/>
                <w:bCs w:val="1"/>
                <w:color w:val="auto"/>
              </w:rPr>
              <w:t>Fiscal year</w:t>
            </w:r>
          </w:p>
        </w:tc>
        <w:tc>
          <w:tcPr>
            <w:tcW w:w="2600" w:type="dxa"/>
            <w:vAlign w:val="bottom"/>
          </w:tcPr>
          <w:p>
            <w:pPr>
              <w:jc w:val="right"/>
              <w:ind w:right="739"/>
              <w:spacing w:after="0"/>
              <w:rPr>
                <w:sz w:val="20"/>
                <w:szCs w:val="20"/>
                <w:color w:val="auto"/>
              </w:rPr>
            </w:pPr>
            <w:r>
              <w:rPr>
                <w:rFonts w:ascii="Arial" w:cs="Arial" w:eastAsia="Arial" w:hAnsi="Arial"/>
                <w:sz w:val="16"/>
                <w:szCs w:val="16"/>
                <w:b w:val="1"/>
                <w:bCs w:val="1"/>
                <w:color w:val="auto"/>
              </w:rPr>
              <w:t>2016</w:t>
            </w:r>
          </w:p>
        </w:tc>
        <w:tc>
          <w:tcPr>
            <w:tcW w:w="1960" w:type="dxa"/>
            <w:vAlign w:val="bottom"/>
          </w:tcPr>
          <w:p>
            <w:pPr>
              <w:jc w:val="right"/>
              <w:ind w:right="739"/>
              <w:spacing w:after="0"/>
              <w:rPr>
                <w:sz w:val="20"/>
                <w:szCs w:val="20"/>
                <w:color w:val="auto"/>
              </w:rPr>
            </w:pPr>
            <w:r>
              <w:rPr>
                <w:rFonts w:ascii="Arial" w:cs="Arial" w:eastAsia="Arial" w:hAnsi="Arial"/>
                <w:sz w:val="16"/>
                <w:szCs w:val="16"/>
                <w:b w:val="1"/>
                <w:bCs w:val="1"/>
                <w:color w:val="auto"/>
              </w:rPr>
              <w:t>2015</w:t>
            </w:r>
          </w:p>
        </w:tc>
        <w:tc>
          <w:tcPr>
            <w:tcW w:w="1200" w:type="dxa"/>
            <w:vAlign w:val="bottom"/>
          </w:tcPr>
          <w:p>
            <w:pPr>
              <w:jc w:val="right"/>
              <w:ind w:right="19"/>
              <w:spacing w:after="0"/>
              <w:rPr>
                <w:sz w:val="20"/>
                <w:szCs w:val="20"/>
                <w:color w:val="auto"/>
              </w:rPr>
            </w:pPr>
            <w:r>
              <w:rPr>
                <w:rFonts w:ascii="Arial" w:cs="Arial" w:eastAsia="Arial" w:hAnsi="Arial"/>
                <w:sz w:val="16"/>
                <w:szCs w:val="16"/>
                <w:b w:val="1"/>
                <w:bCs w:val="1"/>
                <w:color w:val="auto"/>
              </w:rPr>
              <w:t>2014</w:t>
            </w:r>
          </w:p>
        </w:tc>
      </w:tr>
      <w:tr>
        <w:trPr>
          <w:trHeight w:val="33"/>
        </w:trPr>
        <w:tc>
          <w:tcPr>
            <w:tcW w:w="566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5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earnings</w:t>
            </w:r>
          </w:p>
        </w:tc>
        <w:tc>
          <w:tcPr>
            <w:tcW w:w="260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b w:val="1"/>
                <w:bCs w:val="1"/>
                <w:color w:val="auto"/>
              </w:rPr>
              <w:t>$354</w:t>
            </w:r>
          </w:p>
        </w:tc>
        <w:tc>
          <w:tcPr>
            <w:tcW w:w="196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color w:val="auto"/>
              </w:rPr>
              <w:t>$600</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$720</w:t>
            </w:r>
          </w:p>
        </w:tc>
      </w:tr>
      <w:tr>
        <w:trPr>
          <w:trHeight w:val="237"/>
        </w:trPr>
        <w:tc>
          <w:tcPr>
            <w:tcW w:w="5660" w:type="dxa"/>
            <w:vAlign w:val="bottom"/>
          </w:tcPr>
          <w:p>
            <w:pPr>
              <w:ind w:left="40"/>
              <w:spacing w:after="0"/>
              <w:rPr>
                <w:sz w:val="20"/>
                <w:szCs w:val="20"/>
                <w:color w:val="auto"/>
              </w:rPr>
            </w:pPr>
            <w:r>
              <w:rPr>
                <w:rFonts w:ascii="Arial" w:cs="Arial" w:eastAsia="Arial" w:hAnsi="Arial"/>
                <w:sz w:val="16"/>
                <w:szCs w:val="16"/>
                <w:color w:val="auto"/>
              </w:rPr>
              <w:t>Postretirement plan adjustments, net of tax of ($1), ($15) and $7</w:t>
            </w:r>
          </w:p>
        </w:tc>
        <w:tc>
          <w:tcPr>
            <w:tcW w:w="2600" w:type="dxa"/>
            <w:vAlign w:val="bottom"/>
          </w:tcPr>
          <w:p>
            <w:pPr>
              <w:jc w:val="right"/>
              <w:ind w:right="739"/>
              <w:spacing w:after="0"/>
              <w:rPr>
                <w:sz w:val="20"/>
                <w:szCs w:val="20"/>
                <w:color w:val="auto"/>
              </w:rPr>
            </w:pPr>
            <w:r>
              <w:rPr>
                <w:rFonts w:ascii="Arial" w:cs="Arial" w:eastAsia="Arial" w:hAnsi="Arial"/>
                <w:sz w:val="16"/>
                <w:szCs w:val="16"/>
                <w:b w:val="1"/>
                <w:bCs w:val="1"/>
                <w:color w:val="auto"/>
              </w:rPr>
              <w:t>1</w:t>
            </w:r>
          </w:p>
        </w:tc>
        <w:tc>
          <w:tcPr>
            <w:tcW w:w="1960" w:type="dxa"/>
            <w:vAlign w:val="bottom"/>
          </w:tcPr>
          <w:p>
            <w:pPr>
              <w:jc w:val="right"/>
              <w:ind w:right="739"/>
              <w:spacing w:after="0"/>
              <w:rPr>
                <w:sz w:val="20"/>
                <w:szCs w:val="20"/>
                <w:color w:val="auto"/>
              </w:rPr>
            </w:pPr>
            <w:r>
              <w:rPr>
                <w:rFonts w:ascii="Arial" w:cs="Arial" w:eastAsia="Arial" w:hAnsi="Arial"/>
                <w:sz w:val="16"/>
                <w:szCs w:val="16"/>
                <w:color w:val="auto"/>
              </w:rPr>
              <w:t>24</w:t>
            </w:r>
          </w:p>
        </w:tc>
        <w:tc>
          <w:tcPr>
            <w:tcW w:w="120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33"/>
        </w:trPr>
        <w:tc>
          <w:tcPr>
            <w:tcW w:w="566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5"/>
        </w:trPr>
        <w:tc>
          <w:tcPr>
            <w:tcW w:w="5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Foreign currency translation adjustment</w:t>
            </w:r>
          </w:p>
        </w:tc>
        <w:tc>
          <w:tcPr>
            <w:tcW w:w="260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b w:val="1"/>
                <w:bCs w:val="1"/>
                <w:color w:val="auto"/>
              </w:rPr>
              <w:t>14</w:t>
            </w:r>
          </w:p>
        </w:tc>
        <w:tc>
          <w:tcPr>
            <w:tcW w:w="196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6"/>
                <w:szCs w:val="16"/>
                <w:color w:val="auto"/>
              </w:rPr>
              <w:t>(18)</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r>
      <w:tr>
        <w:trPr>
          <w:trHeight w:val="231"/>
        </w:trPr>
        <w:tc>
          <w:tcPr>
            <w:tcW w:w="566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Comprehensive net earnings</w:t>
            </w:r>
          </w:p>
        </w:tc>
        <w:tc>
          <w:tcPr>
            <w:tcW w:w="2600" w:type="dxa"/>
            <w:vAlign w:val="bottom"/>
            <w:tcBorders>
              <w:top w:val="single" w:sz="8" w:color="auto"/>
            </w:tcBorders>
          </w:tcPr>
          <w:p>
            <w:pPr>
              <w:jc w:val="right"/>
              <w:ind w:right="739"/>
              <w:spacing w:after="0"/>
              <w:rPr>
                <w:sz w:val="20"/>
                <w:szCs w:val="20"/>
                <w:color w:val="auto"/>
              </w:rPr>
            </w:pPr>
            <w:r>
              <w:rPr>
                <w:rFonts w:ascii="Arial" w:cs="Arial" w:eastAsia="Arial" w:hAnsi="Arial"/>
                <w:sz w:val="16"/>
                <w:szCs w:val="16"/>
                <w:b w:val="1"/>
                <w:bCs w:val="1"/>
                <w:color w:val="auto"/>
              </w:rPr>
              <w:t>$369</w:t>
            </w:r>
          </w:p>
        </w:tc>
        <w:tc>
          <w:tcPr>
            <w:tcW w:w="1960" w:type="dxa"/>
            <w:vAlign w:val="bottom"/>
            <w:tcBorders>
              <w:top w:val="single" w:sz="8" w:color="auto"/>
            </w:tcBorders>
          </w:tcPr>
          <w:p>
            <w:pPr>
              <w:jc w:val="right"/>
              <w:ind w:right="739"/>
              <w:spacing w:after="0"/>
              <w:rPr>
                <w:sz w:val="20"/>
                <w:szCs w:val="20"/>
                <w:color w:val="auto"/>
              </w:rPr>
            </w:pPr>
            <w:r>
              <w:rPr>
                <w:rFonts w:ascii="Arial" w:cs="Arial" w:eastAsia="Arial" w:hAnsi="Arial"/>
                <w:sz w:val="16"/>
                <w:szCs w:val="16"/>
                <w:color w:val="auto"/>
              </w:rPr>
              <w:t>$606</w:t>
            </w: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$695</w:t>
            </w:r>
          </w:p>
        </w:tc>
      </w:tr>
      <w:tr>
        <w:trPr>
          <w:trHeight w:val="33"/>
        </w:trPr>
        <w:tc>
          <w:tcPr>
            <w:tcW w:w="566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bl>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to Consolidated Financial Statements are an integral part of these financial statements.</w:t>
      </w:r>
    </w:p>
    <w:p>
      <w:pPr>
        <w:spacing w:after="0" w:line="200" w:lineRule="exact"/>
        <w:rPr>
          <w:sz w:val="20"/>
          <w:szCs w:val="20"/>
          <w:color w:val="auto"/>
        </w:rPr>
      </w:pPr>
    </w:p>
    <w:p>
      <w:pPr>
        <w:spacing w:after="0" w:line="210" w:lineRule="exact"/>
        <w:rPr>
          <w:sz w:val="20"/>
          <w:szCs w:val="20"/>
          <w:color w:val="auto"/>
        </w:rPr>
      </w:pPr>
    </w:p>
    <w:p>
      <w:pPr>
        <w:jc w:val="right"/>
        <w:spacing w:after="0"/>
        <w:rPr>
          <w:sz w:val="20"/>
          <w:szCs w:val="20"/>
          <w:color w:val="auto"/>
        </w:rPr>
      </w:pPr>
      <w:r>
        <w:rPr>
          <w:rFonts w:ascii="Arial" w:cs="Arial" w:eastAsia="Arial" w:hAnsi="Arial"/>
          <w:sz w:val="13"/>
          <w:szCs w:val="13"/>
          <w:color w:val="auto"/>
        </w:rPr>
        <w:t xml:space="preserve">Nordstrom, Inc. and subsidiaries </w:t>
      </w:r>
      <w:r>
        <w:rPr>
          <w:rFonts w:ascii="Arial" w:cs="Arial" w:eastAsia="Arial" w:hAnsi="Arial"/>
          <w:sz w:val="16"/>
          <w:szCs w:val="16"/>
          <w:color w:val="auto"/>
        </w:rPr>
        <w:t>37</w:t>
      </w:r>
    </w:p>
    <w:p>
      <w:pPr>
        <w:sectPr>
          <w:pgSz w:w="11900" w:h="16838" w:orient="portrait"/>
          <w:cols w:equalWidth="0" w:num="1">
            <w:col w:w="11420"/>
          </w:cols>
          <w:pgMar w:left="240" w:top="126" w:right="239" w:bottom="1440" w:gutter="0" w:footer="0" w:header="0"/>
        </w:sectPr>
      </w:pPr>
    </w:p>
    <w:bookmarkStart w:id="37" w:name="page38"/>
    <w:bookmarkEnd w:id="37"/>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Nordstrom, Inc.</w:t>
      </w:r>
    </w:p>
    <w:p>
      <w:pPr>
        <w:spacing w:after="0" w:line="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Balance Sheets</w:t>
      </w:r>
    </w:p>
    <w:p>
      <w:pPr>
        <w:spacing w:after="0"/>
        <w:rPr>
          <w:sz w:val="20"/>
          <w:szCs w:val="20"/>
          <w:color w:val="auto"/>
        </w:rPr>
      </w:pPr>
      <w:r>
        <w:rPr>
          <w:rFonts w:ascii="Arial" w:cs="Arial" w:eastAsia="Arial" w:hAnsi="Arial"/>
          <w:sz w:val="18"/>
          <w:szCs w:val="18"/>
          <w:color w:val="auto"/>
        </w:rPr>
        <w:t>In millions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540" w:type="dxa"/>
            <w:vAlign w:val="bottom"/>
          </w:tcPr>
          <w:p>
            <w:pPr>
              <w:spacing w:after="0"/>
              <w:rPr>
                <w:sz w:val="18"/>
                <w:szCs w:val="18"/>
                <w:color w:val="auto"/>
              </w:rPr>
            </w:pPr>
          </w:p>
        </w:tc>
        <w:tc>
          <w:tcPr>
            <w:tcW w:w="2240" w:type="dxa"/>
            <w:vAlign w:val="bottom"/>
          </w:tcPr>
          <w:p>
            <w:pPr>
              <w:jc w:val="right"/>
              <w:ind w:right="299"/>
              <w:spacing w:after="0"/>
              <w:rPr>
                <w:sz w:val="20"/>
                <w:szCs w:val="20"/>
                <w:color w:val="auto"/>
              </w:rPr>
            </w:pPr>
            <w:r>
              <w:rPr>
                <w:rFonts w:ascii="Arial" w:cs="Arial" w:eastAsia="Arial" w:hAnsi="Arial"/>
                <w:sz w:val="16"/>
                <w:szCs w:val="16"/>
                <w:b w:val="1"/>
                <w:bCs w:val="1"/>
                <w:color w:val="auto"/>
              </w:rPr>
              <w:t>January 28, 2017</w:t>
            </w:r>
          </w:p>
        </w:tc>
        <w:tc>
          <w:tcPr>
            <w:tcW w:w="1640" w:type="dxa"/>
            <w:vAlign w:val="bottom"/>
          </w:tcPr>
          <w:p>
            <w:pPr>
              <w:jc w:val="right"/>
              <w:ind w:right="19"/>
              <w:spacing w:after="0"/>
              <w:rPr>
                <w:sz w:val="20"/>
                <w:szCs w:val="20"/>
                <w:color w:val="auto"/>
              </w:rPr>
            </w:pPr>
            <w:r>
              <w:rPr>
                <w:rFonts w:ascii="Arial" w:cs="Arial" w:eastAsia="Arial" w:hAnsi="Arial"/>
                <w:sz w:val="16"/>
                <w:szCs w:val="16"/>
                <w:b w:val="1"/>
                <w:bCs w:val="1"/>
                <w:color w:val="auto"/>
              </w:rPr>
              <w:t>January 30, 2016</w:t>
            </w:r>
          </w:p>
        </w:tc>
      </w:tr>
      <w:tr>
        <w:trPr>
          <w:trHeight w:val="33"/>
        </w:trPr>
        <w:tc>
          <w:tcPr>
            <w:tcW w:w="754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224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37"/>
        </w:trPr>
        <w:tc>
          <w:tcPr>
            <w:tcW w:w="754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224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33"/>
        </w:trPr>
        <w:tc>
          <w:tcPr>
            <w:tcW w:w="754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Cash and cash equivalents</w:t>
            </w:r>
          </w:p>
        </w:tc>
        <w:tc>
          <w:tcPr>
            <w:tcW w:w="224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b w:val="1"/>
                <w:bCs w:val="1"/>
                <w:color w:val="auto"/>
              </w:rPr>
              <w:t>$1,007</w:t>
            </w: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$595</w:t>
            </w:r>
          </w:p>
        </w:tc>
      </w:tr>
      <w:tr>
        <w:trPr>
          <w:trHeight w:val="237"/>
        </w:trPr>
        <w:tc>
          <w:tcPr>
            <w:tcW w:w="7540" w:type="dxa"/>
            <w:vAlign w:val="bottom"/>
          </w:tcPr>
          <w:p>
            <w:pPr>
              <w:ind w:left="280"/>
              <w:spacing w:after="0"/>
              <w:rPr>
                <w:sz w:val="20"/>
                <w:szCs w:val="20"/>
                <w:color w:val="auto"/>
              </w:rPr>
            </w:pPr>
            <w:r>
              <w:rPr>
                <w:rFonts w:ascii="Arial" w:cs="Arial" w:eastAsia="Arial" w:hAnsi="Arial"/>
                <w:sz w:val="16"/>
                <w:szCs w:val="16"/>
                <w:color w:val="auto"/>
              </w:rPr>
              <w:t>Accounts receivable, net</w:t>
            </w:r>
          </w:p>
        </w:tc>
        <w:tc>
          <w:tcPr>
            <w:tcW w:w="2240" w:type="dxa"/>
            <w:vAlign w:val="bottom"/>
          </w:tcPr>
          <w:p>
            <w:pPr>
              <w:jc w:val="right"/>
              <w:ind w:right="299"/>
              <w:spacing w:after="0"/>
              <w:rPr>
                <w:sz w:val="20"/>
                <w:szCs w:val="20"/>
                <w:color w:val="auto"/>
              </w:rPr>
            </w:pPr>
            <w:r>
              <w:rPr>
                <w:rFonts w:ascii="Arial" w:cs="Arial" w:eastAsia="Arial" w:hAnsi="Arial"/>
                <w:sz w:val="16"/>
                <w:szCs w:val="16"/>
                <w:b w:val="1"/>
                <w:bCs w:val="1"/>
                <w:color w:val="auto"/>
              </w:rPr>
              <w:t>199</w:t>
            </w: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196</w:t>
            </w:r>
          </w:p>
        </w:tc>
      </w:tr>
      <w:tr>
        <w:trPr>
          <w:trHeight w:val="33"/>
        </w:trPr>
        <w:tc>
          <w:tcPr>
            <w:tcW w:w="754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Merchandise inventories</w:t>
            </w:r>
          </w:p>
        </w:tc>
        <w:tc>
          <w:tcPr>
            <w:tcW w:w="224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b w:val="1"/>
                <w:bCs w:val="1"/>
                <w:color w:val="auto"/>
              </w:rPr>
              <w:t>1,896</w:t>
            </w: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1,945</w:t>
            </w:r>
          </w:p>
        </w:tc>
      </w:tr>
      <w:tr>
        <w:trPr>
          <w:trHeight w:val="237"/>
        </w:trPr>
        <w:tc>
          <w:tcPr>
            <w:tcW w:w="7540" w:type="dxa"/>
            <w:vAlign w:val="bottom"/>
          </w:tcPr>
          <w:p>
            <w:pPr>
              <w:ind w:left="280"/>
              <w:spacing w:after="0"/>
              <w:rPr>
                <w:sz w:val="20"/>
                <w:szCs w:val="20"/>
                <w:color w:val="auto"/>
              </w:rPr>
            </w:pPr>
            <w:r>
              <w:rPr>
                <w:rFonts w:ascii="Arial" w:cs="Arial" w:eastAsia="Arial" w:hAnsi="Arial"/>
                <w:sz w:val="16"/>
                <w:szCs w:val="16"/>
                <w:color w:val="auto"/>
              </w:rPr>
              <w:t>Prepaid expenses and other</w:t>
            </w:r>
          </w:p>
        </w:tc>
        <w:tc>
          <w:tcPr>
            <w:tcW w:w="2240" w:type="dxa"/>
            <w:vAlign w:val="bottom"/>
          </w:tcPr>
          <w:p>
            <w:pPr>
              <w:jc w:val="right"/>
              <w:ind w:right="299"/>
              <w:spacing w:after="0"/>
              <w:rPr>
                <w:sz w:val="20"/>
                <w:szCs w:val="20"/>
                <w:color w:val="auto"/>
              </w:rPr>
            </w:pPr>
            <w:r>
              <w:rPr>
                <w:rFonts w:ascii="Arial" w:cs="Arial" w:eastAsia="Arial" w:hAnsi="Arial"/>
                <w:sz w:val="16"/>
                <w:szCs w:val="16"/>
                <w:b w:val="1"/>
                <w:bCs w:val="1"/>
                <w:color w:val="auto"/>
              </w:rPr>
              <w:t>140</w:t>
            </w: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278</w:t>
            </w:r>
          </w:p>
        </w:tc>
      </w:tr>
      <w:tr>
        <w:trPr>
          <w:trHeight w:val="33"/>
        </w:trPr>
        <w:tc>
          <w:tcPr>
            <w:tcW w:w="754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current assets</w:t>
            </w:r>
          </w:p>
        </w:tc>
        <w:tc>
          <w:tcPr>
            <w:tcW w:w="224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b w:val="1"/>
                <w:bCs w:val="1"/>
                <w:color w:val="auto"/>
              </w:rPr>
              <w:t>3,242</w:t>
            </w: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3,014</w:t>
            </w:r>
          </w:p>
        </w:tc>
      </w:tr>
      <w:tr>
        <w:trPr>
          <w:trHeight w:val="297"/>
        </w:trPr>
        <w:tc>
          <w:tcPr>
            <w:tcW w:w="75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Land, property and equipment, net</w:t>
            </w:r>
          </w:p>
        </w:tc>
        <w:tc>
          <w:tcPr>
            <w:tcW w:w="224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b w:val="1"/>
                <w:bCs w:val="1"/>
                <w:color w:val="auto"/>
              </w:rPr>
              <w:t>3,897</w:t>
            </w: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3,735</w:t>
            </w:r>
          </w:p>
        </w:tc>
      </w:tr>
      <w:tr>
        <w:trPr>
          <w:trHeight w:val="237"/>
        </w:trPr>
        <w:tc>
          <w:tcPr>
            <w:tcW w:w="7540" w:type="dxa"/>
            <w:vAlign w:val="bottom"/>
          </w:tcPr>
          <w:p>
            <w:pPr>
              <w:ind w:left="40"/>
              <w:spacing w:after="0"/>
              <w:rPr>
                <w:sz w:val="20"/>
                <w:szCs w:val="20"/>
                <w:color w:val="auto"/>
              </w:rPr>
            </w:pPr>
            <w:r>
              <w:rPr>
                <w:rFonts w:ascii="Arial" w:cs="Arial" w:eastAsia="Arial" w:hAnsi="Arial"/>
                <w:sz w:val="16"/>
                <w:szCs w:val="16"/>
                <w:color w:val="auto"/>
              </w:rPr>
              <w:t>Goodwill</w:t>
            </w:r>
          </w:p>
        </w:tc>
        <w:tc>
          <w:tcPr>
            <w:tcW w:w="2240" w:type="dxa"/>
            <w:vAlign w:val="bottom"/>
          </w:tcPr>
          <w:p>
            <w:pPr>
              <w:jc w:val="right"/>
              <w:ind w:right="299"/>
              <w:spacing w:after="0"/>
              <w:rPr>
                <w:sz w:val="20"/>
                <w:szCs w:val="20"/>
                <w:color w:val="auto"/>
              </w:rPr>
            </w:pPr>
            <w:r>
              <w:rPr>
                <w:rFonts w:ascii="Arial" w:cs="Arial" w:eastAsia="Arial" w:hAnsi="Arial"/>
                <w:sz w:val="16"/>
                <w:szCs w:val="16"/>
                <w:b w:val="1"/>
                <w:bCs w:val="1"/>
                <w:color w:val="auto"/>
              </w:rPr>
              <w:t>238</w:t>
            </w: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435</w:t>
            </w:r>
          </w:p>
        </w:tc>
      </w:tr>
      <w:tr>
        <w:trPr>
          <w:trHeight w:val="33"/>
        </w:trPr>
        <w:tc>
          <w:tcPr>
            <w:tcW w:w="754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5"/>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assets</w:t>
            </w:r>
          </w:p>
        </w:tc>
        <w:tc>
          <w:tcPr>
            <w:tcW w:w="224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b w:val="1"/>
                <w:bCs w:val="1"/>
                <w:color w:val="auto"/>
              </w:rPr>
              <w:t>481</w:t>
            </w: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514</w:t>
            </w:r>
          </w:p>
        </w:tc>
      </w:tr>
      <w:tr>
        <w:trPr>
          <w:trHeight w:val="231"/>
        </w:trPr>
        <w:tc>
          <w:tcPr>
            <w:tcW w:w="754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 assets</w:t>
            </w:r>
          </w:p>
        </w:tc>
        <w:tc>
          <w:tcPr>
            <w:tcW w:w="2240" w:type="dxa"/>
            <w:vAlign w:val="bottom"/>
            <w:tcBorders>
              <w:top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$7,858</w:t>
            </w:r>
          </w:p>
        </w:tc>
        <w:tc>
          <w:tcPr>
            <w:tcW w:w="16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$7,698</w:t>
            </w:r>
          </w:p>
        </w:tc>
      </w:tr>
      <w:tr>
        <w:trPr>
          <w:trHeight w:val="33"/>
        </w:trPr>
        <w:tc>
          <w:tcPr>
            <w:tcW w:w="754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91"/>
        </w:trPr>
        <w:tc>
          <w:tcPr>
            <w:tcW w:w="7540" w:type="dxa"/>
            <w:vAlign w:val="bottom"/>
            <w:shd w:val="clear" w:color="auto" w:fill="CCEEFF"/>
          </w:tcPr>
          <w:p>
            <w:pPr>
              <w:spacing w:after="0"/>
              <w:rPr>
                <w:sz w:val="24"/>
                <w:szCs w:val="24"/>
                <w:color w:val="auto"/>
              </w:rPr>
            </w:pPr>
          </w:p>
        </w:tc>
        <w:tc>
          <w:tcPr>
            <w:tcW w:w="2240" w:type="dxa"/>
            <w:vAlign w:val="bottom"/>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r>
      <w:tr>
        <w:trPr>
          <w:trHeight w:val="237"/>
        </w:trPr>
        <w:tc>
          <w:tcPr>
            <w:tcW w:w="7540" w:type="dxa"/>
            <w:vAlign w:val="bottom"/>
          </w:tcPr>
          <w:p>
            <w:pPr>
              <w:ind w:left="40"/>
              <w:spacing w:after="0"/>
              <w:rPr>
                <w:sz w:val="20"/>
                <w:szCs w:val="20"/>
                <w:color w:val="auto"/>
              </w:rPr>
            </w:pPr>
            <w:r>
              <w:rPr>
                <w:rFonts w:ascii="Arial" w:cs="Arial" w:eastAsia="Arial" w:hAnsi="Arial"/>
                <w:sz w:val="16"/>
                <w:szCs w:val="16"/>
                <w:b w:val="1"/>
                <w:bCs w:val="1"/>
                <w:color w:val="auto"/>
              </w:rPr>
              <w:t>Liabilities and Shareholders’ Equity</w:t>
            </w:r>
          </w:p>
        </w:tc>
        <w:tc>
          <w:tcPr>
            <w:tcW w:w="224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33"/>
        </w:trPr>
        <w:tc>
          <w:tcPr>
            <w:tcW w:w="754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liabilities:</w:t>
            </w:r>
          </w:p>
        </w:tc>
        <w:tc>
          <w:tcPr>
            <w:tcW w:w="224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37"/>
        </w:trPr>
        <w:tc>
          <w:tcPr>
            <w:tcW w:w="7540" w:type="dxa"/>
            <w:vAlign w:val="bottom"/>
          </w:tcPr>
          <w:p>
            <w:pPr>
              <w:ind w:left="280"/>
              <w:spacing w:after="0"/>
              <w:rPr>
                <w:sz w:val="20"/>
                <w:szCs w:val="20"/>
                <w:color w:val="auto"/>
              </w:rPr>
            </w:pPr>
            <w:r>
              <w:rPr>
                <w:rFonts w:ascii="Arial" w:cs="Arial" w:eastAsia="Arial" w:hAnsi="Arial"/>
                <w:sz w:val="16"/>
                <w:szCs w:val="16"/>
                <w:color w:val="auto"/>
              </w:rPr>
              <w:t>Accounts payable</w:t>
            </w:r>
          </w:p>
        </w:tc>
        <w:tc>
          <w:tcPr>
            <w:tcW w:w="2240" w:type="dxa"/>
            <w:vAlign w:val="bottom"/>
          </w:tcPr>
          <w:p>
            <w:pPr>
              <w:jc w:val="right"/>
              <w:ind w:right="299"/>
              <w:spacing w:after="0"/>
              <w:rPr>
                <w:sz w:val="20"/>
                <w:szCs w:val="20"/>
                <w:color w:val="auto"/>
              </w:rPr>
            </w:pPr>
            <w:r>
              <w:rPr>
                <w:rFonts w:ascii="Arial" w:cs="Arial" w:eastAsia="Arial" w:hAnsi="Arial"/>
                <w:sz w:val="16"/>
                <w:szCs w:val="16"/>
                <w:b w:val="1"/>
                <w:bCs w:val="1"/>
                <w:color w:val="auto"/>
              </w:rPr>
              <w:t>$1,340</w:t>
            </w: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$1,324</w:t>
            </w:r>
          </w:p>
        </w:tc>
      </w:tr>
      <w:tr>
        <w:trPr>
          <w:trHeight w:val="33"/>
        </w:trPr>
        <w:tc>
          <w:tcPr>
            <w:tcW w:w="754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Accrued salaries, wages and related benefits</w:t>
            </w:r>
          </w:p>
        </w:tc>
        <w:tc>
          <w:tcPr>
            <w:tcW w:w="224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b w:val="1"/>
                <w:bCs w:val="1"/>
                <w:color w:val="auto"/>
              </w:rPr>
              <w:t>455</w:t>
            </w: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416</w:t>
            </w:r>
          </w:p>
        </w:tc>
      </w:tr>
      <w:tr>
        <w:trPr>
          <w:trHeight w:val="237"/>
        </w:trPr>
        <w:tc>
          <w:tcPr>
            <w:tcW w:w="7540" w:type="dxa"/>
            <w:vAlign w:val="bottom"/>
          </w:tcPr>
          <w:p>
            <w:pPr>
              <w:ind w:left="280"/>
              <w:spacing w:after="0"/>
              <w:rPr>
                <w:sz w:val="20"/>
                <w:szCs w:val="20"/>
                <w:color w:val="auto"/>
              </w:rPr>
            </w:pPr>
            <w:r>
              <w:rPr>
                <w:rFonts w:ascii="Arial" w:cs="Arial" w:eastAsia="Arial" w:hAnsi="Arial"/>
                <w:sz w:val="16"/>
                <w:szCs w:val="16"/>
                <w:color w:val="auto"/>
              </w:rPr>
              <w:t>Other current liabilities</w:t>
            </w:r>
          </w:p>
        </w:tc>
        <w:tc>
          <w:tcPr>
            <w:tcW w:w="2240" w:type="dxa"/>
            <w:vAlign w:val="bottom"/>
          </w:tcPr>
          <w:p>
            <w:pPr>
              <w:jc w:val="right"/>
              <w:ind w:right="299"/>
              <w:spacing w:after="0"/>
              <w:rPr>
                <w:sz w:val="20"/>
                <w:szCs w:val="20"/>
                <w:color w:val="auto"/>
              </w:rPr>
            </w:pPr>
            <w:r>
              <w:rPr>
                <w:rFonts w:ascii="Arial" w:cs="Arial" w:eastAsia="Arial" w:hAnsi="Arial"/>
                <w:sz w:val="16"/>
                <w:szCs w:val="16"/>
                <w:b w:val="1"/>
                <w:bCs w:val="1"/>
                <w:color w:val="auto"/>
              </w:rPr>
              <w:t>1,223</w:t>
            </w: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1,161</w:t>
            </w:r>
          </w:p>
        </w:tc>
      </w:tr>
      <w:tr>
        <w:trPr>
          <w:trHeight w:val="33"/>
        </w:trPr>
        <w:tc>
          <w:tcPr>
            <w:tcW w:w="754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5"/>
        </w:trPr>
        <w:tc>
          <w:tcPr>
            <w:tcW w:w="7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Current portion of long-term debt</w:t>
            </w:r>
          </w:p>
        </w:tc>
        <w:tc>
          <w:tcPr>
            <w:tcW w:w="224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b w:val="1"/>
                <w:bCs w:val="1"/>
                <w:color w:val="auto"/>
              </w:rPr>
              <w:t>11</w:t>
            </w: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w:t>
            </w:r>
          </w:p>
        </w:tc>
      </w:tr>
      <w:tr>
        <w:trPr>
          <w:trHeight w:val="231"/>
        </w:trPr>
        <w:tc>
          <w:tcPr>
            <w:tcW w:w="754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Total current liabilities</w:t>
            </w:r>
          </w:p>
        </w:tc>
        <w:tc>
          <w:tcPr>
            <w:tcW w:w="2240" w:type="dxa"/>
            <w:vAlign w:val="bottom"/>
            <w:tcBorders>
              <w:top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3,029</w:t>
            </w:r>
          </w:p>
        </w:tc>
        <w:tc>
          <w:tcPr>
            <w:tcW w:w="16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2,911</w:t>
            </w:r>
          </w:p>
        </w:tc>
      </w:tr>
      <w:tr>
        <w:trPr>
          <w:trHeight w:val="33"/>
        </w:trPr>
        <w:tc>
          <w:tcPr>
            <w:tcW w:w="754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97"/>
        </w:trPr>
        <w:tc>
          <w:tcPr>
            <w:tcW w:w="7540" w:type="dxa"/>
            <w:vAlign w:val="bottom"/>
            <w:shd w:val="clear" w:color="auto" w:fill="CCEEFF"/>
          </w:tcPr>
          <w:p>
            <w:pPr>
              <w:spacing w:after="0"/>
              <w:rPr>
                <w:sz w:val="24"/>
                <w:szCs w:val="24"/>
                <w:color w:val="auto"/>
              </w:rPr>
            </w:pPr>
          </w:p>
        </w:tc>
        <w:tc>
          <w:tcPr>
            <w:tcW w:w="2240" w:type="dxa"/>
            <w:vAlign w:val="bottom"/>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r>
      <w:tr>
        <w:trPr>
          <w:trHeight w:val="237"/>
        </w:trPr>
        <w:tc>
          <w:tcPr>
            <w:tcW w:w="7540" w:type="dxa"/>
            <w:vAlign w:val="bottom"/>
          </w:tcPr>
          <w:p>
            <w:pPr>
              <w:ind w:left="40"/>
              <w:spacing w:after="0"/>
              <w:rPr>
                <w:sz w:val="20"/>
                <w:szCs w:val="20"/>
                <w:color w:val="auto"/>
              </w:rPr>
            </w:pPr>
            <w:r>
              <w:rPr>
                <w:rFonts w:ascii="Arial" w:cs="Arial" w:eastAsia="Arial" w:hAnsi="Arial"/>
                <w:sz w:val="16"/>
                <w:szCs w:val="16"/>
                <w:color w:val="auto"/>
              </w:rPr>
              <w:t>Long-term debt, net</w:t>
            </w:r>
          </w:p>
        </w:tc>
        <w:tc>
          <w:tcPr>
            <w:tcW w:w="2240" w:type="dxa"/>
            <w:vAlign w:val="bottom"/>
          </w:tcPr>
          <w:p>
            <w:pPr>
              <w:jc w:val="right"/>
              <w:ind w:right="299"/>
              <w:spacing w:after="0"/>
              <w:rPr>
                <w:sz w:val="20"/>
                <w:szCs w:val="20"/>
                <w:color w:val="auto"/>
              </w:rPr>
            </w:pPr>
            <w:r>
              <w:rPr>
                <w:rFonts w:ascii="Arial" w:cs="Arial" w:eastAsia="Arial" w:hAnsi="Arial"/>
                <w:sz w:val="16"/>
                <w:szCs w:val="16"/>
                <w:b w:val="1"/>
                <w:bCs w:val="1"/>
                <w:color w:val="auto"/>
              </w:rPr>
              <w:t>2,763</w:t>
            </w: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2,795</w:t>
            </w:r>
          </w:p>
        </w:tc>
      </w:tr>
      <w:tr>
        <w:trPr>
          <w:trHeight w:val="33"/>
        </w:trPr>
        <w:tc>
          <w:tcPr>
            <w:tcW w:w="754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property incentives, net</w:t>
            </w:r>
          </w:p>
        </w:tc>
        <w:tc>
          <w:tcPr>
            <w:tcW w:w="224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b w:val="1"/>
                <w:bCs w:val="1"/>
                <w:color w:val="auto"/>
              </w:rPr>
              <w:t>521</w:t>
            </w: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540</w:t>
            </w:r>
          </w:p>
        </w:tc>
      </w:tr>
      <w:tr>
        <w:trPr>
          <w:trHeight w:val="237"/>
        </w:trPr>
        <w:tc>
          <w:tcPr>
            <w:tcW w:w="7540" w:type="dxa"/>
            <w:vAlign w:val="bottom"/>
          </w:tcPr>
          <w:p>
            <w:pPr>
              <w:ind w:left="40"/>
              <w:spacing w:after="0"/>
              <w:rPr>
                <w:sz w:val="20"/>
                <w:szCs w:val="20"/>
                <w:color w:val="auto"/>
              </w:rPr>
            </w:pPr>
            <w:r>
              <w:rPr>
                <w:rFonts w:ascii="Arial" w:cs="Arial" w:eastAsia="Arial" w:hAnsi="Arial"/>
                <w:sz w:val="16"/>
                <w:szCs w:val="16"/>
                <w:color w:val="auto"/>
              </w:rPr>
              <w:t>Other liabilities</w:t>
            </w:r>
          </w:p>
        </w:tc>
        <w:tc>
          <w:tcPr>
            <w:tcW w:w="2240" w:type="dxa"/>
            <w:vAlign w:val="bottom"/>
          </w:tcPr>
          <w:p>
            <w:pPr>
              <w:jc w:val="right"/>
              <w:ind w:right="299"/>
              <w:spacing w:after="0"/>
              <w:rPr>
                <w:sz w:val="20"/>
                <w:szCs w:val="20"/>
                <w:color w:val="auto"/>
              </w:rPr>
            </w:pPr>
            <w:r>
              <w:rPr>
                <w:rFonts w:ascii="Arial" w:cs="Arial" w:eastAsia="Arial" w:hAnsi="Arial"/>
                <w:sz w:val="16"/>
                <w:szCs w:val="16"/>
                <w:b w:val="1"/>
                <w:bCs w:val="1"/>
                <w:color w:val="auto"/>
              </w:rPr>
              <w:t>675</w:t>
            </w: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581</w:t>
            </w:r>
          </w:p>
        </w:tc>
      </w:tr>
      <w:tr>
        <w:trPr>
          <w:trHeight w:val="33"/>
        </w:trPr>
        <w:tc>
          <w:tcPr>
            <w:tcW w:w="754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97"/>
        </w:trPr>
        <w:tc>
          <w:tcPr>
            <w:tcW w:w="7540" w:type="dxa"/>
            <w:vAlign w:val="bottom"/>
            <w:shd w:val="clear" w:color="auto" w:fill="CCEEFF"/>
          </w:tcPr>
          <w:p>
            <w:pPr>
              <w:spacing w:after="0"/>
              <w:rPr>
                <w:sz w:val="24"/>
                <w:szCs w:val="24"/>
                <w:color w:val="auto"/>
              </w:rPr>
            </w:pPr>
          </w:p>
        </w:tc>
        <w:tc>
          <w:tcPr>
            <w:tcW w:w="2240" w:type="dxa"/>
            <w:vAlign w:val="bottom"/>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r>
      <w:tr>
        <w:trPr>
          <w:trHeight w:val="237"/>
        </w:trPr>
        <w:tc>
          <w:tcPr>
            <w:tcW w:w="7540" w:type="dxa"/>
            <w:vAlign w:val="bottom"/>
          </w:tcPr>
          <w:p>
            <w:pPr>
              <w:ind w:left="40"/>
              <w:spacing w:after="0"/>
              <w:rPr>
                <w:sz w:val="20"/>
                <w:szCs w:val="20"/>
                <w:color w:val="auto"/>
              </w:rPr>
            </w:pPr>
            <w:r>
              <w:rPr>
                <w:rFonts w:ascii="Arial" w:cs="Arial" w:eastAsia="Arial" w:hAnsi="Arial"/>
                <w:sz w:val="16"/>
                <w:szCs w:val="16"/>
                <w:color w:val="auto"/>
              </w:rPr>
              <w:t>Commitments and contingencies (Note 10)</w:t>
            </w:r>
          </w:p>
        </w:tc>
        <w:tc>
          <w:tcPr>
            <w:tcW w:w="224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33"/>
        </w:trPr>
        <w:tc>
          <w:tcPr>
            <w:tcW w:w="754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97"/>
        </w:trPr>
        <w:tc>
          <w:tcPr>
            <w:tcW w:w="7540" w:type="dxa"/>
            <w:vAlign w:val="bottom"/>
            <w:shd w:val="clear" w:color="auto" w:fill="CCEEFF"/>
          </w:tcPr>
          <w:p>
            <w:pPr>
              <w:spacing w:after="0"/>
              <w:rPr>
                <w:sz w:val="24"/>
                <w:szCs w:val="24"/>
                <w:color w:val="auto"/>
              </w:rPr>
            </w:pPr>
          </w:p>
        </w:tc>
        <w:tc>
          <w:tcPr>
            <w:tcW w:w="2240" w:type="dxa"/>
            <w:vAlign w:val="bottom"/>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r>
      <w:tr>
        <w:trPr>
          <w:trHeight w:val="237"/>
        </w:trPr>
        <w:tc>
          <w:tcPr>
            <w:tcW w:w="7540" w:type="dxa"/>
            <w:vAlign w:val="bottom"/>
          </w:tcPr>
          <w:p>
            <w:pPr>
              <w:ind w:left="40"/>
              <w:spacing w:after="0"/>
              <w:rPr>
                <w:sz w:val="20"/>
                <w:szCs w:val="20"/>
                <w:color w:val="auto"/>
              </w:rPr>
            </w:pPr>
            <w:r>
              <w:rPr>
                <w:rFonts w:ascii="Arial" w:cs="Arial" w:eastAsia="Arial" w:hAnsi="Arial"/>
                <w:sz w:val="16"/>
                <w:szCs w:val="16"/>
                <w:color w:val="auto"/>
              </w:rPr>
              <w:t>Shareholders’ equity:</w:t>
            </w:r>
          </w:p>
        </w:tc>
        <w:tc>
          <w:tcPr>
            <w:tcW w:w="224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33"/>
        </w:trPr>
        <w:tc>
          <w:tcPr>
            <w:tcW w:w="754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w w:val="99"/>
              </w:rPr>
              <w:t>Common stock, no par value: 1,000 shares authorized; 170.0 and 173.5 shares issued and outstanding</w:t>
            </w:r>
          </w:p>
        </w:tc>
        <w:tc>
          <w:tcPr>
            <w:tcW w:w="224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b w:val="1"/>
                <w:bCs w:val="1"/>
                <w:color w:val="auto"/>
              </w:rPr>
              <w:t>2,707</w:t>
            </w: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2,539</w:t>
            </w:r>
          </w:p>
        </w:tc>
      </w:tr>
      <w:tr>
        <w:trPr>
          <w:trHeight w:val="237"/>
        </w:trPr>
        <w:tc>
          <w:tcPr>
            <w:tcW w:w="7540" w:type="dxa"/>
            <w:vAlign w:val="bottom"/>
          </w:tcPr>
          <w:p>
            <w:pPr>
              <w:ind w:left="280"/>
              <w:spacing w:after="0"/>
              <w:rPr>
                <w:sz w:val="20"/>
                <w:szCs w:val="20"/>
                <w:color w:val="auto"/>
              </w:rPr>
            </w:pPr>
            <w:r>
              <w:rPr>
                <w:rFonts w:ascii="Arial" w:cs="Arial" w:eastAsia="Arial" w:hAnsi="Arial"/>
                <w:sz w:val="16"/>
                <w:szCs w:val="16"/>
                <w:color w:val="auto"/>
              </w:rPr>
              <w:t>Accumulated deficit</w:t>
            </w:r>
          </w:p>
        </w:tc>
        <w:tc>
          <w:tcPr>
            <w:tcW w:w="2240" w:type="dxa"/>
            <w:vAlign w:val="bottom"/>
          </w:tcPr>
          <w:p>
            <w:pPr>
              <w:jc w:val="right"/>
              <w:ind w:right="259"/>
              <w:spacing w:after="0"/>
              <w:rPr>
                <w:sz w:val="20"/>
                <w:szCs w:val="20"/>
                <w:color w:val="auto"/>
              </w:rPr>
            </w:pPr>
            <w:r>
              <w:rPr>
                <w:rFonts w:ascii="Arial" w:cs="Arial" w:eastAsia="Arial" w:hAnsi="Arial"/>
                <w:sz w:val="16"/>
                <w:szCs w:val="16"/>
                <w:b w:val="1"/>
                <w:bCs w:val="1"/>
                <w:color w:val="auto"/>
              </w:rPr>
              <w:t>(1,794)</w:t>
            </w:r>
          </w:p>
        </w:tc>
        <w:tc>
          <w:tcPr>
            <w:tcW w:w="1640" w:type="dxa"/>
            <w:vAlign w:val="bottom"/>
          </w:tcPr>
          <w:p>
            <w:pPr>
              <w:jc w:val="right"/>
              <w:spacing w:after="0"/>
              <w:rPr>
                <w:sz w:val="20"/>
                <w:szCs w:val="20"/>
                <w:color w:val="auto"/>
              </w:rPr>
            </w:pPr>
            <w:r>
              <w:rPr>
                <w:rFonts w:ascii="Arial" w:cs="Arial" w:eastAsia="Arial" w:hAnsi="Arial"/>
                <w:sz w:val="16"/>
                <w:szCs w:val="16"/>
                <w:color w:val="auto"/>
              </w:rPr>
              <w:t>(1,610)</w:t>
            </w:r>
          </w:p>
        </w:tc>
      </w:tr>
      <w:tr>
        <w:trPr>
          <w:trHeight w:val="33"/>
        </w:trPr>
        <w:tc>
          <w:tcPr>
            <w:tcW w:w="754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5"/>
        </w:trPr>
        <w:tc>
          <w:tcPr>
            <w:tcW w:w="7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Accumulated other comprehensive loss</w:t>
            </w:r>
          </w:p>
        </w:tc>
        <w:tc>
          <w:tcPr>
            <w:tcW w:w="22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b w:val="1"/>
                <w:bCs w:val="1"/>
                <w:color w:val="auto"/>
              </w:rPr>
              <w:t>(43)</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w:t>
            </w:r>
          </w:p>
        </w:tc>
      </w:tr>
      <w:tr>
        <w:trPr>
          <w:trHeight w:val="231"/>
        </w:trPr>
        <w:tc>
          <w:tcPr>
            <w:tcW w:w="754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Total shareholders’ equity</w:t>
            </w:r>
          </w:p>
        </w:tc>
        <w:tc>
          <w:tcPr>
            <w:tcW w:w="2240" w:type="dxa"/>
            <w:vAlign w:val="bottom"/>
            <w:tcBorders>
              <w:top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870</w:t>
            </w:r>
          </w:p>
        </w:tc>
        <w:tc>
          <w:tcPr>
            <w:tcW w:w="16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871</w:t>
            </w:r>
          </w:p>
        </w:tc>
      </w:tr>
      <w:tr>
        <w:trPr>
          <w:trHeight w:val="33"/>
        </w:trPr>
        <w:tc>
          <w:tcPr>
            <w:tcW w:w="754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liabilities and shareholders’ equity</w:t>
            </w:r>
          </w:p>
        </w:tc>
        <w:tc>
          <w:tcPr>
            <w:tcW w:w="224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b w:val="1"/>
                <w:bCs w:val="1"/>
                <w:color w:val="auto"/>
              </w:rPr>
              <w:t>$7,858</w:t>
            </w: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$7,698</w:t>
            </w:r>
          </w:p>
        </w:tc>
      </w:tr>
      <w:tr>
        <w:trPr>
          <w:trHeight w:val="20"/>
        </w:trPr>
        <w:tc>
          <w:tcPr>
            <w:tcW w:w="7540" w:type="dxa"/>
            <w:vAlign w:val="bottom"/>
            <w:shd w:val="clear" w:color="auto" w:fill="000000"/>
          </w:tcPr>
          <w:p>
            <w:pPr>
              <w:spacing w:after="0" w:line="20" w:lineRule="exact"/>
              <w:rPr>
                <w:sz w:val="1"/>
                <w:szCs w:val="1"/>
                <w:color w:val="auto"/>
              </w:rPr>
            </w:pPr>
          </w:p>
        </w:tc>
        <w:tc>
          <w:tcPr>
            <w:tcW w:w="224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r>
    </w:tbl>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to Consolidated Financial Statements are an integral part of these financial statements.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420"/>
          </w:cols>
          <w:pgMar w:left="240" w:top="126" w:right="239" w:bottom="1440" w:gutter="0" w:footer="0" w:header="0"/>
        </w:sectPr>
      </w:pPr>
    </w:p>
    <w:bookmarkStart w:id="38" w:name="page39"/>
    <w:bookmarkEnd w:id="38"/>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Nordstrom, Inc.</w:t>
      </w:r>
    </w:p>
    <w:p>
      <w:pPr>
        <w:spacing w:after="0" w:line="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Statements of Shareholders’ Equity</w:t>
      </w:r>
    </w:p>
    <w:p>
      <w:pPr>
        <w:spacing w:after="0"/>
        <w:rPr>
          <w:sz w:val="20"/>
          <w:szCs w:val="20"/>
          <w:color w:val="auto"/>
        </w:rPr>
      </w:pPr>
      <w:r>
        <w:rPr>
          <w:rFonts w:ascii="Arial" w:cs="Arial" w:eastAsia="Arial" w:hAnsi="Arial"/>
          <w:sz w:val="18"/>
          <w:szCs w:val="18"/>
          <w:color w:val="auto"/>
        </w:rPr>
        <w:t>In millions except per share amounts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780" w:type="dxa"/>
            <w:vAlign w:val="bottom"/>
          </w:tcPr>
          <w:p>
            <w:pPr>
              <w:jc w:val="right"/>
              <w:ind w:right="319"/>
              <w:spacing w:after="0"/>
              <w:rPr>
                <w:sz w:val="20"/>
                <w:szCs w:val="20"/>
                <w:color w:val="auto"/>
              </w:rPr>
            </w:pPr>
            <w:r>
              <w:rPr>
                <w:rFonts w:ascii="Arial" w:cs="Arial" w:eastAsia="Arial" w:hAnsi="Arial"/>
                <w:sz w:val="16"/>
                <w:szCs w:val="16"/>
                <w:b w:val="1"/>
                <w:bCs w:val="1"/>
                <w:color w:val="auto"/>
              </w:rPr>
              <w:t>Retained</w:t>
            </w:r>
          </w:p>
        </w:tc>
        <w:tc>
          <w:tcPr>
            <w:tcW w:w="1820" w:type="dxa"/>
            <w:vAlign w:val="bottom"/>
          </w:tcPr>
          <w:p>
            <w:pPr>
              <w:jc w:val="right"/>
              <w:ind w:right="339"/>
              <w:spacing w:after="0"/>
              <w:rPr>
                <w:sz w:val="20"/>
                <w:szCs w:val="20"/>
                <w:color w:val="auto"/>
              </w:rPr>
            </w:pPr>
            <w:r>
              <w:rPr>
                <w:rFonts w:ascii="Arial" w:cs="Arial" w:eastAsia="Arial" w:hAnsi="Arial"/>
                <w:sz w:val="16"/>
                <w:szCs w:val="16"/>
                <w:b w:val="1"/>
                <w:bCs w:val="1"/>
                <w:color w:val="auto"/>
              </w:rPr>
              <w:t>Accumulated</w:t>
            </w:r>
          </w:p>
        </w:tc>
        <w:tc>
          <w:tcPr>
            <w:tcW w:w="920" w:type="dxa"/>
            <w:vAlign w:val="bottom"/>
          </w:tcPr>
          <w:p>
            <w:pPr>
              <w:spacing w:after="0"/>
              <w:rPr>
                <w:sz w:val="18"/>
                <w:szCs w:val="18"/>
                <w:color w:val="auto"/>
              </w:rPr>
            </w:pPr>
          </w:p>
        </w:tc>
      </w:tr>
      <w:tr>
        <w:trPr>
          <w:trHeight w:val="270"/>
        </w:trPr>
        <w:tc>
          <w:tcPr>
            <w:tcW w:w="48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780" w:type="dxa"/>
            <w:vAlign w:val="bottom"/>
          </w:tcPr>
          <w:p>
            <w:pPr>
              <w:jc w:val="right"/>
              <w:ind w:right="319"/>
              <w:spacing w:after="0"/>
              <w:rPr>
                <w:sz w:val="20"/>
                <w:szCs w:val="20"/>
                <w:color w:val="auto"/>
              </w:rPr>
            </w:pPr>
            <w:r>
              <w:rPr>
                <w:rFonts w:ascii="Arial" w:cs="Arial" w:eastAsia="Arial" w:hAnsi="Arial"/>
                <w:sz w:val="16"/>
                <w:szCs w:val="16"/>
                <w:b w:val="1"/>
                <w:bCs w:val="1"/>
                <w:color w:val="auto"/>
              </w:rPr>
              <w:t>Earnings</w:t>
            </w:r>
          </w:p>
        </w:tc>
        <w:tc>
          <w:tcPr>
            <w:tcW w:w="1820" w:type="dxa"/>
            <w:vAlign w:val="bottom"/>
          </w:tcPr>
          <w:p>
            <w:pPr>
              <w:jc w:val="right"/>
              <w:ind w:right="339"/>
              <w:spacing w:after="0"/>
              <w:rPr>
                <w:sz w:val="20"/>
                <w:szCs w:val="20"/>
                <w:color w:val="auto"/>
              </w:rPr>
            </w:pPr>
            <w:r>
              <w:rPr>
                <w:rFonts w:ascii="Arial" w:cs="Arial" w:eastAsia="Arial" w:hAnsi="Arial"/>
                <w:sz w:val="16"/>
                <w:szCs w:val="16"/>
                <w:b w:val="1"/>
                <w:bCs w:val="1"/>
                <w:color w:val="auto"/>
              </w:rPr>
              <w:t>Other</w:t>
            </w:r>
          </w:p>
        </w:tc>
        <w:tc>
          <w:tcPr>
            <w:tcW w:w="920" w:type="dxa"/>
            <w:vAlign w:val="bottom"/>
          </w:tcPr>
          <w:p>
            <w:pPr>
              <w:spacing w:after="0"/>
              <w:rPr>
                <w:sz w:val="23"/>
                <w:szCs w:val="23"/>
                <w:color w:val="auto"/>
              </w:rPr>
            </w:pPr>
          </w:p>
        </w:tc>
      </w:tr>
      <w:tr>
        <w:trPr>
          <w:trHeight w:val="270"/>
        </w:trPr>
        <w:tc>
          <w:tcPr>
            <w:tcW w:w="4820" w:type="dxa"/>
            <w:vAlign w:val="bottom"/>
          </w:tcPr>
          <w:p>
            <w:pPr>
              <w:spacing w:after="0"/>
              <w:rPr>
                <w:sz w:val="23"/>
                <w:szCs w:val="23"/>
                <w:color w:val="auto"/>
              </w:rPr>
            </w:pPr>
          </w:p>
        </w:tc>
        <w:tc>
          <w:tcPr>
            <w:tcW w:w="2080" w:type="dxa"/>
            <w:vAlign w:val="bottom"/>
            <w:gridSpan w:val="2"/>
          </w:tcPr>
          <w:p>
            <w:pPr>
              <w:jc w:val="right"/>
              <w:ind w:right="399"/>
              <w:spacing w:after="0"/>
              <w:rPr>
                <w:sz w:val="20"/>
                <w:szCs w:val="20"/>
                <w:color w:val="auto"/>
              </w:rPr>
            </w:pPr>
            <w:r>
              <w:rPr>
                <w:rFonts w:ascii="Arial" w:cs="Arial" w:eastAsia="Arial" w:hAnsi="Arial"/>
                <w:sz w:val="16"/>
                <w:szCs w:val="16"/>
                <w:b w:val="1"/>
                <w:bCs w:val="1"/>
                <w:color w:val="auto"/>
              </w:rPr>
              <w:t>Common Stock</w:t>
            </w:r>
          </w:p>
        </w:tc>
        <w:tc>
          <w:tcPr>
            <w:tcW w:w="1780" w:type="dxa"/>
            <w:vAlign w:val="bottom"/>
          </w:tcPr>
          <w:p>
            <w:pPr>
              <w:jc w:val="right"/>
              <w:ind w:right="319"/>
              <w:spacing w:after="0"/>
              <w:rPr>
                <w:sz w:val="20"/>
                <w:szCs w:val="20"/>
                <w:color w:val="auto"/>
              </w:rPr>
            </w:pPr>
            <w:r>
              <w:rPr>
                <w:rFonts w:ascii="Arial" w:cs="Arial" w:eastAsia="Arial" w:hAnsi="Arial"/>
                <w:sz w:val="16"/>
                <w:szCs w:val="16"/>
                <w:b w:val="1"/>
                <w:bCs w:val="1"/>
                <w:color w:val="auto"/>
              </w:rPr>
              <w:t>(Accumulated</w:t>
            </w:r>
          </w:p>
        </w:tc>
        <w:tc>
          <w:tcPr>
            <w:tcW w:w="1820" w:type="dxa"/>
            <w:vAlign w:val="bottom"/>
          </w:tcPr>
          <w:p>
            <w:pPr>
              <w:jc w:val="right"/>
              <w:ind w:right="339"/>
              <w:spacing w:after="0"/>
              <w:rPr>
                <w:sz w:val="20"/>
                <w:szCs w:val="20"/>
                <w:color w:val="auto"/>
              </w:rPr>
            </w:pPr>
            <w:r>
              <w:rPr>
                <w:rFonts w:ascii="Arial" w:cs="Arial" w:eastAsia="Arial" w:hAnsi="Arial"/>
                <w:sz w:val="16"/>
                <w:szCs w:val="16"/>
                <w:b w:val="1"/>
                <w:bCs w:val="1"/>
                <w:color w:val="auto"/>
              </w:rPr>
              <w:t>Comprehensive</w:t>
            </w:r>
          </w:p>
        </w:tc>
        <w:tc>
          <w:tcPr>
            <w:tcW w:w="920" w:type="dxa"/>
            <w:vAlign w:val="bottom"/>
          </w:tcPr>
          <w:p>
            <w:pPr>
              <w:spacing w:after="0"/>
              <w:rPr>
                <w:sz w:val="23"/>
                <w:szCs w:val="23"/>
                <w:color w:val="auto"/>
              </w:rPr>
            </w:pPr>
          </w:p>
        </w:tc>
      </w:tr>
      <w:tr>
        <w:trPr>
          <w:trHeight w:val="33"/>
        </w:trPr>
        <w:tc>
          <w:tcPr>
            <w:tcW w:w="48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31"/>
        </w:trPr>
        <w:tc>
          <w:tcPr>
            <w:tcW w:w="4820" w:type="dxa"/>
            <w:vAlign w:val="bottom"/>
          </w:tcPr>
          <w:p>
            <w:pPr>
              <w:spacing w:after="0"/>
              <w:rPr>
                <w:sz w:val="20"/>
                <w:szCs w:val="20"/>
                <w:color w:val="auto"/>
              </w:rPr>
            </w:pPr>
          </w:p>
        </w:tc>
        <w:tc>
          <w:tcPr>
            <w:tcW w:w="1060" w:type="dxa"/>
            <w:vAlign w:val="bottom"/>
          </w:tcPr>
          <w:p>
            <w:pPr>
              <w:jc w:val="right"/>
              <w:ind w:right="299"/>
              <w:spacing w:after="0"/>
              <w:rPr>
                <w:sz w:val="20"/>
                <w:szCs w:val="20"/>
                <w:color w:val="auto"/>
              </w:rPr>
            </w:pPr>
            <w:r>
              <w:rPr>
                <w:rFonts w:ascii="Arial" w:cs="Arial" w:eastAsia="Arial" w:hAnsi="Arial"/>
                <w:sz w:val="16"/>
                <w:szCs w:val="16"/>
                <w:b w:val="1"/>
                <w:bCs w:val="1"/>
                <w:color w:val="auto"/>
              </w:rPr>
              <w:t>Shares</w:t>
            </w:r>
          </w:p>
        </w:tc>
        <w:tc>
          <w:tcPr>
            <w:tcW w:w="1020" w:type="dxa"/>
            <w:vAlign w:val="bottom"/>
          </w:tcPr>
          <w:p>
            <w:pPr>
              <w:jc w:val="right"/>
              <w:ind w:right="39"/>
              <w:spacing w:after="0"/>
              <w:rPr>
                <w:sz w:val="20"/>
                <w:szCs w:val="20"/>
                <w:color w:val="auto"/>
              </w:rPr>
            </w:pPr>
            <w:r>
              <w:rPr>
                <w:rFonts w:ascii="Arial" w:cs="Arial" w:eastAsia="Arial" w:hAnsi="Arial"/>
                <w:sz w:val="16"/>
                <w:szCs w:val="16"/>
                <w:b w:val="1"/>
                <w:bCs w:val="1"/>
                <w:color w:val="auto"/>
              </w:rPr>
              <w:t>Amount</w:t>
            </w:r>
          </w:p>
        </w:tc>
        <w:tc>
          <w:tcPr>
            <w:tcW w:w="1780" w:type="dxa"/>
            <w:vAlign w:val="bottom"/>
          </w:tcPr>
          <w:p>
            <w:pPr>
              <w:jc w:val="right"/>
              <w:ind w:right="319"/>
              <w:spacing w:after="0"/>
              <w:rPr>
                <w:sz w:val="20"/>
                <w:szCs w:val="20"/>
                <w:color w:val="auto"/>
              </w:rPr>
            </w:pPr>
            <w:r>
              <w:rPr>
                <w:rFonts w:ascii="Arial" w:cs="Arial" w:eastAsia="Arial" w:hAnsi="Arial"/>
                <w:sz w:val="16"/>
                <w:szCs w:val="16"/>
                <w:b w:val="1"/>
                <w:bCs w:val="1"/>
                <w:color w:val="auto"/>
              </w:rPr>
              <w:t>Deficit)</w:t>
            </w:r>
          </w:p>
        </w:tc>
        <w:tc>
          <w:tcPr>
            <w:tcW w:w="1820" w:type="dxa"/>
            <w:vAlign w:val="bottom"/>
          </w:tcPr>
          <w:p>
            <w:pPr>
              <w:jc w:val="right"/>
              <w:ind w:right="339"/>
              <w:spacing w:after="0"/>
              <w:rPr>
                <w:sz w:val="20"/>
                <w:szCs w:val="20"/>
                <w:color w:val="auto"/>
              </w:rPr>
            </w:pPr>
            <w:r>
              <w:rPr>
                <w:rFonts w:ascii="Arial" w:cs="Arial" w:eastAsia="Arial" w:hAnsi="Arial"/>
                <w:sz w:val="16"/>
                <w:szCs w:val="16"/>
                <w:b w:val="1"/>
                <w:bCs w:val="1"/>
                <w:color w:val="auto"/>
              </w:rPr>
              <w:t>Loss</w:t>
            </w:r>
          </w:p>
        </w:tc>
        <w:tc>
          <w:tcPr>
            <w:tcW w:w="920" w:type="dxa"/>
            <w:vAlign w:val="bottom"/>
          </w:tcPr>
          <w:p>
            <w:pPr>
              <w:jc w:val="right"/>
              <w:ind w:right="19"/>
              <w:spacing w:after="0"/>
              <w:rPr>
                <w:sz w:val="20"/>
                <w:szCs w:val="20"/>
                <w:color w:val="auto"/>
              </w:rPr>
            </w:pPr>
            <w:r>
              <w:rPr>
                <w:rFonts w:ascii="Arial" w:cs="Arial" w:eastAsia="Arial" w:hAnsi="Arial"/>
                <w:sz w:val="16"/>
                <w:szCs w:val="16"/>
                <w:b w:val="1"/>
                <w:bCs w:val="1"/>
                <w:color w:val="auto"/>
              </w:rPr>
              <w:t>Total</w:t>
            </w:r>
          </w:p>
        </w:tc>
      </w:tr>
      <w:tr>
        <w:trPr>
          <w:trHeight w:val="33"/>
        </w:trPr>
        <w:tc>
          <w:tcPr>
            <w:tcW w:w="48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February 1, 2014</w:t>
            </w:r>
          </w:p>
        </w:tc>
        <w:tc>
          <w:tcPr>
            <w:tcW w:w="106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rPr>
              <w:t>191.2</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$1,827</w:t>
            </w:r>
          </w:p>
        </w:tc>
        <w:tc>
          <w:tcPr>
            <w:tcW w:w="178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rPr>
              <w:t>$292</w:t>
            </w:r>
          </w:p>
        </w:tc>
        <w:tc>
          <w:tcPr>
            <w:tcW w:w="182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($39)</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$2,080</w:t>
            </w:r>
          </w:p>
        </w:tc>
      </w:tr>
      <w:tr>
        <w:trPr>
          <w:trHeight w:val="237"/>
        </w:trPr>
        <w:tc>
          <w:tcPr>
            <w:tcW w:w="4820" w:type="dxa"/>
            <w:vAlign w:val="bottom"/>
          </w:tcPr>
          <w:p>
            <w:pPr>
              <w:ind w:left="40"/>
              <w:spacing w:after="0"/>
              <w:rPr>
                <w:sz w:val="20"/>
                <w:szCs w:val="20"/>
                <w:color w:val="auto"/>
              </w:rPr>
            </w:pPr>
            <w:r>
              <w:rPr>
                <w:rFonts w:ascii="Arial" w:cs="Arial" w:eastAsia="Arial" w:hAnsi="Arial"/>
                <w:sz w:val="16"/>
                <w:szCs w:val="16"/>
                <w:color w:val="auto"/>
              </w:rPr>
              <w:t>Net earnings</w:t>
            </w:r>
          </w:p>
        </w:tc>
        <w:tc>
          <w:tcPr>
            <w:tcW w:w="106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780" w:type="dxa"/>
            <w:vAlign w:val="bottom"/>
          </w:tcPr>
          <w:p>
            <w:pPr>
              <w:jc w:val="right"/>
              <w:ind w:right="319"/>
              <w:spacing w:after="0"/>
              <w:rPr>
                <w:sz w:val="20"/>
                <w:szCs w:val="20"/>
                <w:color w:val="auto"/>
              </w:rPr>
            </w:pPr>
            <w:r>
              <w:rPr>
                <w:rFonts w:ascii="Arial" w:cs="Arial" w:eastAsia="Arial" w:hAnsi="Arial"/>
                <w:sz w:val="16"/>
                <w:szCs w:val="16"/>
                <w:color w:val="auto"/>
              </w:rPr>
              <w:t>720</w:t>
            </w:r>
          </w:p>
        </w:tc>
        <w:tc>
          <w:tcPr>
            <w:tcW w:w="182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720</w:t>
            </w:r>
          </w:p>
        </w:tc>
      </w:tr>
      <w:tr>
        <w:trPr>
          <w:trHeight w:val="33"/>
        </w:trPr>
        <w:tc>
          <w:tcPr>
            <w:tcW w:w="48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comprehensive loss</w:t>
            </w:r>
          </w:p>
        </w:tc>
        <w:tc>
          <w:tcPr>
            <w:tcW w:w="106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78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182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(25)</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w:t>
            </w:r>
          </w:p>
        </w:tc>
      </w:tr>
      <w:tr>
        <w:trPr>
          <w:trHeight w:val="237"/>
        </w:trPr>
        <w:tc>
          <w:tcPr>
            <w:tcW w:w="4820" w:type="dxa"/>
            <w:vAlign w:val="bottom"/>
          </w:tcPr>
          <w:p>
            <w:pPr>
              <w:ind w:left="40"/>
              <w:spacing w:after="0"/>
              <w:rPr>
                <w:sz w:val="20"/>
                <w:szCs w:val="20"/>
                <w:color w:val="auto"/>
              </w:rPr>
            </w:pPr>
            <w:r>
              <w:rPr>
                <w:rFonts w:ascii="Arial" w:cs="Arial" w:eastAsia="Arial" w:hAnsi="Arial"/>
                <w:sz w:val="16"/>
                <w:szCs w:val="16"/>
                <w:color w:val="auto"/>
              </w:rPr>
              <w:t>Dividends ($1.32 per share)</w:t>
            </w:r>
          </w:p>
        </w:tc>
        <w:tc>
          <w:tcPr>
            <w:tcW w:w="106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780" w:type="dxa"/>
            <w:vAlign w:val="bottom"/>
          </w:tcPr>
          <w:p>
            <w:pPr>
              <w:jc w:val="right"/>
              <w:ind w:right="259"/>
              <w:spacing w:after="0"/>
              <w:rPr>
                <w:sz w:val="20"/>
                <w:szCs w:val="20"/>
                <w:color w:val="auto"/>
              </w:rPr>
            </w:pPr>
            <w:r>
              <w:rPr>
                <w:rFonts w:ascii="Arial" w:cs="Arial" w:eastAsia="Arial" w:hAnsi="Arial"/>
                <w:sz w:val="16"/>
                <w:szCs w:val="16"/>
                <w:color w:val="auto"/>
              </w:rPr>
              <w:t>(251)</w:t>
            </w:r>
          </w:p>
        </w:tc>
        <w:tc>
          <w:tcPr>
            <w:tcW w:w="182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(251)</w:t>
            </w:r>
          </w:p>
        </w:tc>
      </w:tr>
      <w:tr>
        <w:trPr>
          <w:trHeight w:val="33"/>
        </w:trPr>
        <w:tc>
          <w:tcPr>
            <w:tcW w:w="48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Issuance of common stock for Trunk Club acquisition</w:t>
            </w:r>
          </w:p>
        </w:tc>
        <w:tc>
          <w:tcPr>
            <w:tcW w:w="106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rPr>
              <w:t>3.7</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280</w:t>
            </w:r>
          </w:p>
        </w:tc>
        <w:tc>
          <w:tcPr>
            <w:tcW w:w="178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182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280</w:t>
            </w:r>
          </w:p>
        </w:tc>
      </w:tr>
      <w:tr>
        <w:trPr>
          <w:trHeight w:val="237"/>
        </w:trPr>
        <w:tc>
          <w:tcPr>
            <w:tcW w:w="4820" w:type="dxa"/>
            <w:vAlign w:val="bottom"/>
          </w:tcPr>
          <w:p>
            <w:pPr>
              <w:ind w:left="40"/>
              <w:spacing w:after="0"/>
              <w:rPr>
                <w:sz w:val="20"/>
                <w:szCs w:val="20"/>
                <w:color w:val="auto"/>
              </w:rPr>
            </w:pPr>
            <w:r>
              <w:rPr>
                <w:rFonts w:ascii="Arial" w:cs="Arial" w:eastAsia="Arial" w:hAnsi="Arial"/>
                <w:sz w:val="16"/>
                <w:szCs w:val="16"/>
                <w:color w:val="auto"/>
              </w:rPr>
              <w:t>Issuance of common stock under stock compensation plans</w:t>
            </w:r>
          </w:p>
        </w:tc>
        <w:tc>
          <w:tcPr>
            <w:tcW w:w="1060" w:type="dxa"/>
            <w:vAlign w:val="bottom"/>
          </w:tcPr>
          <w:p>
            <w:pPr>
              <w:jc w:val="right"/>
              <w:ind w:right="299"/>
              <w:spacing w:after="0"/>
              <w:rPr>
                <w:sz w:val="20"/>
                <w:szCs w:val="20"/>
                <w:color w:val="auto"/>
              </w:rPr>
            </w:pPr>
            <w:r>
              <w:rPr>
                <w:rFonts w:ascii="Arial" w:cs="Arial" w:eastAsia="Arial" w:hAnsi="Arial"/>
                <w:sz w:val="16"/>
                <w:szCs w:val="16"/>
                <w:color w:val="auto"/>
              </w:rPr>
              <w:t>3.6</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161</w:t>
            </w:r>
          </w:p>
        </w:tc>
        <w:tc>
          <w:tcPr>
            <w:tcW w:w="178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182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161</w:t>
            </w:r>
          </w:p>
        </w:tc>
      </w:tr>
      <w:tr>
        <w:trPr>
          <w:trHeight w:val="33"/>
        </w:trPr>
        <w:tc>
          <w:tcPr>
            <w:tcW w:w="48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Stock-based compensation</w:t>
            </w:r>
          </w:p>
        </w:tc>
        <w:tc>
          <w:tcPr>
            <w:tcW w:w="106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rPr>
              <w:t>0.5</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70</w:t>
            </w:r>
          </w:p>
        </w:tc>
        <w:tc>
          <w:tcPr>
            <w:tcW w:w="178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182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70</w:t>
            </w:r>
          </w:p>
        </w:tc>
      </w:tr>
      <w:tr>
        <w:trPr>
          <w:trHeight w:val="237"/>
        </w:trPr>
        <w:tc>
          <w:tcPr>
            <w:tcW w:w="4820" w:type="dxa"/>
            <w:vAlign w:val="bottom"/>
          </w:tcPr>
          <w:p>
            <w:pPr>
              <w:ind w:left="40"/>
              <w:spacing w:after="0"/>
              <w:rPr>
                <w:sz w:val="20"/>
                <w:szCs w:val="20"/>
                <w:color w:val="auto"/>
              </w:rPr>
            </w:pPr>
            <w:r>
              <w:rPr>
                <w:rFonts w:ascii="Arial" w:cs="Arial" w:eastAsia="Arial" w:hAnsi="Arial"/>
                <w:sz w:val="16"/>
                <w:szCs w:val="16"/>
                <w:color w:val="auto"/>
              </w:rPr>
              <w:t>Repurchase of common stock</w:t>
            </w:r>
          </w:p>
        </w:tc>
        <w:tc>
          <w:tcPr>
            <w:tcW w:w="1060" w:type="dxa"/>
            <w:vAlign w:val="bottom"/>
          </w:tcPr>
          <w:p>
            <w:pPr>
              <w:jc w:val="right"/>
              <w:ind w:right="239"/>
              <w:spacing w:after="0"/>
              <w:rPr>
                <w:sz w:val="20"/>
                <w:szCs w:val="20"/>
                <w:color w:val="auto"/>
              </w:rPr>
            </w:pPr>
            <w:r>
              <w:rPr>
                <w:rFonts w:ascii="Arial" w:cs="Arial" w:eastAsia="Arial" w:hAnsi="Arial"/>
                <w:sz w:val="16"/>
                <w:szCs w:val="16"/>
                <w:color w:val="auto"/>
              </w:rPr>
              <w:t>(8.9)</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780" w:type="dxa"/>
            <w:vAlign w:val="bottom"/>
          </w:tcPr>
          <w:p>
            <w:pPr>
              <w:jc w:val="right"/>
              <w:ind w:right="259"/>
              <w:spacing w:after="0"/>
              <w:rPr>
                <w:sz w:val="20"/>
                <w:szCs w:val="20"/>
                <w:color w:val="auto"/>
              </w:rPr>
            </w:pPr>
            <w:r>
              <w:rPr>
                <w:rFonts w:ascii="Arial" w:cs="Arial" w:eastAsia="Arial" w:hAnsi="Arial"/>
                <w:sz w:val="16"/>
                <w:szCs w:val="16"/>
                <w:color w:val="auto"/>
              </w:rPr>
              <w:t>(595)</w:t>
            </w:r>
          </w:p>
        </w:tc>
        <w:tc>
          <w:tcPr>
            <w:tcW w:w="182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(595)</w:t>
            </w:r>
          </w:p>
        </w:tc>
      </w:tr>
      <w:tr>
        <w:trPr>
          <w:trHeight w:val="33"/>
        </w:trPr>
        <w:tc>
          <w:tcPr>
            <w:tcW w:w="48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January 31, 2015</w:t>
            </w:r>
          </w:p>
        </w:tc>
        <w:tc>
          <w:tcPr>
            <w:tcW w:w="106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rPr>
              <w:t>190.1</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2,338</w:t>
            </w:r>
          </w:p>
        </w:tc>
        <w:tc>
          <w:tcPr>
            <w:tcW w:w="178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rPr>
              <w:t>166</w:t>
            </w:r>
          </w:p>
        </w:tc>
        <w:tc>
          <w:tcPr>
            <w:tcW w:w="182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(64)</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2,440</w:t>
            </w:r>
          </w:p>
        </w:tc>
      </w:tr>
      <w:tr>
        <w:trPr>
          <w:trHeight w:val="237"/>
        </w:trPr>
        <w:tc>
          <w:tcPr>
            <w:tcW w:w="4820" w:type="dxa"/>
            <w:vAlign w:val="bottom"/>
          </w:tcPr>
          <w:p>
            <w:pPr>
              <w:ind w:left="40"/>
              <w:spacing w:after="0"/>
              <w:rPr>
                <w:sz w:val="20"/>
                <w:szCs w:val="20"/>
                <w:color w:val="auto"/>
              </w:rPr>
            </w:pPr>
            <w:r>
              <w:rPr>
                <w:rFonts w:ascii="Arial" w:cs="Arial" w:eastAsia="Arial" w:hAnsi="Arial"/>
                <w:sz w:val="16"/>
                <w:szCs w:val="16"/>
                <w:color w:val="auto"/>
              </w:rPr>
              <w:t>Net earnings</w:t>
            </w:r>
          </w:p>
        </w:tc>
        <w:tc>
          <w:tcPr>
            <w:tcW w:w="106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780" w:type="dxa"/>
            <w:vAlign w:val="bottom"/>
          </w:tcPr>
          <w:p>
            <w:pPr>
              <w:jc w:val="right"/>
              <w:ind w:right="319"/>
              <w:spacing w:after="0"/>
              <w:rPr>
                <w:sz w:val="20"/>
                <w:szCs w:val="20"/>
                <w:color w:val="auto"/>
              </w:rPr>
            </w:pPr>
            <w:r>
              <w:rPr>
                <w:rFonts w:ascii="Arial" w:cs="Arial" w:eastAsia="Arial" w:hAnsi="Arial"/>
                <w:sz w:val="16"/>
                <w:szCs w:val="16"/>
                <w:color w:val="auto"/>
              </w:rPr>
              <w:t>600</w:t>
            </w:r>
          </w:p>
        </w:tc>
        <w:tc>
          <w:tcPr>
            <w:tcW w:w="182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600</w:t>
            </w:r>
          </w:p>
        </w:tc>
      </w:tr>
      <w:tr>
        <w:trPr>
          <w:trHeight w:val="33"/>
        </w:trPr>
        <w:tc>
          <w:tcPr>
            <w:tcW w:w="48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comprehensive earnings</w:t>
            </w:r>
          </w:p>
        </w:tc>
        <w:tc>
          <w:tcPr>
            <w:tcW w:w="106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78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182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rPr>
              <w:t>6</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w:t>
            </w:r>
          </w:p>
        </w:tc>
      </w:tr>
      <w:tr>
        <w:trPr>
          <w:trHeight w:val="237"/>
        </w:trPr>
        <w:tc>
          <w:tcPr>
            <w:tcW w:w="4820" w:type="dxa"/>
            <w:vAlign w:val="bottom"/>
          </w:tcPr>
          <w:p>
            <w:pPr>
              <w:ind w:left="40"/>
              <w:spacing w:after="0"/>
              <w:rPr>
                <w:sz w:val="20"/>
                <w:szCs w:val="20"/>
                <w:color w:val="auto"/>
              </w:rPr>
            </w:pPr>
            <w:r>
              <w:rPr>
                <w:rFonts w:ascii="Arial" w:cs="Arial" w:eastAsia="Arial" w:hAnsi="Arial"/>
                <w:sz w:val="16"/>
                <w:szCs w:val="16"/>
                <w:color w:val="auto"/>
              </w:rPr>
              <w:t>Dividends ($1.48 per share)</w:t>
            </w:r>
          </w:p>
        </w:tc>
        <w:tc>
          <w:tcPr>
            <w:tcW w:w="106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780" w:type="dxa"/>
            <w:vAlign w:val="bottom"/>
          </w:tcPr>
          <w:p>
            <w:pPr>
              <w:jc w:val="right"/>
              <w:ind w:right="259"/>
              <w:spacing w:after="0"/>
              <w:rPr>
                <w:sz w:val="20"/>
                <w:szCs w:val="20"/>
                <w:color w:val="auto"/>
              </w:rPr>
            </w:pPr>
            <w:r>
              <w:rPr>
                <w:rFonts w:ascii="Arial" w:cs="Arial" w:eastAsia="Arial" w:hAnsi="Arial"/>
                <w:sz w:val="16"/>
                <w:szCs w:val="16"/>
                <w:color w:val="auto"/>
              </w:rPr>
              <w:t>(280)</w:t>
            </w:r>
          </w:p>
        </w:tc>
        <w:tc>
          <w:tcPr>
            <w:tcW w:w="182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(280)</w:t>
            </w:r>
          </w:p>
        </w:tc>
      </w:tr>
      <w:tr>
        <w:trPr>
          <w:trHeight w:val="33"/>
        </w:trPr>
        <w:tc>
          <w:tcPr>
            <w:tcW w:w="48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20"/>
        </w:trPr>
        <w:tc>
          <w:tcPr>
            <w:tcW w:w="4820" w:type="dxa"/>
            <w:vAlign w:val="bottom"/>
            <w:shd w:val="clear" w:color="auto" w:fill="CCEEFF"/>
          </w:tcPr>
          <w:p>
            <w:pPr>
              <w:ind w:left="40"/>
              <w:spacing w:after="0"/>
              <w:rPr>
                <w:sz w:val="20"/>
                <w:szCs w:val="20"/>
                <w:color w:val="auto"/>
              </w:rPr>
            </w:pPr>
            <w:r>
              <w:rPr>
                <w:rFonts w:ascii="Arial" w:cs="Arial" w:eastAsia="Arial" w:hAnsi="Arial"/>
                <w:sz w:val="16"/>
                <w:szCs w:val="16"/>
                <w:color w:val="auto"/>
                <w:w w:val="99"/>
              </w:rPr>
              <w:t>Special dividend related to the sale of credit card receivables ($4.85</w:t>
            </w:r>
          </w:p>
        </w:tc>
        <w:tc>
          <w:tcPr>
            <w:tcW w:w="10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19"/>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per share)</w:t>
            </w:r>
          </w:p>
        </w:tc>
        <w:tc>
          <w:tcPr>
            <w:tcW w:w="106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78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(905)</w:t>
            </w:r>
          </w:p>
        </w:tc>
        <w:tc>
          <w:tcPr>
            <w:tcW w:w="182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(905)</w:t>
            </w:r>
          </w:p>
        </w:tc>
      </w:tr>
      <w:tr>
        <w:trPr>
          <w:trHeight w:val="237"/>
        </w:trPr>
        <w:tc>
          <w:tcPr>
            <w:tcW w:w="4820" w:type="dxa"/>
            <w:vAlign w:val="bottom"/>
          </w:tcPr>
          <w:p>
            <w:pPr>
              <w:ind w:left="40"/>
              <w:spacing w:after="0"/>
              <w:rPr>
                <w:sz w:val="20"/>
                <w:szCs w:val="20"/>
                <w:color w:val="auto"/>
              </w:rPr>
            </w:pPr>
            <w:r>
              <w:rPr>
                <w:rFonts w:ascii="Arial" w:cs="Arial" w:eastAsia="Arial" w:hAnsi="Arial"/>
                <w:sz w:val="16"/>
                <w:szCs w:val="16"/>
                <w:color w:val="auto"/>
              </w:rPr>
              <w:t>Issuance of common stock for Trunk Club acquisition</w:t>
            </w:r>
          </w:p>
        </w:tc>
        <w:tc>
          <w:tcPr>
            <w:tcW w:w="1060" w:type="dxa"/>
            <w:vAlign w:val="bottom"/>
          </w:tcPr>
          <w:p>
            <w:pPr>
              <w:jc w:val="right"/>
              <w:ind w:right="299"/>
              <w:spacing w:after="0"/>
              <w:rPr>
                <w:sz w:val="20"/>
                <w:szCs w:val="20"/>
                <w:color w:val="auto"/>
              </w:rPr>
            </w:pPr>
            <w:r>
              <w:rPr>
                <w:rFonts w:ascii="Arial" w:cs="Arial" w:eastAsia="Arial" w:hAnsi="Arial"/>
                <w:sz w:val="16"/>
                <w:szCs w:val="16"/>
                <w:color w:val="auto"/>
              </w:rPr>
              <w:t>0.3</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23</w:t>
            </w:r>
          </w:p>
        </w:tc>
        <w:tc>
          <w:tcPr>
            <w:tcW w:w="178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182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23</w:t>
            </w:r>
          </w:p>
        </w:tc>
      </w:tr>
      <w:tr>
        <w:trPr>
          <w:trHeight w:val="33"/>
        </w:trPr>
        <w:tc>
          <w:tcPr>
            <w:tcW w:w="48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Issuance of common stock under stock compensation plans</w:t>
            </w:r>
          </w:p>
        </w:tc>
        <w:tc>
          <w:tcPr>
            <w:tcW w:w="106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rPr>
              <w:t>2.0</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108</w:t>
            </w:r>
          </w:p>
        </w:tc>
        <w:tc>
          <w:tcPr>
            <w:tcW w:w="178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182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108</w:t>
            </w:r>
          </w:p>
        </w:tc>
      </w:tr>
      <w:tr>
        <w:trPr>
          <w:trHeight w:val="237"/>
        </w:trPr>
        <w:tc>
          <w:tcPr>
            <w:tcW w:w="4820" w:type="dxa"/>
            <w:vAlign w:val="bottom"/>
          </w:tcPr>
          <w:p>
            <w:pPr>
              <w:ind w:left="40"/>
              <w:spacing w:after="0"/>
              <w:rPr>
                <w:sz w:val="20"/>
                <w:szCs w:val="20"/>
                <w:color w:val="auto"/>
              </w:rPr>
            </w:pPr>
            <w:r>
              <w:rPr>
                <w:rFonts w:ascii="Arial" w:cs="Arial" w:eastAsia="Arial" w:hAnsi="Arial"/>
                <w:sz w:val="16"/>
                <w:szCs w:val="16"/>
                <w:color w:val="auto"/>
              </w:rPr>
              <w:t>Stock-based compensation</w:t>
            </w:r>
          </w:p>
        </w:tc>
        <w:tc>
          <w:tcPr>
            <w:tcW w:w="1060" w:type="dxa"/>
            <w:vAlign w:val="bottom"/>
          </w:tcPr>
          <w:p>
            <w:pPr>
              <w:jc w:val="right"/>
              <w:ind w:right="299"/>
              <w:spacing w:after="0"/>
              <w:rPr>
                <w:sz w:val="20"/>
                <w:szCs w:val="20"/>
                <w:color w:val="auto"/>
              </w:rPr>
            </w:pPr>
            <w:r>
              <w:rPr>
                <w:rFonts w:ascii="Arial" w:cs="Arial" w:eastAsia="Arial" w:hAnsi="Arial"/>
                <w:sz w:val="16"/>
                <w:szCs w:val="16"/>
                <w:color w:val="auto"/>
              </w:rPr>
              <w:t>0.2</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70</w:t>
            </w:r>
          </w:p>
        </w:tc>
        <w:tc>
          <w:tcPr>
            <w:tcW w:w="178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182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70</w:t>
            </w:r>
          </w:p>
        </w:tc>
      </w:tr>
      <w:tr>
        <w:trPr>
          <w:trHeight w:val="33"/>
        </w:trPr>
        <w:tc>
          <w:tcPr>
            <w:tcW w:w="48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5"/>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Repurchase of common stock</w:t>
            </w:r>
          </w:p>
        </w:tc>
        <w:tc>
          <w:tcPr>
            <w:tcW w:w="106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(19.1)</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78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(1,191)</w:t>
            </w:r>
          </w:p>
        </w:tc>
        <w:tc>
          <w:tcPr>
            <w:tcW w:w="182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(1,191)</w:t>
            </w:r>
          </w:p>
        </w:tc>
      </w:tr>
      <w:tr>
        <w:trPr>
          <w:trHeight w:val="231"/>
        </w:trPr>
        <w:tc>
          <w:tcPr>
            <w:tcW w:w="482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Balance at January 30, 2016</w:t>
            </w:r>
          </w:p>
        </w:tc>
        <w:tc>
          <w:tcPr>
            <w:tcW w:w="1060" w:type="dxa"/>
            <w:vAlign w:val="bottom"/>
            <w:tcBorders>
              <w:top w:val="single" w:sz="8" w:color="auto"/>
            </w:tcBorders>
          </w:tcPr>
          <w:p>
            <w:pPr>
              <w:jc w:val="right"/>
              <w:ind w:right="299"/>
              <w:spacing w:after="0"/>
              <w:rPr>
                <w:sz w:val="20"/>
                <w:szCs w:val="20"/>
                <w:color w:val="auto"/>
              </w:rPr>
            </w:pPr>
            <w:r>
              <w:rPr>
                <w:rFonts w:ascii="Arial" w:cs="Arial" w:eastAsia="Arial" w:hAnsi="Arial"/>
                <w:sz w:val="16"/>
                <w:szCs w:val="16"/>
                <w:color w:val="auto"/>
              </w:rPr>
              <w:t>173.5</w:t>
            </w:r>
          </w:p>
        </w:tc>
        <w:tc>
          <w:tcPr>
            <w:tcW w:w="10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2,539</w:t>
            </w:r>
          </w:p>
        </w:tc>
        <w:tc>
          <w:tcPr>
            <w:tcW w:w="1780" w:type="dxa"/>
            <w:vAlign w:val="bottom"/>
            <w:tcBorders>
              <w:top w:val="single" w:sz="8" w:color="auto"/>
            </w:tcBorders>
          </w:tcPr>
          <w:p>
            <w:pPr>
              <w:jc w:val="right"/>
              <w:ind w:right="259"/>
              <w:spacing w:after="0"/>
              <w:rPr>
                <w:sz w:val="20"/>
                <w:szCs w:val="20"/>
                <w:color w:val="auto"/>
              </w:rPr>
            </w:pPr>
            <w:r>
              <w:rPr>
                <w:rFonts w:ascii="Arial" w:cs="Arial" w:eastAsia="Arial" w:hAnsi="Arial"/>
                <w:sz w:val="16"/>
                <w:szCs w:val="16"/>
                <w:color w:val="auto"/>
              </w:rPr>
              <w:t>(1,610)</w:t>
            </w:r>
          </w:p>
        </w:tc>
        <w:tc>
          <w:tcPr>
            <w:tcW w:w="1820" w:type="dxa"/>
            <w:vAlign w:val="bottom"/>
            <w:tcBorders>
              <w:top w:val="single" w:sz="8" w:color="auto"/>
            </w:tcBorders>
          </w:tcPr>
          <w:p>
            <w:pPr>
              <w:jc w:val="right"/>
              <w:ind w:right="279"/>
              <w:spacing w:after="0"/>
              <w:rPr>
                <w:sz w:val="20"/>
                <w:szCs w:val="20"/>
                <w:color w:val="auto"/>
              </w:rPr>
            </w:pPr>
            <w:r>
              <w:rPr>
                <w:rFonts w:ascii="Arial" w:cs="Arial" w:eastAsia="Arial" w:hAnsi="Arial"/>
                <w:sz w:val="16"/>
                <w:szCs w:val="16"/>
                <w:color w:val="auto"/>
              </w:rPr>
              <w:t>(58)</w:t>
            </w: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871</w:t>
            </w:r>
          </w:p>
        </w:tc>
      </w:tr>
      <w:tr>
        <w:trPr>
          <w:trHeight w:val="33"/>
        </w:trPr>
        <w:tc>
          <w:tcPr>
            <w:tcW w:w="48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earnings</w:t>
            </w:r>
          </w:p>
        </w:tc>
        <w:tc>
          <w:tcPr>
            <w:tcW w:w="106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78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rPr>
              <w:t>354</w:t>
            </w:r>
          </w:p>
        </w:tc>
        <w:tc>
          <w:tcPr>
            <w:tcW w:w="182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354</w:t>
            </w:r>
          </w:p>
        </w:tc>
      </w:tr>
      <w:tr>
        <w:trPr>
          <w:trHeight w:val="237"/>
        </w:trPr>
        <w:tc>
          <w:tcPr>
            <w:tcW w:w="4820" w:type="dxa"/>
            <w:vAlign w:val="bottom"/>
          </w:tcPr>
          <w:p>
            <w:pPr>
              <w:ind w:left="40"/>
              <w:spacing w:after="0"/>
              <w:rPr>
                <w:sz w:val="20"/>
                <w:szCs w:val="20"/>
                <w:color w:val="auto"/>
              </w:rPr>
            </w:pPr>
            <w:r>
              <w:rPr>
                <w:rFonts w:ascii="Arial" w:cs="Arial" w:eastAsia="Arial" w:hAnsi="Arial"/>
                <w:sz w:val="16"/>
                <w:szCs w:val="16"/>
                <w:color w:val="auto"/>
              </w:rPr>
              <w:t>Other comprehensive earnings</w:t>
            </w:r>
          </w:p>
        </w:tc>
        <w:tc>
          <w:tcPr>
            <w:tcW w:w="106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78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1820" w:type="dxa"/>
            <w:vAlign w:val="bottom"/>
          </w:tcPr>
          <w:p>
            <w:pPr>
              <w:jc w:val="right"/>
              <w:ind w:right="339"/>
              <w:spacing w:after="0"/>
              <w:rPr>
                <w:sz w:val="20"/>
                <w:szCs w:val="20"/>
                <w:color w:val="auto"/>
              </w:rPr>
            </w:pPr>
            <w:r>
              <w:rPr>
                <w:rFonts w:ascii="Arial" w:cs="Arial" w:eastAsia="Arial" w:hAnsi="Arial"/>
                <w:sz w:val="16"/>
                <w:szCs w:val="16"/>
                <w:color w:val="auto"/>
              </w:rPr>
              <w:t>15</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15</w:t>
            </w:r>
          </w:p>
        </w:tc>
      </w:tr>
      <w:tr>
        <w:trPr>
          <w:trHeight w:val="33"/>
        </w:trPr>
        <w:tc>
          <w:tcPr>
            <w:tcW w:w="48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Dividends ($1.48 per share)</w:t>
            </w:r>
          </w:p>
        </w:tc>
        <w:tc>
          <w:tcPr>
            <w:tcW w:w="106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78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(256)</w:t>
            </w:r>
          </w:p>
        </w:tc>
        <w:tc>
          <w:tcPr>
            <w:tcW w:w="182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(256)</w:t>
            </w:r>
          </w:p>
        </w:tc>
      </w:tr>
      <w:tr>
        <w:trPr>
          <w:trHeight w:val="237"/>
        </w:trPr>
        <w:tc>
          <w:tcPr>
            <w:tcW w:w="4820" w:type="dxa"/>
            <w:vAlign w:val="bottom"/>
          </w:tcPr>
          <w:p>
            <w:pPr>
              <w:ind w:left="40"/>
              <w:spacing w:after="0"/>
              <w:rPr>
                <w:sz w:val="20"/>
                <w:szCs w:val="20"/>
                <w:color w:val="auto"/>
              </w:rPr>
            </w:pPr>
            <w:r>
              <w:rPr>
                <w:rFonts w:ascii="Arial" w:cs="Arial" w:eastAsia="Arial" w:hAnsi="Arial"/>
                <w:sz w:val="16"/>
                <w:szCs w:val="16"/>
                <w:color w:val="auto"/>
              </w:rPr>
              <w:t>Issuance of common stock under stock compensation plans</w:t>
            </w:r>
          </w:p>
        </w:tc>
        <w:tc>
          <w:tcPr>
            <w:tcW w:w="1060" w:type="dxa"/>
            <w:vAlign w:val="bottom"/>
          </w:tcPr>
          <w:p>
            <w:pPr>
              <w:jc w:val="right"/>
              <w:ind w:right="299"/>
              <w:spacing w:after="0"/>
              <w:rPr>
                <w:sz w:val="20"/>
                <w:szCs w:val="20"/>
                <w:color w:val="auto"/>
              </w:rPr>
            </w:pPr>
            <w:r>
              <w:rPr>
                <w:rFonts w:ascii="Arial" w:cs="Arial" w:eastAsia="Arial" w:hAnsi="Arial"/>
                <w:sz w:val="16"/>
                <w:szCs w:val="16"/>
                <w:color w:val="auto"/>
              </w:rPr>
              <w:t>2.1</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83</w:t>
            </w:r>
          </w:p>
        </w:tc>
        <w:tc>
          <w:tcPr>
            <w:tcW w:w="178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182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83</w:t>
            </w:r>
          </w:p>
        </w:tc>
      </w:tr>
      <w:tr>
        <w:trPr>
          <w:trHeight w:val="33"/>
        </w:trPr>
        <w:tc>
          <w:tcPr>
            <w:tcW w:w="48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Stock-based compensation</w:t>
            </w:r>
          </w:p>
        </w:tc>
        <w:tc>
          <w:tcPr>
            <w:tcW w:w="106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rPr>
              <w:t>0.3</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85</w:t>
            </w:r>
          </w:p>
        </w:tc>
        <w:tc>
          <w:tcPr>
            <w:tcW w:w="178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182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85</w:t>
            </w:r>
          </w:p>
        </w:tc>
      </w:tr>
      <w:tr>
        <w:trPr>
          <w:trHeight w:val="237"/>
        </w:trPr>
        <w:tc>
          <w:tcPr>
            <w:tcW w:w="4820" w:type="dxa"/>
            <w:vAlign w:val="bottom"/>
          </w:tcPr>
          <w:p>
            <w:pPr>
              <w:ind w:left="40"/>
              <w:spacing w:after="0"/>
              <w:rPr>
                <w:sz w:val="20"/>
                <w:szCs w:val="20"/>
                <w:color w:val="auto"/>
              </w:rPr>
            </w:pPr>
            <w:r>
              <w:rPr>
                <w:rFonts w:ascii="Arial" w:cs="Arial" w:eastAsia="Arial" w:hAnsi="Arial"/>
                <w:sz w:val="16"/>
                <w:szCs w:val="16"/>
                <w:color w:val="auto"/>
              </w:rPr>
              <w:t>Repurchase of common stock</w:t>
            </w:r>
          </w:p>
        </w:tc>
        <w:tc>
          <w:tcPr>
            <w:tcW w:w="1060" w:type="dxa"/>
            <w:vAlign w:val="bottom"/>
          </w:tcPr>
          <w:p>
            <w:pPr>
              <w:jc w:val="right"/>
              <w:ind w:right="239"/>
              <w:spacing w:after="0"/>
              <w:rPr>
                <w:sz w:val="20"/>
                <w:szCs w:val="20"/>
                <w:color w:val="auto"/>
              </w:rPr>
            </w:pPr>
            <w:r>
              <w:rPr>
                <w:rFonts w:ascii="Arial" w:cs="Arial" w:eastAsia="Arial" w:hAnsi="Arial"/>
                <w:sz w:val="16"/>
                <w:szCs w:val="16"/>
                <w:color w:val="auto"/>
              </w:rPr>
              <w:t>(5.9)</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780" w:type="dxa"/>
            <w:vAlign w:val="bottom"/>
          </w:tcPr>
          <w:p>
            <w:pPr>
              <w:jc w:val="right"/>
              <w:ind w:right="259"/>
              <w:spacing w:after="0"/>
              <w:rPr>
                <w:sz w:val="20"/>
                <w:szCs w:val="20"/>
                <w:color w:val="auto"/>
              </w:rPr>
            </w:pPr>
            <w:r>
              <w:rPr>
                <w:rFonts w:ascii="Arial" w:cs="Arial" w:eastAsia="Arial" w:hAnsi="Arial"/>
                <w:sz w:val="16"/>
                <w:szCs w:val="16"/>
                <w:color w:val="auto"/>
              </w:rPr>
              <w:t>(282)</w:t>
            </w:r>
          </w:p>
        </w:tc>
        <w:tc>
          <w:tcPr>
            <w:tcW w:w="182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(282)</w:t>
            </w:r>
          </w:p>
        </w:tc>
      </w:tr>
      <w:tr>
        <w:trPr>
          <w:trHeight w:val="33"/>
        </w:trPr>
        <w:tc>
          <w:tcPr>
            <w:tcW w:w="48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January 28, 2017</w:t>
            </w:r>
          </w:p>
        </w:tc>
        <w:tc>
          <w:tcPr>
            <w:tcW w:w="106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b w:val="1"/>
                <w:bCs w:val="1"/>
                <w:color w:val="auto"/>
              </w:rPr>
              <w:t>170.0</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$2,707</w:t>
            </w:r>
          </w:p>
        </w:tc>
        <w:tc>
          <w:tcPr>
            <w:tcW w:w="178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b w:val="1"/>
                <w:bCs w:val="1"/>
                <w:color w:val="auto"/>
              </w:rPr>
              <w:t>($1,794)</w:t>
            </w:r>
          </w:p>
        </w:tc>
        <w:tc>
          <w:tcPr>
            <w:tcW w:w="182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b w:val="1"/>
                <w:bCs w:val="1"/>
                <w:color w:val="auto"/>
              </w:rPr>
              <w:t>($43)</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$870</w:t>
            </w:r>
          </w:p>
        </w:tc>
      </w:tr>
      <w:tr>
        <w:trPr>
          <w:trHeight w:val="20"/>
        </w:trPr>
        <w:tc>
          <w:tcPr>
            <w:tcW w:w="48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r>
    </w:tbl>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to Consolidated Financial Statements are an integral part of these financial statements.</w:t>
      </w:r>
    </w:p>
    <w:p>
      <w:pPr>
        <w:spacing w:after="0" w:line="200" w:lineRule="exact"/>
        <w:rPr>
          <w:sz w:val="20"/>
          <w:szCs w:val="20"/>
          <w:color w:val="auto"/>
        </w:rPr>
      </w:pPr>
    </w:p>
    <w:p>
      <w:pPr>
        <w:spacing w:after="0" w:line="210" w:lineRule="exact"/>
        <w:rPr>
          <w:sz w:val="20"/>
          <w:szCs w:val="20"/>
          <w:color w:val="auto"/>
        </w:rPr>
      </w:pPr>
    </w:p>
    <w:p>
      <w:pPr>
        <w:jc w:val="right"/>
        <w:spacing w:after="0"/>
        <w:rPr>
          <w:sz w:val="20"/>
          <w:szCs w:val="20"/>
          <w:color w:val="auto"/>
        </w:rPr>
      </w:pPr>
      <w:r>
        <w:rPr>
          <w:rFonts w:ascii="Arial" w:cs="Arial" w:eastAsia="Arial" w:hAnsi="Arial"/>
          <w:sz w:val="13"/>
          <w:szCs w:val="13"/>
          <w:color w:val="auto"/>
        </w:rPr>
        <w:t xml:space="preserve">Nordstrom, Inc. and subsidiaries </w:t>
      </w:r>
      <w:r>
        <w:rPr>
          <w:rFonts w:ascii="Arial" w:cs="Arial" w:eastAsia="Arial" w:hAnsi="Arial"/>
          <w:sz w:val="16"/>
          <w:szCs w:val="16"/>
          <w:color w:val="auto"/>
        </w:rPr>
        <w:t>39</w:t>
      </w:r>
    </w:p>
    <w:p>
      <w:pPr>
        <w:sectPr>
          <w:pgSz w:w="11900" w:h="16838" w:orient="portrait"/>
          <w:cols w:equalWidth="0" w:num="1">
            <w:col w:w="11420"/>
          </w:cols>
          <w:pgMar w:left="240" w:top="126" w:right="239" w:bottom="1440" w:gutter="0" w:footer="0" w:header="0"/>
        </w:sectPr>
      </w:pPr>
    </w:p>
    <w:bookmarkStart w:id="39" w:name="page40"/>
    <w:bookmarkEnd w:id="39"/>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Nordstrom, Inc.</w:t>
      </w:r>
    </w:p>
    <w:p>
      <w:pPr>
        <w:spacing w:after="0" w:line="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Statements of Cash Flows</w:t>
      </w:r>
    </w:p>
    <w:p>
      <w:pPr>
        <w:spacing w:after="0"/>
        <w:rPr>
          <w:sz w:val="20"/>
          <w:szCs w:val="20"/>
          <w:color w:val="auto"/>
        </w:rPr>
      </w:pPr>
      <w:r>
        <w:rPr>
          <w:rFonts w:ascii="Arial" w:cs="Arial" w:eastAsia="Arial" w:hAnsi="Arial"/>
          <w:sz w:val="18"/>
          <w:szCs w:val="18"/>
          <w:color w:val="auto"/>
        </w:rPr>
        <w:t>In millions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280" w:type="dxa"/>
            <w:vAlign w:val="bottom"/>
          </w:tcPr>
          <w:p>
            <w:pPr>
              <w:ind w:left="40"/>
              <w:spacing w:after="0"/>
              <w:rPr>
                <w:sz w:val="20"/>
                <w:szCs w:val="20"/>
                <w:color w:val="auto"/>
              </w:rPr>
            </w:pPr>
            <w:r>
              <w:rPr>
                <w:rFonts w:ascii="Arial" w:cs="Arial" w:eastAsia="Arial" w:hAnsi="Arial"/>
                <w:sz w:val="16"/>
                <w:szCs w:val="16"/>
                <w:b w:val="1"/>
                <w:bCs w:val="1"/>
                <w:color w:val="auto"/>
              </w:rPr>
              <w:t>Fiscal year</w:t>
            </w:r>
          </w:p>
        </w:tc>
        <w:tc>
          <w:tcPr>
            <w:tcW w:w="2120" w:type="dxa"/>
            <w:vAlign w:val="bottom"/>
          </w:tcPr>
          <w:p>
            <w:pPr>
              <w:jc w:val="right"/>
              <w:ind w:right="659"/>
              <w:spacing w:after="0"/>
              <w:rPr>
                <w:sz w:val="20"/>
                <w:szCs w:val="20"/>
                <w:color w:val="auto"/>
              </w:rPr>
            </w:pPr>
            <w:r>
              <w:rPr>
                <w:rFonts w:ascii="Arial" w:cs="Arial" w:eastAsia="Arial" w:hAnsi="Arial"/>
                <w:sz w:val="16"/>
                <w:szCs w:val="16"/>
                <w:b w:val="1"/>
                <w:bCs w:val="1"/>
                <w:color w:val="auto"/>
              </w:rPr>
              <w:t>2016</w:t>
            </w:r>
          </w:p>
        </w:tc>
        <w:tc>
          <w:tcPr>
            <w:tcW w:w="1860" w:type="dxa"/>
            <w:vAlign w:val="bottom"/>
          </w:tcPr>
          <w:p>
            <w:pPr>
              <w:jc w:val="right"/>
              <w:ind w:right="659"/>
              <w:spacing w:after="0"/>
              <w:rPr>
                <w:sz w:val="20"/>
                <w:szCs w:val="20"/>
                <w:color w:val="auto"/>
              </w:rPr>
            </w:pPr>
            <w:r>
              <w:rPr>
                <w:rFonts w:ascii="Arial" w:cs="Arial" w:eastAsia="Arial" w:hAnsi="Arial"/>
                <w:sz w:val="16"/>
                <w:szCs w:val="16"/>
                <w:b w:val="1"/>
                <w:bCs w:val="1"/>
                <w:color w:val="auto"/>
              </w:rPr>
              <w:t>2015</w:t>
            </w:r>
          </w:p>
        </w:tc>
        <w:tc>
          <w:tcPr>
            <w:tcW w:w="1160" w:type="dxa"/>
            <w:vAlign w:val="bottom"/>
          </w:tcPr>
          <w:p>
            <w:pPr>
              <w:jc w:val="right"/>
              <w:ind w:right="19"/>
              <w:spacing w:after="0"/>
              <w:rPr>
                <w:sz w:val="20"/>
                <w:szCs w:val="20"/>
                <w:color w:val="auto"/>
              </w:rPr>
            </w:pPr>
            <w:r>
              <w:rPr>
                <w:rFonts w:ascii="Arial" w:cs="Arial" w:eastAsia="Arial" w:hAnsi="Arial"/>
                <w:sz w:val="16"/>
                <w:szCs w:val="16"/>
                <w:b w:val="1"/>
                <w:bCs w:val="1"/>
                <w:color w:val="auto"/>
              </w:rPr>
              <w:t>2014</w:t>
            </w:r>
          </w:p>
        </w:tc>
      </w:tr>
      <w:tr>
        <w:trPr>
          <w:trHeight w:val="33"/>
        </w:trPr>
        <w:tc>
          <w:tcPr>
            <w:tcW w:w="628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Operating Activities</w:t>
            </w:r>
          </w:p>
        </w:tc>
        <w:tc>
          <w:tcPr>
            <w:tcW w:w="21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37"/>
        </w:trPr>
        <w:tc>
          <w:tcPr>
            <w:tcW w:w="6280" w:type="dxa"/>
            <w:vAlign w:val="bottom"/>
          </w:tcPr>
          <w:p>
            <w:pPr>
              <w:ind w:left="40"/>
              <w:spacing w:after="0"/>
              <w:rPr>
                <w:sz w:val="20"/>
                <w:szCs w:val="20"/>
                <w:color w:val="auto"/>
              </w:rPr>
            </w:pPr>
            <w:r>
              <w:rPr>
                <w:rFonts w:ascii="Arial" w:cs="Arial" w:eastAsia="Arial" w:hAnsi="Arial"/>
                <w:sz w:val="16"/>
                <w:szCs w:val="16"/>
                <w:color w:val="auto"/>
              </w:rPr>
              <w:t>Net earnings</w:t>
            </w:r>
          </w:p>
        </w:tc>
        <w:tc>
          <w:tcPr>
            <w:tcW w:w="2120" w:type="dxa"/>
            <w:vAlign w:val="bottom"/>
          </w:tcPr>
          <w:p>
            <w:pPr>
              <w:jc w:val="right"/>
              <w:ind w:right="659"/>
              <w:spacing w:after="0"/>
              <w:rPr>
                <w:sz w:val="20"/>
                <w:szCs w:val="20"/>
                <w:color w:val="auto"/>
              </w:rPr>
            </w:pPr>
            <w:r>
              <w:rPr>
                <w:rFonts w:ascii="Arial" w:cs="Arial" w:eastAsia="Arial" w:hAnsi="Arial"/>
                <w:sz w:val="16"/>
                <w:szCs w:val="16"/>
                <w:b w:val="1"/>
                <w:bCs w:val="1"/>
                <w:color w:val="auto"/>
              </w:rPr>
              <w:t>$354</w:t>
            </w:r>
          </w:p>
        </w:tc>
        <w:tc>
          <w:tcPr>
            <w:tcW w:w="1860" w:type="dxa"/>
            <w:vAlign w:val="bottom"/>
          </w:tcPr>
          <w:p>
            <w:pPr>
              <w:jc w:val="right"/>
              <w:ind w:right="659"/>
              <w:spacing w:after="0"/>
              <w:rPr>
                <w:sz w:val="20"/>
                <w:szCs w:val="20"/>
                <w:color w:val="auto"/>
              </w:rPr>
            </w:pPr>
            <w:r>
              <w:rPr>
                <w:rFonts w:ascii="Arial" w:cs="Arial" w:eastAsia="Arial" w:hAnsi="Arial"/>
                <w:sz w:val="16"/>
                <w:szCs w:val="16"/>
                <w:color w:val="auto"/>
              </w:rPr>
              <w:t>$600</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$720</w:t>
            </w:r>
          </w:p>
        </w:tc>
      </w:tr>
      <w:tr>
        <w:trPr>
          <w:trHeight w:val="33"/>
        </w:trPr>
        <w:tc>
          <w:tcPr>
            <w:tcW w:w="62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Adjustments to reconcile net earnings to net cash provided by operating activities:</w:t>
            </w:r>
          </w:p>
        </w:tc>
        <w:tc>
          <w:tcPr>
            <w:tcW w:w="21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37"/>
        </w:trPr>
        <w:tc>
          <w:tcPr>
            <w:tcW w:w="6280" w:type="dxa"/>
            <w:vAlign w:val="bottom"/>
          </w:tcPr>
          <w:p>
            <w:pPr>
              <w:ind w:left="280"/>
              <w:spacing w:after="0"/>
              <w:rPr>
                <w:sz w:val="20"/>
                <w:szCs w:val="20"/>
                <w:color w:val="auto"/>
              </w:rPr>
            </w:pPr>
            <w:r>
              <w:rPr>
                <w:rFonts w:ascii="Arial" w:cs="Arial" w:eastAsia="Arial" w:hAnsi="Arial"/>
                <w:sz w:val="16"/>
                <w:szCs w:val="16"/>
                <w:color w:val="auto"/>
              </w:rPr>
              <w:t>Depreciation and amortization expenses</w:t>
            </w:r>
          </w:p>
        </w:tc>
        <w:tc>
          <w:tcPr>
            <w:tcW w:w="2120" w:type="dxa"/>
            <w:vAlign w:val="bottom"/>
          </w:tcPr>
          <w:p>
            <w:pPr>
              <w:jc w:val="right"/>
              <w:ind w:right="659"/>
              <w:spacing w:after="0"/>
              <w:rPr>
                <w:sz w:val="20"/>
                <w:szCs w:val="20"/>
                <w:color w:val="auto"/>
              </w:rPr>
            </w:pPr>
            <w:r>
              <w:rPr>
                <w:rFonts w:ascii="Arial" w:cs="Arial" w:eastAsia="Arial" w:hAnsi="Arial"/>
                <w:sz w:val="16"/>
                <w:szCs w:val="16"/>
                <w:b w:val="1"/>
                <w:bCs w:val="1"/>
                <w:color w:val="auto"/>
              </w:rPr>
              <w:t>645</w:t>
            </w:r>
          </w:p>
        </w:tc>
        <w:tc>
          <w:tcPr>
            <w:tcW w:w="1860" w:type="dxa"/>
            <w:vAlign w:val="bottom"/>
          </w:tcPr>
          <w:p>
            <w:pPr>
              <w:jc w:val="right"/>
              <w:ind w:right="659"/>
              <w:spacing w:after="0"/>
              <w:rPr>
                <w:sz w:val="20"/>
                <w:szCs w:val="20"/>
                <w:color w:val="auto"/>
              </w:rPr>
            </w:pPr>
            <w:r>
              <w:rPr>
                <w:rFonts w:ascii="Arial" w:cs="Arial" w:eastAsia="Arial" w:hAnsi="Arial"/>
                <w:sz w:val="16"/>
                <w:szCs w:val="16"/>
                <w:color w:val="auto"/>
              </w:rPr>
              <w:t>576</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508</w:t>
            </w:r>
          </w:p>
        </w:tc>
      </w:tr>
      <w:tr>
        <w:trPr>
          <w:trHeight w:val="33"/>
        </w:trPr>
        <w:tc>
          <w:tcPr>
            <w:tcW w:w="62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Goodwill impairment</w:t>
            </w:r>
          </w:p>
        </w:tc>
        <w:tc>
          <w:tcPr>
            <w:tcW w:w="2120" w:type="dxa"/>
            <w:vAlign w:val="bottom"/>
            <w:tcBorders>
              <w:bottom w:val="single" w:sz="8" w:color="CCEEFF"/>
            </w:tcBorders>
            <w:shd w:val="clear" w:color="auto" w:fill="CCEEFF"/>
          </w:tcPr>
          <w:p>
            <w:pPr>
              <w:jc w:val="right"/>
              <w:ind w:right="659"/>
              <w:spacing w:after="0"/>
              <w:rPr>
                <w:sz w:val="20"/>
                <w:szCs w:val="20"/>
                <w:color w:val="auto"/>
              </w:rPr>
            </w:pPr>
            <w:r>
              <w:rPr>
                <w:rFonts w:ascii="Arial" w:cs="Arial" w:eastAsia="Arial" w:hAnsi="Arial"/>
                <w:sz w:val="16"/>
                <w:szCs w:val="16"/>
                <w:b w:val="1"/>
                <w:bCs w:val="1"/>
                <w:color w:val="auto"/>
              </w:rPr>
              <w:t>197</w:t>
            </w:r>
          </w:p>
        </w:tc>
        <w:tc>
          <w:tcPr>
            <w:tcW w:w="1860" w:type="dxa"/>
            <w:vAlign w:val="bottom"/>
            <w:tcBorders>
              <w:bottom w:val="single" w:sz="8" w:color="CCEEFF"/>
            </w:tcBorders>
            <w:shd w:val="clear" w:color="auto" w:fill="CCEEFF"/>
          </w:tcPr>
          <w:p>
            <w:pPr>
              <w:jc w:val="right"/>
              <w:ind w:right="65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6280" w:type="dxa"/>
            <w:vAlign w:val="bottom"/>
          </w:tcPr>
          <w:p>
            <w:pPr>
              <w:ind w:left="280"/>
              <w:spacing w:after="0"/>
              <w:rPr>
                <w:sz w:val="20"/>
                <w:szCs w:val="20"/>
                <w:color w:val="auto"/>
              </w:rPr>
            </w:pPr>
            <w:r>
              <w:rPr>
                <w:rFonts w:ascii="Arial" w:cs="Arial" w:eastAsia="Arial" w:hAnsi="Arial"/>
                <w:sz w:val="16"/>
                <w:szCs w:val="16"/>
                <w:color w:val="auto"/>
              </w:rPr>
              <w:t>Amortization of deferred property incentives and other, net</w:t>
            </w:r>
          </w:p>
        </w:tc>
        <w:tc>
          <w:tcPr>
            <w:tcW w:w="2120" w:type="dxa"/>
            <w:vAlign w:val="bottom"/>
          </w:tcPr>
          <w:p>
            <w:pPr>
              <w:jc w:val="right"/>
              <w:ind w:right="599"/>
              <w:spacing w:after="0"/>
              <w:rPr>
                <w:sz w:val="20"/>
                <w:szCs w:val="20"/>
                <w:color w:val="auto"/>
              </w:rPr>
            </w:pPr>
            <w:r>
              <w:rPr>
                <w:rFonts w:ascii="Arial" w:cs="Arial" w:eastAsia="Arial" w:hAnsi="Arial"/>
                <w:sz w:val="16"/>
                <w:szCs w:val="16"/>
                <w:b w:val="1"/>
                <w:bCs w:val="1"/>
                <w:color w:val="auto"/>
              </w:rPr>
              <w:t>(75)</w:t>
            </w:r>
          </w:p>
        </w:tc>
        <w:tc>
          <w:tcPr>
            <w:tcW w:w="1860" w:type="dxa"/>
            <w:vAlign w:val="bottom"/>
          </w:tcPr>
          <w:p>
            <w:pPr>
              <w:jc w:val="right"/>
              <w:ind w:right="619"/>
              <w:spacing w:after="0"/>
              <w:rPr>
                <w:sz w:val="20"/>
                <w:szCs w:val="20"/>
                <w:color w:val="auto"/>
              </w:rPr>
            </w:pPr>
            <w:r>
              <w:rPr>
                <w:rFonts w:ascii="Arial" w:cs="Arial" w:eastAsia="Arial" w:hAnsi="Arial"/>
                <w:sz w:val="16"/>
                <w:szCs w:val="16"/>
                <w:color w:val="auto"/>
              </w:rPr>
              <w:t>(79)</w:t>
            </w:r>
          </w:p>
        </w:tc>
        <w:tc>
          <w:tcPr>
            <w:tcW w:w="1160" w:type="dxa"/>
            <w:vAlign w:val="bottom"/>
          </w:tcPr>
          <w:p>
            <w:pPr>
              <w:jc w:val="right"/>
              <w:spacing w:after="0"/>
              <w:rPr>
                <w:sz w:val="20"/>
                <w:szCs w:val="20"/>
                <w:color w:val="auto"/>
              </w:rPr>
            </w:pPr>
            <w:r>
              <w:rPr>
                <w:rFonts w:ascii="Arial" w:cs="Arial" w:eastAsia="Arial" w:hAnsi="Arial"/>
                <w:sz w:val="16"/>
                <w:szCs w:val="16"/>
                <w:color w:val="auto"/>
              </w:rPr>
              <w:t>(76)</w:t>
            </w:r>
          </w:p>
        </w:tc>
      </w:tr>
      <w:tr>
        <w:trPr>
          <w:trHeight w:val="33"/>
        </w:trPr>
        <w:tc>
          <w:tcPr>
            <w:tcW w:w="62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Deferred income taxes, net</w:t>
            </w:r>
          </w:p>
        </w:tc>
        <w:tc>
          <w:tcPr>
            <w:tcW w:w="2120" w:type="dxa"/>
            <w:vAlign w:val="bottom"/>
            <w:tcBorders>
              <w:bottom w:val="single" w:sz="8" w:color="CCEEFF"/>
            </w:tcBorders>
            <w:shd w:val="clear" w:color="auto" w:fill="CCEEFF"/>
          </w:tcPr>
          <w:p>
            <w:pPr>
              <w:jc w:val="right"/>
              <w:ind w:right="599"/>
              <w:spacing w:after="0"/>
              <w:rPr>
                <w:sz w:val="20"/>
                <w:szCs w:val="20"/>
                <w:color w:val="auto"/>
              </w:rPr>
            </w:pPr>
            <w:r>
              <w:rPr>
                <w:rFonts w:ascii="Arial" w:cs="Arial" w:eastAsia="Arial" w:hAnsi="Arial"/>
                <w:sz w:val="16"/>
                <w:szCs w:val="16"/>
                <w:b w:val="1"/>
                <w:bCs w:val="1"/>
                <w:color w:val="auto"/>
              </w:rPr>
              <w:t>(15)</w:t>
            </w:r>
          </w:p>
        </w:tc>
        <w:tc>
          <w:tcPr>
            <w:tcW w:w="1860" w:type="dxa"/>
            <w:vAlign w:val="bottom"/>
            <w:tcBorders>
              <w:bottom w:val="single" w:sz="8" w:color="CCEEFF"/>
            </w:tcBorders>
            <w:shd w:val="clear" w:color="auto" w:fill="CCEEFF"/>
          </w:tcPr>
          <w:p>
            <w:pPr>
              <w:jc w:val="right"/>
              <w:ind w:right="659"/>
              <w:spacing w:after="0"/>
              <w:rPr>
                <w:sz w:val="20"/>
                <w:szCs w:val="20"/>
                <w:color w:val="auto"/>
              </w:rPr>
            </w:pPr>
            <w:r>
              <w:rPr>
                <w:rFonts w:ascii="Arial" w:cs="Arial" w:eastAsia="Arial" w:hAnsi="Arial"/>
                <w:sz w:val="16"/>
                <w:szCs w:val="16"/>
                <w:color w:val="auto"/>
              </w:rPr>
              <w:t>142</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w:t>
            </w:r>
          </w:p>
        </w:tc>
      </w:tr>
      <w:tr>
        <w:trPr>
          <w:trHeight w:val="237"/>
        </w:trPr>
        <w:tc>
          <w:tcPr>
            <w:tcW w:w="6280" w:type="dxa"/>
            <w:vAlign w:val="bottom"/>
          </w:tcPr>
          <w:p>
            <w:pPr>
              <w:ind w:left="280"/>
              <w:spacing w:after="0"/>
              <w:rPr>
                <w:sz w:val="20"/>
                <w:szCs w:val="20"/>
                <w:color w:val="auto"/>
              </w:rPr>
            </w:pPr>
            <w:r>
              <w:rPr>
                <w:rFonts w:ascii="Arial" w:cs="Arial" w:eastAsia="Arial" w:hAnsi="Arial"/>
                <w:sz w:val="16"/>
                <w:szCs w:val="16"/>
                <w:color w:val="auto"/>
              </w:rPr>
              <w:t>Stock-based compensation expense</w:t>
            </w:r>
          </w:p>
        </w:tc>
        <w:tc>
          <w:tcPr>
            <w:tcW w:w="2120" w:type="dxa"/>
            <w:vAlign w:val="bottom"/>
          </w:tcPr>
          <w:p>
            <w:pPr>
              <w:jc w:val="right"/>
              <w:ind w:right="659"/>
              <w:spacing w:after="0"/>
              <w:rPr>
                <w:sz w:val="20"/>
                <w:szCs w:val="20"/>
                <w:color w:val="auto"/>
              </w:rPr>
            </w:pPr>
            <w:r>
              <w:rPr>
                <w:rFonts w:ascii="Arial" w:cs="Arial" w:eastAsia="Arial" w:hAnsi="Arial"/>
                <w:sz w:val="16"/>
                <w:szCs w:val="16"/>
                <w:b w:val="1"/>
                <w:bCs w:val="1"/>
                <w:color w:val="auto"/>
              </w:rPr>
              <w:t>91</w:t>
            </w:r>
          </w:p>
        </w:tc>
        <w:tc>
          <w:tcPr>
            <w:tcW w:w="1860" w:type="dxa"/>
            <w:vAlign w:val="bottom"/>
          </w:tcPr>
          <w:p>
            <w:pPr>
              <w:jc w:val="right"/>
              <w:ind w:right="659"/>
              <w:spacing w:after="0"/>
              <w:rPr>
                <w:sz w:val="20"/>
                <w:szCs w:val="20"/>
                <w:color w:val="auto"/>
              </w:rPr>
            </w:pPr>
            <w:r>
              <w:rPr>
                <w:rFonts w:ascii="Arial" w:cs="Arial" w:eastAsia="Arial" w:hAnsi="Arial"/>
                <w:sz w:val="16"/>
                <w:szCs w:val="16"/>
                <w:color w:val="auto"/>
              </w:rPr>
              <w:t>70</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68</w:t>
            </w:r>
          </w:p>
        </w:tc>
      </w:tr>
      <w:tr>
        <w:trPr>
          <w:trHeight w:val="33"/>
        </w:trPr>
        <w:tc>
          <w:tcPr>
            <w:tcW w:w="62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Tax (deficiency) benefit from stock-based compensation</w:t>
            </w:r>
          </w:p>
        </w:tc>
        <w:tc>
          <w:tcPr>
            <w:tcW w:w="2120" w:type="dxa"/>
            <w:vAlign w:val="bottom"/>
            <w:tcBorders>
              <w:bottom w:val="single" w:sz="8" w:color="CCEEFF"/>
            </w:tcBorders>
            <w:shd w:val="clear" w:color="auto" w:fill="CCEEFF"/>
          </w:tcPr>
          <w:p>
            <w:pPr>
              <w:jc w:val="right"/>
              <w:ind w:right="599"/>
              <w:spacing w:after="0"/>
              <w:rPr>
                <w:sz w:val="20"/>
                <w:szCs w:val="20"/>
                <w:color w:val="auto"/>
              </w:rPr>
            </w:pPr>
            <w:r>
              <w:rPr>
                <w:rFonts w:ascii="Arial" w:cs="Arial" w:eastAsia="Arial" w:hAnsi="Arial"/>
                <w:sz w:val="16"/>
                <w:szCs w:val="16"/>
                <w:b w:val="1"/>
                <w:bCs w:val="1"/>
                <w:color w:val="auto"/>
              </w:rPr>
              <w:t>(1)</w:t>
            </w:r>
          </w:p>
        </w:tc>
        <w:tc>
          <w:tcPr>
            <w:tcW w:w="1860" w:type="dxa"/>
            <w:vAlign w:val="bottom"/>
            <w:tcBorders>
              <w:bottom w:val="single" w:sz="8" w:color="CCEEFF"/>
            </w:tcBorders>
            <w:shd w:val="clear" w:color="auto" w:fill="CCEEFF"/>
          </w:tcPr>
          <w:p>
            <w:pPr>
              <w:jc w:val="right"/>
              <w:ind w:right="659"/>
              <w:spacing w:after="0"/>
              <w:rPr>
                <w:sz w:val="20"/>
                <w:szCs w:val="20"/>
                <w:color w:val="auto"/>
              </w:rPr>
            </w:pPr>
            <w:r>
              <w:rPr>
                <w:rFonts w:ascii="Arial" w:cs="Arial" w:eastAsia="Arial" w:hAnsi="Arial"/>
                <w:sz w:val="16"/>
                <w:szCs w:val="16"/>
                <w:color w:val="auto"/>
              </w:rPr>
              <w:t>15</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w:t>
            </w:r>
          </w:p>
        </w:tc>
      </w:tr>
      <w:tr>
        <w:trPr>
          <w:trHeight w:val="237"/>
        </w:trPr>
        <w:tc>
          <w:tcPr>
            <w:tcW w:w="6280" w:type="dxa"/>
            <w:vAlign w:val="bottom"/>
          </w:tcPr>
          <w:p>
            <w:pPr>
              <w:ind w:left="280"/>
              <w:spacing w:after="0"/>
              <w:rPr>
                <w:sz w:val="20"/>
                <w:szCs w:val="20"/>
                <w:color w:val="auto"/>
              </w:rPr>
            </w:pPr>
            <w:r>
              <w:rPr>
                <w:rFonts w:ascii="Arial" w:cs="Arial" w:eastAsia="Arial" w:hAnsi="Arial"/>
                <w:sz w:val="16"/>
                <w:szCs w:val="16"/>
                <w:color w:val="auto"/>
              </w:rPr>
              <w:t>Excess tax benefit from stock-based compensation</w:t>
            </w:r>
          </w:p>
        </w:tc>
        <w:tc>
          <w:tcPr>
            <w:tcW w:w="2120" w:type="dxa"/>
            <w:vAlign w:val="bottom"/>
          </w:tcPr>
          <w:p>
            <w:pPr>
              <w:jc w:val="right"/>
              <w:ind w:right="599"/>
              <w:spacing w:after="0"/>
              <w:rPr>
                <w:sz w:val="20"/>
                <w:szCs w:val="20"/>
                <w:color w:val="auto"/>
              </w:rPr>
            </w:pPr>
            <w:r>
              <w:rPr>
                <w:rFonts w:ascii="Arial" w:cs="Arial" w:eastAsia="Arial" w:hAnsi="Arial"/>
                <w:sz w:val="16"/>
                <w:szCs w:val="16"/>
                <w:b w:val="1"/>
                <w:bCs w:val="1"/>
                <w:color w:val="auto"/>
              </w:rPr>
              <w:t>(5)</w:t>
            </w:r>
          </w:p>
        </w:tc>
        <w:tc>
          <w:tcPr>
            <w:tcW w:w="1860" w:type="dxa"/>
            <w:vAlign w:val="bottom"/>
          </w:tcPr>
          <w:p>
            <w:pPr>
              <w:jc w:val="right"/>
              <w:ind w:right="619"/>
              <w:spacing w:after="0"/>
              <w:rPr>
                <w:sz w:val="20"/>
                <w:szCs w:val="20"/>
                <w:color w:val="auto"/>
              </w:rPr>
            </w:pPr>
            <w:r>
              <w:rPr>
                <w:rFonts w:ascii="Arial" w:cs="Arial" w:eastAsia="Arial" w:hAnsi="Arial"/>
                <w:sz w:val="16"/>
                <w:szCs w:val="16"/>
                <w:color w:val="auto"/>
              </w:rPr>
              <w:t>(15)</w:t>
            </w:r>
          </w:p>
        </w:tc>
        <w:tc>
          <w:tcPr>
            <w:tcW w:w="116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33"/>
        </w:trPr>
        <w:tc>
          <w:tcPr>
            <w:tcW w:w="62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Bad debt expense</w:t>
            </w:r>
          </w:p>
        </w:tc>
        <w:tc>
          <w:tcPr>
            <w:tcW w:w="2120" w:type="dxa"/>
            <w:vAlign w:val="bottom"/>
            <w:tcBorders>
              <w:bottom w:val="single" w:sz="8" w:color="CCEEFF"/>
            </w:tcBorders>
            <w:shd w:val="clear" w:color="auto" w:fill="CCEEFF"/>
          </w:tcPr>
          <w:p>
            <w:pPr>
              <w:jc w:val="right"/>
              <w:ind w:right="659"/>
              <w:spacing w:after="0"/>
              <w:rPr>
                <w:sz w:val="20"/>
                <w:szCs w:val="20"/>
                <w:color w:val="auto"/>
              </w:rPr>
            </w:pPr>
            <w:r>
              <w:rPr>
                <w:rFonts w:ascii="Arial" w:cs="Arial" w:eastAsia="Arial" w:hAnsi="Arial"/>
                <w:sz w:val="16"/>
                <w:szCs w:val="16"/>
                <w:b w:val="1"/>
                <w:bCs w:val="1"/>
                <w:color w:val="auto"/>
              </w:rPr>
              <w:t>—</w:t>
            </w:r>
          </w:p>
        </w:tc>
        <w:tc>
          <w:tcPr>
            <w:tcW w:w="1860" w:type="dxa"/>
            <w:vAlign w:val="bottom"/>
            <w:tcBorders>
              <w:bottom w:val="single" w:sz="8" w:color="CCEEFF"/>
            </w:tcBorders>
            <w:shd w:val="clear" w:color="auto" w:fill="CCEEFF"/>
          </w:tcPr>
          <w:p>
            <w:pPr>
              <w:jc w:val="right"/>
              <w:ind w:right="659"/>
              <w:spacing w:after="0"/>
              <w:rPr>
                <w:sz w:val="20"/>
                <w:szCs w:val="20"/>
                <w:color w:val="auto"/>
              </w:rPr>
            </w:pPr>
            <w:r>
              <w:rPr>
                <w:rFonts w:ascii="Arial" w:cs="Arial" w:eastAsia="Arial" w:hAnsi="Arial"/>
                <w:sz w:val="16"/>
                <w:szCs w:val="16"/>
                <w:color w:val="auto"/>
              </w:rPr>
              <w:t>26</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w:t>
            </w:r>
          </w:p>
        </w:tc>
      </w:tr>
      <w:tr>
        <w:trPr>
          <w:trHeight w:val="237"/>
        </w:trPr>
        <w:tc>
          <w:tcPr>
            <w:tcW w:w="6280" w:type="dxa"/>
            <w:vAlign w:val="bottom"/>
          </w:tcPr>
          <w:p>
            <w:pPr>
              <w:ind w:left="280"/>
              <w:spacing w:after="0"/>
              <w:rPr>
                <w:sz w:val="20"/>
                <w:szCs w:val="20"/>
                <w:color w:val="auto"/>
              </w:rPr>
            </w:pPr>
            <w:r>
              <w:rPr>
                <w:rFonts w:ascii="Arial" w:cs="Arial" w:eastAsia="Arial" w:hAnsi="Arial"/>
                <w:sz w:val="16"/>
                <w:szCs w:val="16"/>
                <w:color w:val="auto"/>
              </w:rPr>
              <w:t>Change in operating assets and liabilities:</w:t>
            </w:r>
          </w:p>
        </w:tc>
        <w:tc>
          <w:tcPr>
            <w:tcW w:w="21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33"/>
        </w:trPr>
        <w:tc>
          <w:tcPr>
            <w:tcW w:w="62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Accounts receivable</w:t>
            </w:r>
          </w:p>
        </w:tc>
        <w:tc>
          <w:tcPr>
            <w:tcW w:w="2120" w:type="dxa"/>
            <w:vAlign w:val="bottom"/>
            <w:tcBorders>
              <w:bottom w:val="single" w:sz="8" w:color="CCEEFF"/>
            </w:tcBorders>
            <w:shd w:val="clear" w:color="auto" w:fill="CCEEFF"/>
          </w:tcPr>
          <w:p>
            <w:pPr>
              <w:jc w:val="right"/>
              <w:ind w:right="599"/>
              <w:spacing w:after="0"/>
              <w:rPr>
                <w:sz w:val="20"/>
                <w:szCs w:val="20"/>
                <w:color w:val="auto"/>
              </w:rPr>
            </w:pPr>
            <w:r>
              <w:rPr>
                <w:rFonts w:ascii="Arial" w:cs="Arial" w:eastAsia="Arial" w:hAnsi="Arial"/>
                <w:sz w:val="16"/>
                <w:szCs w:val="16"/>
                <w:b w:val="1"/>
                <w:bCs w:val="1"/>
                <w:color w:val="auto"/>
              </w:rPr>
              <w:t>(3)</w:t>
            </w:r>
          </w:p>
        </w:tc>
        <w:tc>
          <w:tcPr>
            <w:tcW w:w="1860" w:type="dxa"/>
            <w:vAlign w:val="bottom"/>
            <w:tcBorders>
              <w:bottom w:val="single" w:sz="8" w:color="CCEEFF"/>
            </w:tcBorders>
            <w:shd w:val="clear" w:color="auto" w:fill="CCEEFF"/>
          </w:tcPr>
          <w:p>
            <w:pPr>
              <w:jc w:val="right"/>
              <w:ind w:right="619"/>
              <w:spacing w:after="0"/>
              <w:rPr>
                <w:sz w:val="20"/>
                <w:szCs w:val="20"/>
                <w:color w:val="auto"/>
              </w:rPr>
            </w:pPr>
            <w:r>
              <w:rPr>
                <w:rFonts w:ascii="Arial" w:cs="Arial" w:eastAsia="Arial" w:hAnsi="Arial"/>
                <w:sz w:val="16"/>
                <w:szCs w:val="16"/>
                <w:color w:val="auto"/>
              </w:rPr>
              <w:t>(56)</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(161)</w:t>
            </w:r>
          </w:p>
        </w:tc>
      </w:tr>
      <w:tr>
        <w:trPr>
          <w:trHeight w:val="237"/>
        </w:trPr>
        <w:tc>
          <w:tcPr>
            <w:tcW w:w="6280" w:type="dxa"/>
            <w:vAlign w:val="bottom"/>
          </w:tcPr>
          <w:p>
            <w:pPr>
              <w:ind w:left="500"/>
              <w:spacing w:after="0"/>
              <w:rPr>
                <w:sz w:val="20"/>
                <w:szCs w:val="20"/>
                <w:color w:val="auto"/>
              </w:rPr>
            </w:pPr>
            <w:r>
              <w:rPr>
                <w:rFonts w:ascii="Arial" w:cs="Arial" w:eastAsia="Arial" w:hAnsi="Arial"/>
                <w:sz w:val="16"/>
                <w:szCs w:val="16"/>
                <w:color w:val="auto"/>
              </w:rPr>
              <w:t>Proceeds from sale of credit card receivables originated at Nordstrom</w:t>
            </w:r>
          </w:p>
        </w:tc>
        <w:tc>
          <w:tcPr>
            <w:tcW w:w="2120" w:type="dxa"/>
            <w:vAlign w:val="bottom"/>
          </w:tcPr>
          <w:p>
            <w:pPr>
              <w:jc w:val="right"/>
              <w:ind w:right="659"/>
              <w:spacing w:after="0"/>
              <w:rPr>
                <w:sz w:val="20"/>
                <w:szCs w:val="20"/>
                <w:color w:val="auto"/>
              </w:rPr>
            </w:pPr>
            <w:r>
              <w:rPr>
                <w:rFonts w:ascii="Arial" w:cs="Arial" w:eastAsia="Arial" w:hAnsi="Arial"/>
                <w:sz w:val="16"/>
                <w:szCs w:val="16"/>
                <w:b w:val="1"/>
                <w:bCs w:val="1"/>
                <w:color w:val="auto"/>
              </w:rPr>
              <w:t>—</w:t>
            </w:r>
          </w:p>
        </w:tc>
        <w:tc>
          <w:tcPr>
            <w:tcW w:w="1860" w:type="dxa"/>
            <w:vAlign w:val="bottom"/>
          </w:tcPr>
          <w:p>
            <w:pPr>
              <w:jc w:val="right"/>
              <w:ind w:right="659"/>
              <w:spacing w:after="0"/>
              <w:rPr>
                <w:sz w:val="20"/>
                <w:szCs w:val="20"/>
                <w:color w:val="auto"/>
              </w:rPr>
            </w:pPr>
            <w:r>
              <w:rPr>
                <w:rFonts w:ascii="Arial" w:cs="Arial" w:eastAsia="Arial" w:hAnsi="Arial"/>
                <w:sz w:val="16"/>
                <w:szCs w:val="16"/>
                <w:color w:val="auto"/>
              </w:rPr>
              <w:t>1,297</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62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Merchandise inventories</w:t>
            </w:r>
          </w:p>
        </w:tc>
        <w:tc>
          <w:tcPr>
            <w:tcW w:w="2120" w:type="dxa"/>
            <w:vAlign w:val="bottom"/>
            <w:tcBorders>
              <w:bottom w:val="single" w:sz="8" w:color="CCEEFF"/>
            </w:tcBorders>
            <w:shd w:val="clear" w:color="auto" w:fill="CCEEFF"/>
          </w:tcPr>
          <w:p>
            <w:pPr>
              <w:jc w:val="right"/>
              <w:ind w:right="659"/>
              <w:spacing w:after="0"/>
              <w:rPr>
                <w:sz w:val="20"/>
                <w:szCs w:val="20"/>
                <w:color w:val="auto"/>
              </w:rPr>
            </w:pPr>
            <w:r>
              <w:rPr>
                <w:rFonts w:ascii="Arial" w:cs="Arial" w:eastAsia="Arial" w:hAnsi="Arial"/>
                <w:sz w:val="16"/>
                <w:szCs w:val="16"/>
                <w:b w:val="1"/>
                <w:bCs w:val="1"/>
                <w:color w:val="auto"/>
              </w:rPr>
              <w:t>31</w:t>
            </w:r>
          </w:p>
        </w:tc>
        <w:tc>
          <w:tcPr>
            <w:tcW w:w="1860" w:type="dxa"/>
            <w:vAlign w:val="bottom"/>
            <w:tcBorders>
              <w:bottom w:val="single" w:sz="8" w:color="CCEEFF"/>
            </w:tcBorders>
            <w:shd w:val="clear" w:color="auto" w:fill="CCEEFF"/>
          </w:tcPr>
          <w:p>
            <w:pPr>
              <w:jc w:val="right"/>
              <w:ind w:right="619"/>
              <w:spacing w:after="0"/>
              <w:rPr>
                <w:sz w:val="20"/>
                <w:szCs w:val="20"/>
                <w:color w:val="auto"/>
              </w:rPr>
            </w:pPr>
            <w:r>
              <w:rPr>
                <w:rFonts w:ascii="Arial" w:cs="Arial" w:eastAsia="Arial" w:hAnsi="Arial"/>
                <w:sz w:val="16"/>
                <w:szCs w:val="16"/>
                <w:color w:val="auto"/>
              </w:rPr>
              <w:t>(203)</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(176)</w:t>
            </w:r>
          </w:p>
        </w:tc>
      </w:tr>
      <w:tr>
        <w:trPr>
          <w:trHeight w:val="237"/>
        </w:trPr>
        <w:tc>
          <w:tcPr>
            <w:tcW w:w="6280" w:type="dxa"/>
            <w:vAlign w:val="bottom"/>
          </w:tcPr>
          <w:p>
            <w:pPr>
              <w:ind w:left="500"/>
              <w:spacing w:after="0"/>
              <w:rPr>
                <w:sz w:val="20"/>
                <w:szCs w:val="20"/>
                <w:color w:val="auto"/>
              </w:rPr>
            </w:pPr>
            <w:r>
              <w:rPr>
                <w:rFonts w:ascii="Arial" w:cs="Arial" w:eastAsia="Arial" w:hAnsi="Arial"/>
                <w:sz w:val="16"/>
                <w:szCs w:val="16"/>
                <w:color w:val="auto"/>
              </w:rPr>
              <w:t>Prepaid expenses and other assets</w:t>
            </w:r>
          </w:p>
        </w:tc>
        <w:tc>
          <w:tcPr>
            <w:tcW w:w="2120" w:type="dxa"/>
            <w:vAlign w:val="bottom"/>
          </w:tcPr>
          <w:p>
            <w:pPr>
              <w:jc w:val="right"/>
              <w:ind w:right="659"/>
              <w:spacing w:after="0"/>
              <w:rPr>
                <w:sz w:val="20"/>
                <w:szCs w:val="20"/>
                <w:color w:val="auto"/>
              </w:rPr>
            </w:pPr>
            <w:r>
              <w:rPr>
                <w:rFonts w:ascii="Arial" w:cs="Arial" w:eastAsia="Arial" w:hAnsi="Arial"/>
                <w:sz w:val="16"/>
                <w:szCs w:val="16"/>
                <w:b w:val="1"/>
                <w:bCs w:val="1"/>
                <w:color w:val="auto"/>
              </w:rPr>
              <w:t>100</w:t>
            </w:r>
          </w:p>
        </w:tc>
        <w:tc>
          <w:tcPr>
            <w:tcW w:w="1860" w:type="dxa"/>
            <w:vAlign w:val="bottom"/>
          </w:tcPr>
          <w:p>
            <w:pPr>
              <w:jc w:val="right"/>
              <w:ind w:right="619"/>
              <w:spacing w:after="0"/>
              <w:rPr>
                <w:sz w:val="20"/>
                <w:szCs w:val="20"/>
                <w:color w:val="auto"/>
              </w:rPr>
            </w:pPr>
            <w:r>
              <w:rPr>
                <w:rFonts w:ascii="Arial" w:cs="Arial" w:eastAsia="Arial" w:hAnsi="Arial"/>
                <w:sz w:val="16"/>
                <w:szCs w:val="16"/>
                <w:color w:val="auto"/>
              </w:rPr>
              <w:t>(126)</w:t>
            </w:r>
          </w:p>
        </w:tc>
        <w:tc>
          <w:tcPr>
            <w:tcW w:w="116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33"/>
        </w:trPr>
        <w:tc>
          <w:tcPr>
            <w:tcW w:w="62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Accounts payable</w:t>
            </w:r>
          </w:p>
        </w:tc>
        <w:tc>
          <w:tcPr>
            <w:tcW w:w="2120" w:type="dxa"/>
            <w:vAlign w:val="bottom"/>
            <w:tcBorders>
              <w:bottom w:val="single" w:sz="8" w:color="CCEEFF"/>
            </w:tcBorders>
            <w:shd w:val="clear" w:color="auto" w:fill="CCEEFF"/>
          </w:tcPr>
          <w:p>
            <w:pPr>
              <w:jc w:val="right"/>
              <w:ind w:right="659"/>
              <w:spacing w:after="0"/>
              <w:rPr>
                <w:sz w:val="20"/>
                <w:szCs w:val="20"/>
                <w:color w:val="auto"/>
              </w:rPr>
            </w:pPr>
            <w:r>
              <w:rPr>
                <w:rFonts w:ascii="Arial" w:cs="Arial" w:eastAsia="Arial" w:hAnsi="Arial"/>
                <w:sz w:val="16"/>
                <w:szCs w:val="16"/>
                <w:b w:val="1"/>
                <w:bCs w:val="1"/>
                <w:color w:val="auto"/>
              </w:rPr>
              <w:t>16</w:t>
            </w:r>
          </w:p>
        </w:tc>
        <w:tc>
          <w:tcPr>
            <w:tcW w:w="1860" w:type="dxa"/>
            <w:vAlign w:val="bottom"/>
            <w:tcBorders>
              <w:bottom w:val="single" w:sz="8" w:color="CCEEFF"/>
            </w:tcBorders>
            <w:shd w:val="clear" w:color="auto" w:fill="CCEEFF"/>
          </w:tcPr>
          <w:p>
            <w:pPr>
              <w:jc w:val="right"/>
              <w:ind w:right="619"/>
              <w:spacing w:after="0"/>
              <w:rPr>
                <w:sz w:val="20"/>
                <w:szCs w:val="20"/>
                <w:color w:val="auto"/>
              </w:rPr>
            </w:pPr>
            <w:r>
              <w:rPr>
                <w:rFonts w:ascii="Arial" w:cs="Arial" w:eastAsia="Arial" w:hAnsi="Arial"/>
                <w:sz w:val="16"/>
                <w:szCs w:val="16"/>
                <w:color w:val="auto"/>
              </w:rPr>
              <w:t>(2)</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w:t>
            </w:r>
          </w:p>
        </w:tc>
      </w:tr>
      <w:tr>
        <w:trPr>
          <w:trHeight w:val="237"/>
        </w:trPr>
        <w:tc>
          <w:tcPr>
            <w:tcW w:w="6280" w:type="dxa"/>
            <w:vAlign w:val="bottom"/>
          </w:tcPr>
          <w:p>
            <w:pPr>
              <w:ind w:left="500"/>
              <w:spacing w:after="0"/>
              <w:rPr>
                <w:sz w:val="20"/>
                <w:szCs w:val="20"/>
                <w:color w:val="auto"/>
              </w:rPr>
            </w:pPr>
            <w:r>
              <w:rPr>
                <w:rFonts w:ascii="Arial" w:cs="Arial" w:eastAsia="Arial" w:hAnsi="Arial"/>
                <w:sz w:val="16"/>
                <w:szCs w:val="16"/>
                <w:color w:val="auto"/>
              </w:rPr>
              <w:t>Accrued salaries, wages and related benefits</w:t>
            </w:r>
          </w:p>
        </w:tc>
        <w:tc>
          <w:tcPr>
            <w:tcW w:w="2120" w:type="dxa"/>
            <w:vAlign w:val="bottom"/>
          </w:tcPr>
          <w:p>
            <w:pPr>
              <w:jc w:val="right"/>
              <w:ind w:right="659"/>
              <w:spacing w:after="0"/>
              <w:rPr>
                <w:sz w:val="20"/>
                <w:szCs w:val="20"/>
                <w:color w:val="auto"/>
              </w:rPr>
            </w:pPr>
            <w:r>
              <w:rPr>
                <w:rFonts w:ascii="Arial" w:cs="Arial" w:eastAsia="Arial" w:hAnsi="Arial"/>
                <w:sz w:val="16"/>
                <w:szCs w:val="16"/>
                <w:b w:val="1"/>
                <w:bCs w:val="1"/>
                <w:color w:val="auto"/>
              </w:rPr>
              <w:t>33</w:t>
            </w:r>
          </w:p>
        </w:tc>
        <w:tc>
          <w:tcPr>
            <w:tcW w:w="1860" w:type="dxa"/>
            <w:vAlign w:val="bottom"/>
          </w:tcPr>
          <w:p>
            <w:pPr>
              <w:jc w:val="right"/>
              <w:ind w:right="619"/>
              <w:spacing w:after="0"/>
              <w:rPr>
                <w:sz w:val="20"/>
                <w:szCs w:val="20"/>
                <w:color w:val="auto"/>
              </w:rPr>
            </w:pPr>
            <w:r>
              <w:rPr>
                <w:rFonts w:ascii="Arial" w:cs="Arial" w:eastAsia="Arial" w:hAnsi="Arial"/>
                <w:sz w:val="16"/>
                <w:szCs w:val="16"/>
                <w:color w:val="auto"/>
              </w:rPr>
              <w:t>(2)</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18</w:t>
            </w:r>
          </w:p>
        </w:tc>
      </w:tr>
      <w:tr>
        <w:trPr>
          <w:trHeight w:val="33"/>
        </w:trPr>
        <w:tc>
          <w:tcPr>
            <w:tcW w:w="62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Other current liabilities</w:t>
            </w:r>
          </w:p>
        </w:tc>
        <w:tc>
          <w:tcPr>
            <w:tcW w:w="2120" w:type="dxa"/>
            <w:vAlign w:val="bottom"/>
            <w:tcBorders>
              <w:bottom w:val="single" w:sz="8" w:color="CCEEFF"/>
            </w:tcBorders>
            <w:shd w:val="clear" w:color="auto" w:fill="CCEEFF"/>
          </w:tcPr>
          <w:p>
            <w:pPr>
              <w:jc w:val="right"/>
              <w:ind w:right="659"/>
              <w:spacing w:after="0"/>
              <w:rPr>
                <w:sz w:val="20"/>
                <w:szCs w:val="20"/>
                <w:color w:val="auto"/>
              </w:rPr>
            </w:pPr>
            <w:r>
              <w:rPr>
                <w:rFonts w:ascii="Arial" w:cs="Arial" w:eastAsia="Arial" w:hAnsi="Arial"/>
                <w:sz w:val="16"/>
                <w:szCs w:val="16"/>
                <w:b w:val="1"/>
                <w:bCs w:val="1"/>
                <w:color w:val="auto"/>
              </w:rPr>
              <w:t>181</w:t>
            </w:r>
          </w:p>
        </w:tc>
        <w:tc>
          <w:tcPr>
            <w:tcW w:w="1860" w:type="dxa"/>
            <w:vAlign w:val="bottom"/>
            <w:tcBorders>
              <w:bottom w:val="single" w:sz="8" w:color="CCEEFF"/>
            </w:tcBorders>
            <w:shd w:val="clear" w:color="auto" w:fill="CCEEFF"/>
          </w:tcPr>
          <w:p>
            <w:pPr>
              <w:jc w:val="right"/>
              <w:ind w:right="659"/>
              <w:spacing w:after="0"/>
              <w:rPr>
                <w:sz w:val="20"/>
                <w:szCs w:val="20"/>
                <w:color w:val="auto"/>
              </w:rPr>
            </w:pPr>
            <w:r>
              <w:rPr>
                <w:rFonts w:ascii="Arial" w:cs="Arial" w:eastAsia="Arial" w:hAnsi="Arial"/>
                <w:sz w:val="16"/>
                <w:szCs w:val="16"/>
                <w:color w:val="auto"/>
              </w:rPr>
              <w:t>50</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155</w:t>
            </w:r>
          </w:p>
        </w:tc>
      </w:tr>
      <w:tr>
        <w:trPr>
          <w:trHeight w:val="237"/>
        </w:trPr>
        <w:tc>
          <w:tcPr>
            <w:tcW w:w="6280" w:type="dxa"/>
            <w:vAlign w:val="bottom"/>
          </w:tcPr>
          <w:p>
            <w:pPr>
              <w:ind w:left="500"/>
              <w:spacing w:after="0"/>
              <w:rPr>
                <w:sz w:val="20"/>
                <w:szCs w:val="20"/>
                <w:color w:val="auto"/>
              </w:rPr>
            </w:pPr>
            <w:r>
              <w:rPr>
                <w:rFonts w:ascii="Arial" w:cs="Arial" w:eastAsia="Arial" w:hAnsi="Arial"/>
                <w:sz w:val="16"/>
                <w:szCs w:val="16"/>
                <w:color w:val="auto"/>
              </w:rPr>
              <w:t>Deferred property incentives</w:t>
            </w:r>
          </w:p>
        </w:tc>
        <w:tc>
          <w:tcPr>
            <w:tcW w:w="2120" w:type="dxa"/>
            <w:vAlign w:val="bottom"/>
          </w:tcPr>
          <w:p>
            <w:pPr>
              <w:jc w:val="right"/>
              <w:ind w:right="659"/>
              <w:spacing w:after="0"/>
              <w:rPr>
                <w:sz w:val="20"/>
                <w:szCs w:val="20"/>
                <w:color w:val="auto"/>
              </w:rPr>
            </w:pPr>
            <w:r>
              <w:rPr>
                <w:rFonts w:ascii="Arial" w:cs="Arial" w:eastAsia="Arial" w:hAnsi="Arial"/>
                <w:sz w:val="16"/>
                <w:szCs w:val="16"/>
                <w:b w:val="1"/>
                <w:bCs w:val="1"/>
                <w:color w:val="auto"/>
              </w:rPr>
              <w:t>65</w:t>
            </w:r>
          </w:p>
        </w:tc>
        <w:tc>
          <w:tcPr>
            <w:tcW w:w="1860" w:type="dxa"/>
            <w:vAlign w:val="bottom"/>
          </w:tcPr>
          <w:p>
            <w:pPr>
              <w:jc w:val="right"/>
              <w:ind w:right="659"/>
              <w:spacing w:after="0"/>
              <w:rPr>
                <w:sz w:val="20"/>
                <w:szCs w:val="20"/>
                <w:color w:val="auto"/>
              </w:rPr>
            </w:pPr>
            <w:r>
              <w:rPr>
                <w:rFonts w:ascii="Arial" w:cs="Arial" w:eastAsia="Arial" w:hAnsi="Arial"/>
                <w:sz w:val="16"/>
                <w:szCs w:val="16"/>
                <w:color w:val="auto"/>
              </w:rPr>
              <w:t>156</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110</w:t>
            </w:r>
          </w:p>
        </w:tc>
      </w:tr>
      <w:tr>
        <w:trPr>
          <w:trHeight w:val="33"/>
        </w:trPr>
        <w:tc>
          <w:tcPr>
            <w:tcW w:w="62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5"/>
        </w:trPr>
        <w:tc>
          <w:tcPr>
            <w:tcW w:w="62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Other liabilities</w:t>
            </w:r>
          </w:p>
        </w:tc>
        <w:tc>
          <w:tcPr>
            <w:tcW w:w="2120" w:type="dxa"/>
            <w:vAlign w:val="bottom"/>
            <w:tcBorders>
              <w:bottom w:val="single" w:sz="8" w:color="CCEEFF"/>
            </w:tcBorders>
            <w:shd w:val="clear" w:color="auto" w:fill="CCEEFF"/>
          </w:tcPr>
          <w:p>
            <w:pPr>
              <w:jc w:val="right"/>
              <w:ind w:right="659"/>
              <w:spacing w:after="0"/>
              <w:rPr>
                <w:sz w:val="20"/>
                <w:szCs w:val="20"/>
                <w:color w:val="auto"/>
              </w:rPr>
            </w:pPr>
            <w:r>
              <w:rPr>
                <w:rFonts w:ascii="Arial" w:cs="Arial" w:eastAsia="Arial" w:hAnsi="Arial"/>
                <w:sz w:val="16"/>
                <w:szCs w:val="16"/>
                <w:b w:val="1"/>
                <w:bCs w:val="1"/>
                <w:color w:val="auto"/>
              </w:rPr>
              <w:t>34</w:t>
            </w:r>
          </w:p>
        </w:tc>
        <w:tc>
          <w:tcPr>
            <w:tcW w:w="1860" w:type="dxa"/>
            <w:vAlign w:val="bottom"/>
            <w:tcBorders>
              <w:bottom w:val="single" w:sz="8" w:color="CCEEFF"/>
            </w:tcBorders>
            <w:shd w:val="clear" w:color="auto" w:fill="CCEEFF"/>
          </w:tcPr>
          <w:p>
            <w:pPr>
              <w:jc w:val="right"/>
              <w:ind w:right="659"/>
              <w:spacing w:after="0"/>
              <w:rPr>
                <w:sz w:val="20"/>
                <w:szCs w:val="20"/>
                <w:color w:val="auto"/>
              </w:rPr>
            </w:pPr>
            <w:r>
              <w:rPr>
                <w:rFonts w:ascii="Arial" w:cs="Arial" w:eastAsia="Arial" w:hAnsi="Arial"/>
                <w:sz w:val="16"/>
                <w:szCs w:val="16"/>
                <w:color w:val="auto"/>
              </w:rPr>
              <w:t>2</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r>
      <w:tr>
        <w:trPr>
          <w:trHeight w:val="231"/>
        </w:trPr>
        <w:tc>
          <w:tcPr>
            <w:tcW w:w="628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Net cash provided by operating activities</w:t>
            </w:r>
          </w:p>
        </w:tc>
        <w:tc>
          <w:tcPr>
            <w:tcW w:w="2120" w:type="dxa"/>
            <w:vAlign w:val="bottom"/>
            <w:tcBorders>
              <w:top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1,648</w:t>
            </w:r>
          </w:p>
        </w:tc>
        <w:tc>
          <w:tcPr>
            <w:tcW w:w="1860" w:type="dxa"/>
            <w:vAlign w:val="bottom"/>
            <w:tcBorders>
              <w:top w:val="single" w:sz="8" w:color="auto"/>
            </w:tcBorders>
          </w:tcPr>
          <w:p>
            <w:pPr>
              <w:jc w:val="right"/>
              <w:ind w:right="659"/>
              <w:spacing w:after="0"/>
              <w:rPr>
                <w:sz w:val="20"/>
                <w:szCs w:val="20"/>
                <w:color w:val="auto"/>
              </w:rPr>
            </w:pPr>
            <w:r>
              <w:rPr>
                <w:rFonts w:ascii="Arial" w:cs="Arial" w:eastAsia="Arial" w:hAnsi="Arial"/>
                <w:sz w:val="16"/>
                <w:szCs w:val="16"/>
                <w:color w:val="auto"/>
              </w:rPr>
              <w:t>2,451</w:t>
            </w: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1,220</w:t>
            </w:r>
          </w:p>
        </w:tc>
      </w:tr>
      <w:tr>
        <w:trPr>
          <w:trHeight w:val="33"/>
        </w:trPr>
        <w:tc>
          <w:tcPr>
            <w:tcW w:w="628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83"/>
        </w:trPr>
        <w:tc>
          <w:tcPr>
            <w:tcW w:w="6280" w:type="dxa"/>
            <w:vAlign w:val="bottom"/>
            <w:shd w:val="clear" w:color="auto" w:fill="CCEEFF"/>
          </w:tcPr>
          <w:p>
            <w:pPr>
              <w:spacing w:after="0"/>
              <w:rPr>
                <w:sz w:val="15"/>
                <w:szCs w:val="15"/>
                <w:color w:val="auto"/>
              </w:rPr>
            </w:pPr>
          </w:p>
        </w:tc>
        <w:tc>
          <w:tcPr>
            <w:tcW w:w="2120" w:type="dxa"/>
            <w:vAlign w:val="bottom"/>
            <w:shd w:val="clear" w:color="auto" w:fill="CCEEFF"/>
          </w:tcPr>
          <w:p>
            <w:pPr>
              <w:spacing w:after="0"/>
              <w:rPr>
                <w:sz w:val="15"/>
                <w:szCs w:val="15"/>
                <w:color w:val="auto"/>
              </w:rPr>
            </w:pPr>
          </w:p>
        </w:tc>
        <w:tc>
          <w:tcPr>
            <w:tcW w:w="18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237"/>
        </w:trPr>
        <w:tc>
          <w:tcPr>
            <w:tcW w:w="6280" w:type="dxa"/>
            <w:vAlign w:val="bottom"/>
          </w:tcPr>
          <w:p>
            <w:pPr>
              <w:ind w:left="40"/>
              <w:spacing w:after="0"/>
              <w:rPr>
                <w:sz w:val="20"/>
                <w:szCs w:val="20"/>
                <w:color w:val="auto"/>
              </w:rPr>
            </w:pPr>
            <w:r>
              <w:rPr>
                <w:rFonts w:ascii="Arial" w:cs="Arial" w:eastAsia="Arial" w:hAnsi="Arial"/>
                <w:sz w:val="16"/>
                <w:szCs w:val="16"/>
                <w:b w:val="1"/>
                <w:bCs w:val="1"/>
                <w:color w:val="auto"/>
              </w:rPr>
              <w:t>Investing Activities</w:t>
            </w:r>
          </w:p>
        </w:tc>
        <w:tc>
          <w:tcPr>
            <w:tcW w:w="21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33"/>
        </w:trPr>
        <w:tc>
          <w:tcPr>
            <w:tcW w:w="62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Capital expenditures</w:t>
            </w:r>
          </w:p>
        </w:tc>
        <w:tc>
          <w:tcPr>
            <w:tcW w:w="2120" w:type="dxa"/>
            <w:vAlign w:val="bottom"/>
            <w:tcBorders>
              <w:bottom w:val="single" w:sz="8" w:color="CCEEFF"/>
            </w:tcBorders>
            <w:shd w:val="clear" w:color="auto" w:fill="CCEEFF"/>
          </w:tcPr>
          <w:p>
            <w:pPr>
              <w:jc w:val="right"/>
              <w:ind w:right="599"/>
              <w:spacing w:after="0"/>
              <w:rPr>
                <w:sz w:val="20"/>
                <w:szCs w:val="20"/>
                <w:color w:val="auto"/>
              </w:rPr>
            </w:pPr>
            <w:r>
              <w:rPr>
                <w:rFonts w:ascii="Arial" w:cs="Arial" w:eastAsia="Arial" w:hAnsi="Arial"/>
                <w:sz w:val="16"/>
                <w:szCs w:val="16"/>
                <w:b w:val="1"/>
                <w:bCs w:val="1"/>
                <w:color w:val="auto"/>
              </w:rPr>
              <w:t>(846)</w:t>
            </w:r>
          </w:p>
        </w:tc>
        <w:tc>
          <w:tcPr>
            <w:tcW w:w="1860" w:type="dxa"/>
            <w:vAlign w:val="bottom"/>
            <w:tcBorders>
              <w:bottom w:val="single" w:sz="8" w:color="CCEEFF"/>
            </w:tcBorders>
            <w:shd w:val="clear" w:color="auto" w:fill="CCEEFF"/>
          </w:tcPr>
          <w:p>
            <w:pPr>
              <w:jc w:val="right"/>
              <w:ind w:right="619"/>
              <w:spacing w:after="0"/>
              <w:rPr>
                <w:sz w:val="20"/>
                <w:szCs w:val="20"/>
                <w:color w:val="auto"/>
              </w:rPr>
            </w:pPr>
            <w:r>
              <w:rPr>
                <w:rFonts w:ascii="Arial" w:cs="Arial" w:eastAsia="Arial" w:hAnsi="Arial"/>
                <w:sz w:val="16"/>
                <w:szCs w:val="16"/>
                <w:color w:val="auto"/>
              </w:rPr>
              <w:t>(1,082)</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(861)</w:t>
            </w:r>
          </w:p>
        </w:tc>
      </w:tr>
      <w:tr>
        <w:trPr>
          <w:trHeight w:val="237"/>
        </w:trPr>
        <w:tc>
          <w:tcPr>
            <w:tcW w:w="6280" w:type="dxa"/>
            <w:vAlign w:val="bottom"/>
          </w:tcPr>
          <w:p>
            <w:pPr>
              <w:ind w:left="280"/>
              <w:spacing w:after="0"/>
              <w:rPr>
                <w:sz w:val="20"/>
                <w:szCs w:val="20"/>
                <w:color w:val="auto"/>
              </w:rPr>
            </w:pPr>
            <w:r>
              <w:rPr>
                <w:rFonts w:ascii="Arial" w:cs="Arial" w:eastAsia="Arial" w:hAnsi="Arial"/>
                <w:sz w:val="16"/>
                <w:szCs w:val="16"/>
                <w:color w:val="auto"/>
              </w:rPr>
              <w:t>Change in credit card receivables originated at third parties</w:t>
            </w:r>
          </w:p>
        </w:tc>
        <w:tc>
          <w:tcPr>
            <w:tcW w:w="2120" w:type="dxa"/>
            <w:vAlign w:val="bottom"/>
          </w:tcPr>
          <w:p>
            <w:pPr>
              <w:jc w:val="right"/>
              <w:ind w:right="659"/>
              <w:spacing w:after="0"/>
              <w:rPr>
                <w:sz w:val="20"/>
                <w:szCs w:val="20"/>
                <w:color w:val="auto"/>
              </w:rPr>
            </w:pPr>
            <w:r>
              <w:rPr>
                <w:rFonts w:ascii="Arial" w:cs="Arial" w:eastAsia="Arial" w:hAnsi="Arial"/>
                <w:sz w:val="16"/>
                <w:szCs w:val="16"/>
                <w:b w:val="1"/>
                <w:bCs w:val="1"/>
                <w:color w:val="auto"/>
              </w:rPr>
              <w:t>—</w:t>
            </w:r>
          </w:p>
        </w:tc>
        <w:tc>
          <w:tcPr>
            <w:tcW w:w="1860" w:type="dxa"/>
            <w:vAlign w:val="bottom"/>
          </w:tcPr>
          <w:p>
            <w:pPr>
              <w:jc w:val="right"/>
              <w:ind w:right="659"/>
              <w:spacing w:after="0"/>
              <w:rPr>
                <w:sz w:val="20"/>
                <w:szCs w:val="20"/>
                <w:color w:val="auto"/>
              </w:rPr>
            </w:pPr>
            <w:r>
              <w:rPr>
                <w:rFonts w:ascii="Arial" w:cs="Arial" w:eastAsia="Arial" w:hAnsi="Arial"/>
                <w:sz w:val="16"/>
                <w:szCs w:val="16"/>
                <w:color w:val="auto"/>
              </w:rPr>
              <w:t>34</w:t>
            </w:r>
          </w:p>
        </w:tc>
        <w:tc>
          <w:tcPr>
            <w:tcW w:w="116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33"/>
        </w:trPr>
        <w:tc>
          <w:tcPr>
            <w:tcW w:w="62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Proceeds from sale of credit card receivables originated at third parties</w:t>
            </w:r>
          </w:p>
        </w:tc>
        <w:tc>
          <w:tcPr>
            <w:tcW w:w="2120" w:type="dxa"/>
            <w:vAlign w:val="bottom"/>
            <w:tcBorders>
              <w:bottom w:val="single" w:sz="8" w:color="CCEEFF"/>
            </w:tcBorders>
            <w:shd w:val="clear" w:color="auto" w:fill="CCEEFF"/>
          </w:tcPr>
          <w:p>
            <w:pPr>
              <w:jc w:val="right"/>
              <w:ind w:right="659"/>
              <w:spacing w:after="0"/>
              <w:rPr>
                <w:sz w:val="20"/>
                <w:szCs w:val="20"/>
                <w:color w:val="auto"/>
              </w:rPr>
            </w:pPr>
            <w:r>
              <w:rPr>
                <w:rFonts w:ascii="Arial" w:cs="Arial" w:eastAsia="Arial" w:hAnsi="Arial"/>
                <w:sz w:val="16"/>
                <w:szCs w:val="16"/>
                <w:b w:val="1"/>
                <w:bCs w:val="1"/>
                <w:color w:val="auto"/>
              </w:rPr>
              <w:t>—</w:t>
            </w:r>
          </w:p>
        </w:tc>
        <w:tc>
          <w:tcPr>
            <w:tcW w:w="1860" w:type="dxa"/>
            <w:vAlign w:val="bottom"/>
            <w:tcBorders>
              <w:bottom w:val="single" w:sz="8" w:color="CCEEFF"/>
            </w:tcBorders>
            <w:shd w:val="clear" w:color="auto" w:fill="CCEEFF"/>
          </w:tcPr>
          <w:p>
            <w:pPr>
              <w:jc w:val="right"/>
              <w:ind w:right="659"/>
              <w:spacing w:after="0"/>
              <w:rPr>
                <w:sz w:val="20"/>
                <w:szCs w:val="20"/>
                <w:color w:val="auto"/>
              </w:rPr>
            </w:pPr>
            <w:r>
              <w:rPr>
                <w:rFonts w:ascii="Arial" w:cs="Arial" w:eastAsia="Arial" w:hAnsi="Arial"/>
                <w:sz w:val="16"/>
                <w:szCs w:val="16"/>
                <w:color w:val="auto"/>
              </w:rPr>
              <w:t>890</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6280" w:type="dxa"/>
            <w:vAlign w:val="bottom"/>
          </w:tcPr>
          <w:p>
            <w:pPr>
              <w:ind w:left="280"/>
              <w:spacing w:after="0"/>
              <w:rPr>
                <w:sz w:val="20"/>
                <w:szCs w:val="20"/>
                <w:color w:val="auto"/>
              </w:rPr>
            </w:pPr>
            <w:r>
              <w:rPr>
                <w:rFonts w:ascii="Arial" w:cs="Arial" w:eastAsia="Arial" w:hAnsi="Arial"/>
                <w:sz w:val="16"/>
                <w:szCs w:val="16"/>
                <w:color w:val="auto"/>
              </w:rPr>
              <w:t>Other, net</w:t>
            </w:r>
          </w:p>
        </w:tc>
        <w:tc>
          <w:tcPr>
            <w:tcW w:w="2120" w:type="dxa"/>
            <w:vAlign w:val="bottom"/>
          </w:tcPr>
          <w:p>
            <w:pPr>
              <w:jc w:val="right"/>
              <w:ind w:right="659"/>
              <w:spacing w:after="0"/>
              <w:rPr>
                <w:sz w:val="20"/>
                <w:szCs w:val="20"/>
                <w:color w:val="auto"/>
              </w:rPr>
            </w:pPr>
            <w:r>
              <w:rPr>
                <w:rFonts w:ascii="Arial" w:cs="Arial" w:eastAsia="Arial" w:hAnsi="Arial"/>
                <w:sz w:val="16"/>
                <w:szCs w:val="16"/>
                <w:b w:val="1"/>
                <w:bCs w:val="1"/>
                <w:color w:val="auto"/>
              </w:rPr>
              <w:t>55</w:t>
            </w:r>
          </w:p>
        </w:tc>
        <w:tc>
          <w:tcPr>
            <w:tcW w:w="1860" w:type="dxa"/>
            <w:vAlign w:val="bottom"/>
          </w:tcPr>
          <w:p>
            <w:pPr>
              <w:jc w:val="right"/>
              <w:ind w:right="659"/>
              <w:spacing w:after="0"/>
              <w:rPr>
                <w:sz w:val="20"/>
                <w:szCs w:val="20"/>
                <w:color w:val="auto"/>
              </w:rPr>
            </w:pPr>
            <w:r>
              <w:rPr>
                <w:rFonts w:ascii="Arial" w:cs="Arial" w:eastAsia="Arial" w:hAnsi="Arial"/>
                <w:sz w:val="16"/>
                <w:szCs w:val="16"/>
                <w:color w:val="auto"/>
              </w:rPr>
              <w:t>14</w:t>
            </w:r>
          </w:p>
        </w:tc>
        <w:tc>
          <w:tcPr>
            <w:tcW w:w="116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33"/>
        </w:trPr>
        <w:tc>
          <w:tcPr>
            <w:tcW w:w="628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9"/>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used in investing activities</w:t>
            </w:r>
          </w:p>
        </w:tc>
        <w:tc>
          <w:tcPr>
            <w:tcW w:w="2120" w:type="dxa"/>
            <w:vAlign w:val="bottom"/>
            <w:tcBorders>
              <w:bottom w:val="single" w:sz="8" w:color="CCEEFF"/>
            </w:tcBorders>
            <w:shd w:val="clear" w:color="auto" w:fill="CCEEFF"/>
          </w:tcPr>
          <w:p>
            <w:pPr>
              <w:jc w:val="right"/>
              <w:ind w:right="599"/>
              <w:spacing w:after="0"/>
              <w:rPr>
                <w:sz w:val="20"/>
                <w:szCs w:val="20"/>
                <w:color w:val="auto"/>
              </w:rPr>
            </w:pPr>
            <w:r>
              <w:rPr>
                <w:rFonts w:ascii="Arial" w:cs="Arial" w:eastAsia="Arial" w:hAnsi="Arial"/>
                <w:sz w:val="16"/>
                <w:szCs w:val="16"/>
                <w:b w:val="1"/>
                <w:bCs w:val="1"/>
                <w:color w:val="auto"/>
              </w:rPr>
              <w:t>(791)</w:t>
            </w:r>
          </w:p>
        </w:tc>
        <w:tc>
          <w:tcPr>
            <w:tcW w:w="1860" w:type="dxa"/>
            <w:vAlign w:val="bottom"/>
            <w:tcBorders>
              <w:bottom w:val="single" w:sz="8" w:color="CCEEFF"/>
            </w:tcBorders>
            <w:shd w:val="clear" w:color="auto" w:fill="CCEEFF"/>
          </w:tcPr>
          <w:p>
            <w:pPr>
              <w:jc w:val="right"/>
              <w:ind w:right="619"/>
              <w:spacing w:after="0"/>
              <w:rPr>
                <w:sz w:val="20"/>
                <w:szCs w:val="20"/>
                <w:color w:val="auto"/>
              </w:rPr>
            </w:pPr>
            <w:r>
              <w:rPr>
                <w:rFonts w:ascii="Arial" w:cs="Arial" w:eastAsia="Arial" w:hAnsi="Arial"/>
                <w:sz w:val="16"/>
                <w:szCs w:val="16"/>
                <w:color w:val="auto"/>
              </w:rPr>
              <w:t>(144)</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(889)</w:t>
            </w:r>
          </w:p>
        </w:tc>
      </w:tr>
      <w:tr>
        <w:trPr>
          <w:trHeight w:val="183"/>
        </w:trPr>
        <w:tc>
          <w:tcPr>
            <w:tcW w:w="6280" w:type="dxa"/>
            <w:vAlign w:val="bottom"/>
            <w:tcBorders>
              <w:top w:val="single" w:sz="8" w:color="auto"/>
            </w:tcBorders>
          </w:tcPr>
          <w:p>
            <w:pPr>
              <w:spacing w:after="0"/>
              <w:rPr>
                <w:sz w:val="15"/>
                <w:szCs w:val="15"/>
                <w:color w:val="auto"/>
              </w:rPr>
            </w:pPr>
          </w:p>
        </w:tc>
        <w:tc>
          <w:tcPr>
            <w:tcW w:w="2120" w:type="dxa"/>
            <w:vAlign w:val="bottom"/>
            <w:tcBorders>
              <w:top w:val="single" w:sz="8" w:color="auto"/>
            </w:tcBorders>
          </w:tcPr>
          <w:p>
            <w:pPr>
              <w:spacing w:after="0"/>
              <w:rPr>
                <w:sz w:val="15"/>
                <w:szCs w:val="15"/>
                <w:color w:val="auto"/>
              </w:rPr>
            </w:pPr>
          </w:p>
        </w:tc>
        <w:tc>
          <w:tcPr>
            <w:tcW w:w="186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Financing Activities</w:t>
            </w:r>
          </w:p>
        </w:tc>
        <w:tc>
          <w:tcPr>
            <w:tcW w:w="21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37"/>
        </w:trPr>
        <w:tc>
          <w:tcPr>
            <w:tcW w:w="6280" w:type="dxa"/>
            <w:vAlign w:val="bottom"/>
          </w:tcPr>
          <w:p>
            <w:pPr>
              <w:ind w:left="280"/>
              <w:spacing w:after="0"/>
              <w:rPr>
                <w:sz w:val="20"/>
                <w:szCs w:val="20"/>
                <w:color w:val="auto"/>
              </w:rPr>
            </w:pPr>
            <w:r>
              <w:rPr>
                <w:rFonts w:ascii="Arial" w:cs="Arial" w:eastAsia="Arial" w:hAnsi="Arial"/>
                <w:sz w:val="16"/>
                <w:szCs w:val="16"/>
                <w:color w:val="auto"/>
              </w:rPr>
              <w:t>Proceeds from long-term borrowings, net of discounts</w:t>
            </w:r>
          </w:p>
        </w:tc>
        <w:tc>
          <w:tcPr>
            <w:tcW w:w="2120" w:type="dxa"/>
            <w:vAlign w:val="bottom"/>
          </w:tcPr>
          <w:p>
            <w:pPr>
              <w:jc w:val="right"/>
              <w:ind w:right="659"/>
              <w:spacing w:after="0"/>
              <w:rPr>
                <w:sz w:val="20"/>
                <w:szCs w:val="20"/>
                <w:color w:val="auto"/>
              </w:rPr>
            </w:pPr>
            <w:r>
              <w:rPr>
                <w:rFonts w:ascii="Arial" w:cs="Arial" w:eastAsia="Arial" w:hAnsi="Arial"/>
                <w:sz w:val="16"/>
                <w:szCs w:val="16"/>
                <w:b w:val="1"/>
                <w:bCs w:val="1"/>
                <w:color w:val="auto"/>
              </w:rPr>
              <w:t>—</w:t>
            </w:r>
          </w:p>
        </w:tc>
        <w:tc>
          <w:tcPr>
            <w:tcW w:w="1860" w:type="dxa"/>
            <w:vAlign w:val="bottom"/>
          </w:tcPr>
          <w:p>
            <w:pPr>
              <w:jc w:val="right"/>
              <w:ind w:right="659"/>
              <w:spacing w:after="0"/>
              <w:rPr>
                <w:sz w:val="20"/>
                <w:szCs w:val="20"/>
                <w:color w:val="auto"/>
              </w:rPr>
            </w:pPr>
            <w:r>
              <w:rPr>
                <w:rFonts w:ascii="Arial" w:cs="Arial" w:eastAsia="Arial" w:hAnsi="Arial"/>
                <w:sz w:val="16"/>
                <w:szCs w:val="16"/>
                <w:color w:val="auto"/>
              </w:rPr>
              <w:t>16</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34</w:t>
            </w:r>
          </w:p>
        </w:tc>
      </w:tr>
      <w:tr>
        <w:trPr>
          <w:trHeight w:val="33"/>
        </w:trPr>
        <w:tc>
          <w:tcPr>
            <w:tcW w:w="62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Principal payments on long-term borrowings</w:t>
            </w:r>
          </w:p>
        </w:tc>
        <w:tc>
          <w:tcPr>
            <w:tcW w:w="2120" w:type="dxa"/>
            <w:vAlign w:val="bottom"/>
            <w:tcBorders>
              <w:bottom w:val="single" w:sz="8" w:color="CCEEFF"/>
            </w:tcBorders>
            <w:shd w:val="clear" w:color="auto" w:fill="CCEEFF"/>
          </w:tcPr>
          <w:p>
            <w:pPr>
              <w:jc w:val="right"/>
              <w:ind w:right="599"/>
              <w:spacing w:after="0"/>
              <w:rPr>
                <w:sz w:val="20"/>
                <w:szCs w:val="20"/>
                <w:color w:val="auto"/>
              </w:rPr>
            </w:pPr>
            <w:r>
              <w:rPr>
                <w:rFonts w:ascii="Arial" w:cs="Arial" w:eastAsia="Arial" w:hAnsi="Arial"/>
                <w:sz w:val="16"/>
                <w:szCs w:val="16"/>
                <w:b w:val="1"/>
                <w:bCs w:val="1"/>
                <w:color w:val="auto"/>
              </w:rPr>
              <w:t>(10)</w:t>
            </w:r>
          </w:p>
        </w:tc>
        <w:tc>
          <w:tcPr>
            <w:tcW w:w="1860" w:type="dxa"/>
            <w:vAlign w:val="bottom"/>
            <w:tcBorders>
              <w:bottom w:val="single" w:sz="8" w:color="CCEEFF"/>
            </w:tcBorders>
            <w:shd w:val="clear" w:color="auto" w:fill="CCEEFF"/>
          </w:tcPr>
          <w:p>
            <w:pPr>
              <w:jc w:val="right"/>
              <w:ind w:right="619"/>
              <w:spacing w:after="0"/>
              <w:rPr>
                <w:sz w:val="20"/>
                <w:szCs w:val="20"/>
                <w:color w:val="auto"/>
              </w:rPr>
            </w:pPr>
            <w:r>
              <w:rPr>
                <w:rFonts w:ascii="Arial" w:cs="Arial" w:eastAsia="Arial" w:hAnsi="Arial"/>
                <w:sz w:val="16"/>
                <w:szCs w:val="16"/>
                <w:color w:val="auto"/>
              </w:rPr>
              <w:t>(8)</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r>
      <w:tr>
        <w:trPr>
          <w:trHeight w:val="237"/>
        </w:trPr>
        <w:tc>
          <w:tcPr>
            <w:tcW w:w="6280" w:type="dxa"/>
            <w:vAlign w:val="bottom"/>
          </w:tcPr>
          <w:p>
            <w:pPr>
              <w:ind w:left="280"/>
              <w:spacing w:after="0"/>
              <w:rPr>
                <w:sz w:val="20"/>
                <w:szCs w:val="20"/>
                <w:color w:val="auto"/>
              </w:rPr>
            </w:pPr>
            <w:r>
              <w:rPr>
                <w:rFonts w:ascii="Arial" w:cs="Arial" w:eastAsia="Arial" w:hAnsi="Arial"/>
                <w:sz w:val="16"/>
                <w:szCs w:val="16"/>
                <w:color w:val="auto"/>
              </w:rPr>
              <w:t>Defeasance of long-term debt</w:t>
            </w:r>
          </w:p>
        </w:tc>
        <w:tc>
          <w:tcPr>
            <w:tcW w:w="2120" w:type="dxa"/>
            <w:vAlign w:val="bottom"/>
          </w:tcPr>
          <w:p>
            <w:pPr>
              <w:jc w:val="right"/>
              <w:ind w:right="659"/>
              <w:spacing w:after="0"/>
              <w:rPr>
                <w:sz w:val="20"/>
                <w:szCs w:val="20"/>
                <w:color w:val="auto"/>
              </w:rPr>
            </w:pPr>
            <w:r>
              <w:rPr>
                <w:rFonts w:ascii="Arial" w:cs="Arial" w:eastAsia="Arial" w:hAnsi="Arial"/>
                <w:sz w:val="16"/>
                <w:szCs w:val="16"/>
                <w:b w:val="1"/>
                <w:bCs w:val="1"/>
                <w:color w:val="auto"/>
              </w:rPr>
              <w:t>—</w:t>
            </w:r>
          </w:p>
        </w:tc>
        <w:tc>
          <w:tcPr>
            <w:tcW w:w="1860" w:type="dxa"/>
            <w:vAlign w:val="bottom"/>
          </w:tcPr>
          <w:p>
            <w:pPr>
              <w:jc w:val="right"/>
              <w:ind w:right="619"/>
              <w:spacing w:after="0"/>
              <w:rPr>
                <w:sz w:val="20"/>
                <w:szCs w:val="20"/>
                <w:color w:val="auto"/>
              </w:rPr>
            </w:pPr>
            <w:r>
              <w:rPr>
                <w:rFonts w:ascii="Arial" w:cs="Arial" w:eastAsia="Arial" w:hAnsi="Arial"/>
                <w:sz w:val="16"/>
                <w:szCs w:val="16"/>
                <w:color w:val="auto"/>
              </w:rPr>
              <w:t>(339)</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62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Increase (decrease) in cash book overdrafts</w:t>
            </w:r>
          </w:p>
        </w:tc>
        <w:tc>
          <w:tcPr>
            <w:tcW w:w="2120" w:type="dxa"/>
            <w:vAlign w:val="bottom"/>
            <w:tcBorders>
              <w:bottom w:val="single" w:sz="8" w:color="CCEEFF"/>
            </w:tcBorders>
            <w:shd w:val="clear" w:color="auto" w:fill="CCEEFF"/>
          </w:tcPr>
          <w:p>
            <w:pPr>
              <w:jc w:val="right"/>
              <w:ind w:right="659"/>
              <w:spacing w:after="0"/>
              <w:rPr>
                <w:sz w:val="20"/>
                <w:szCs w:val="20"/>
                <w:color w:val="auto"/>
              </w:rPr>
            </w:pPr>
            <w:r>
              <w:rPr>
                <w:rFonts w:ascii="Arial" w:cs="Arial" w:eastAsia="Arial" w:hAnsi="Arial"/>
                <w:sz w:val="16"/>
                <w:szCs w:val="16"/>
                <w:b w:val="1"/>
                <w:bCs w:val="1"/>
                <w:color w:val="auto"/>
              </w:rPr>
              <w:t>4</w:t>
            </w:r>
          </w:p>
        </w:tc>
        <w:tc>
          <w:tcPr>
            <w:tcW w:w="1860" w:type="dxa"/>
            <w:vAlign w:val="bottom"/>
            <w:tcBorders>
              <w:bottom w:val="single" w:sz="8" w:color="CCEEFF"/>
            </w:tcBorders>
            <w:shd w:val="clear" w:color="auto" w:fill="CCEEFF"/>
          </w:tcPr>
          <w:p>
            <w:pPr>
              <w:jc w:val="right"/>
              <w:ind w:right="659"/>
              <w:spacing w:after="0"/>
              <w:rPr>
                <w:sz w:val="20"/>
                <w:szCs w:val="20"/>
                <w:color w:val="auto"/>
              </w:rPr>
            </w:pPr>
            <w:r>
              <w:rPr>
                <w:rFonts w:ascii="Arial" w:cs="Arial" w:eastAsia="Arial" w:hAnsi="Arial"/>
                <w:sz w:val="16"/>
                <w:szCs w:val="16"/>
                <w:color w:val="auto"/>
              </w:rPr>
              <w:t>23</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r>
      <w:tr>
        <w:trPr>
          <w:trHeight w:val="237"/>
        </w:trPr>
        <w:tc>
          <w:tcPr>
            <w:tcW w:w="6280" w:type="dxa"/>
            <w:vAlign w:val="bottom"/>
          </w:tcPr>
          <w:p>
            <w:pPr>
              <w:ind w:left="280"/>
              <w:spacing w:after="0"/>
              <w:rPr>
                <w:sz w:val="20"/>
                <w:szCs w:val="20"/>
                <w:color w:val="auto"/>
              </w:rPr>
            </w:pPr>
            <w:r>
              <w:rPr>
                <w:rFonts w:ascii="Arial" w:cs="Arial" w:eastAsia="Arial" w:hAnsi="Arial"/>
                <w:sz w:val="16"/>
                <w:szCs w:val="16"/>
                <w:color w:val="auto"/>
              </w:rPr>
              <w:t>Cash dividends paid</w:t>
            </w:r>
          </w:p>
        </w:tc>
        <w:tc>
          <w:tcPr>
            <w:tcW w:w="2120" w:type="dxa"/>
            <w:vAlign w:val="bottom"/>
          </w:tcPr>
          <w:p>
            <w:pPr>
              <w:jc w:val="right"/>
              <w:ind w:right="599"/>
              <w:spacing w:after="0"/>
              <w:rPr>
                <w:sz w:val="20"/>
                <w:szCs w:val="20"/>
                <w:color w:val="auto"/>
              </w:rPr>
            </w:pPr>
            <w:r>
              <w:rPr>
                <w:rFonts w:ascii="Arial" w:cs="Arial" w:eastAsia="Arial" w:hAnsi="Arial"/>
                <w:sz w:val="16"/>
                <w:szCs w:val="16"/>
                <w:b w:val="1"/>
                <w:bCs w:val="1"/>
                <w:color w:val="auto"/>
              </w:rPr>
              <w:t>(256)</w:t>
            </w:r>
          </w:p>
        </w:tc>
        <w:tc>
          <w:tcPr>
            <w:tcW w:w="1860" w:type="dxa"/>
            <w:vAlign w:val="bottom"/>
          </w:tcPr>
          <w:p>
            <w:pPr>
              <w:jc w:val="right"/>
              <w:ind w:right="619"/>
              <w:spacing w:after="0"/>
              <w:rPr>
                <w:sz w:val="20"/>
                <w:szCs w:val="20"/>
                <w:color w:val="auto"/>
              </w:rPr>
            </w:pPr>
            <w:r>
              <w:rPr>
                <w:rFonts w:ascii="Arial" w:cs="Arial" w:eastAsia="Arial" w:hAnsi="Arial"/>
                <w:sz w:val="16"/>
                <w:szCs w:val="16"/>
                <w:color w:val="auto"/>
              </w:rPr>
              <w:t>(1,185)</w:t>
            </w:r>
          </w:p>
        </w:tc>
        <w:tc>
          <w:tcPr>
            <w:tcW w:w="1160" w:type="dxa"/>
            <w:vAlign w:val="bottom"/>
          </w:tcPr>
          <w:p>
            <w:pPr>
              <w:jc w:val="right"/>
              <w:spacing w:after="0"/>
              <w:rPr>
                <w:sz w:val="20"/>
                <w:szCs w:val="20"/>
                <w:color w:val="auto"/>
              </w:rPr>
            </w:pPr>
            <w:r>
              <w:rPr>
                <w:rFonts w:ascii="Arial" w:cs="Arial" w:eastAsia="Arial" w:hAnsi="Arial"/>
                <w:sz w:val="16"/>
                <w:szCs w:val="16"/>
                <w:color w:val="auto"/>
              </w:rPr>
              <w:t>(251)</w:t>
            </w:r>
          </w:p>
        </w:tc>
      </w:tr>
      <w:tr>
        <w:trPr>
          <w:trHeight w:val="33"/>
        </w:trPr>
        <w:tc>
          <w:tcPr>
            <w:tcW w:w="62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Payments for repurchase of common stock</w:t>
            </w:r>
          </w:p>
        </w:tc>
        <w:tc>
          <w:tcPr>
            <w:tcW w:w="2120" w:type="dxa"/>
            <w:vAlign w:val="bottom"/>
            <w:tcBorders>
              <w:bottom w:val="single" w:sz="8" w:color="CCEEFF"/>
            </w:tcBorders>
            <w:shd w:val="clear" w:color="auto" w:fill="CCEEFF"/>
          </w:tcPr>
          <w:p>
            <w:pPr>
              <w:jc w:val="right"/>
              <w:ind w:right="599"/>
              <w:spacing w:after="0"/>
              <w:rPr>
                <w:sz w:val="20"/>
                <w:szCs w:val="20"/>
                <w:color w:val="auto"/>
              </w:rPr>
            </w:pPr>
            <w:r>
              <w:rPr>
                <w:rFonts w:ascii="Arial" w:cs="Arial" w:eastAsia="Arial" w:hAnsi="Arial"/>
                <w:sz w:val="16"/>
                <w:szCs w:val="16"/>
                <w:b w:val="1"/>
                <w:bCs w:val="1"/>
                <w:color w:val="auto"/>
              </w:rPr>
              <w:t>(277)</w:t>
            </w:r>
          </w:p>
        </w:tc>
        <w:tc>
          <w:tcPr>
            <w:tcW w:w="1860" w:type="dxa"/>
            <w:vAlign w:val="bottom"/>
            <w:tcBorders>
              <w:bottom w:val="single" w:sz="8" w:color="CCEEFF"/>
            </w:tcBorders>
            <w:shd w:val="clear" w:color="auto" w:fill="CCEEFF"/>
          </w:tcPr>
          <w:p>
            <w:pPr>
              <w:jc w:val="right"/>
              <w:ind w:right="619"/>
              <w:spacing w:after="0"/>
              <w:rPr>
                <w:sz w:val="20"/>
                <w:szCs w:val="20"/>
                <w:color w:val="auto"/>
              </w:rPr>
            </w:pPr>
            <w:r>
              <w:rPr>
                <w:rFonts w:ascii="Arial" w:cs="Arial" w:eastAsia="Arial" w:hAnsi="Arial"/>
                <w:sz w:val="16"/>
                <w:szCs w:val="16"/>
                <w:color w:val="auto"/>
              </w:rPr>
              <w:t>(1,192)</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(610)</w:t>
            </w:r>
          </w:p>
        </w:tc>
      </w:tr>
      <w:tr>
        <w:trPr>
          <w:trHeight w:val="237"/>
        </w:trPr>
        <w:tc>
          <w:tcPr>
            <w:tcW w:w="6280" w:type="dxa"/>
            <w:vAlign w:val="bottom"/>
          </w:tcPr>
          <w:p>
            <w:pPr>
              <w:ind w:left="280"/>
              <w:spacing w:after="0"/>
              <w:rPr>
                <w:sz w:val="20"/>
                <w:szCs w:val="20"/>
                <w:color w:val="auto"/>
              </w:rPr>
            </w:pPr>
            <w:r>
              <w:rPr>
                <w:rFonts w:ascii="Arial" w:cs="Arial" w:eastAsia="Arial" w:hAnsi="Arial"/>
                <w:sz w:val="16"/>
                <w:szCs w:val="16"/>
                <w:color w:val="auto"/>
              </w:rPr>
              <w:t>Proceeds from issuances under stock compensation plans</w:t>
            </w:r>
          </w:p>
        </w:tc>
        <w:tc>
          <w:tcPr>
            <w:tcW w:w="2120" w:type="dxa"/>
            <w:vAlign w:val="bottom"/>
          </w:tcPr>
          <w:p>
            <w:pPr>
              <w:jc w:val="right"/>
              <w:ind w:right="659"/>
              <w:spacing w:after="0"/>
              <w:rPr>
                <w:sz w:val="20"/>
                <w:szCs w:val="20"/>
                <w:color w:val="auto"/>
              </w:rPr>
            </w:pPr>
            <w:r>
              <w:rPr>
                <w:rFonts w:ascii="Arial" w:cs="Arial" w:eastAsia="Arial" w:hAnsi="Arial"/>
                <w:sz w:val="16"/>
                <w:szCs w:val="16"/>
                <w:b w:val="1"/>
                <w:bCs w:val="1"/>
                <w:color w:val="auto"/>
              </w:rPr>
              <w:t>83</w:t>
            </w:r>
          </w:p>
        </w:tc>
        <w:tc>
          <w:tcPr>
            <w:tcW w:w="1860" w:type="dxa"/>
            <w:vAlign w:val="bottom"/>
          </w:tcPr>
          <w:p>
            <w:pPr>
              <w:jc w:val="right"/>
              <w:ind w:right="659"/>
              <w:spacing w:after="0"/>
              <w:rPr>
                <w:sz w:val="20"/>
                <w:szCs w:val="20"/>
                <w:color w:val="auto"/>
              </w:rPr>
            </w:pPr>
            <w:r>
              <w:rPr>
                <w:rFonts w:ascii="Arial" w:cs="Arial" w:eastAsia="Arial" w:hAnsi="Arial"/>
                <w:sz w:val="16"/>
                <w:szCs w:val="16"/>
                <w:color w:val="auto"/>
              </w:rPr>
              <w:t>94</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141</w:t>
            </w:r>
          </w:p>
        </w:tc>
      </w:tr>
      <w:tr>
        <w:trPr>
          <w:trHeight w:val="33"/>
        </w:trPr>
        <w:tc>
          <w:tcPr>
            <w:tcW w:w="62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Excess tax benefit from stock-based compensation</w:t>
            </w:r>
          </w:p>
        </w:tc>
        <w:tc>
          <w:tcPr>
            <w:tcW w:w="2120" w:type="dxa"/>
            <w:vAlign w:val="bottom"/>
            <w:tcBorders>
              <w:bottom w:val="single" w:sz="8" w:color="CCEEFF"/>
            </w:tcBorders>
            <w:shd w:val="clear" w:color="auto" w:fill="CCEEFF"/>
          </w:tcPr>
          <w:p>
            <w:pPr>
              <w:jc w:val="right"/>
              <w:ind w:right="659"/>
              <w:spacing w:after="0"/>
              <w:rPr>
                <w:sz w:val="20"/>
                <w:szCs w:val="20"/>
                <w:color w:val="auto"/>
              </w:rPr>
            </w:pPr>
            <w:r>
              <w:rPr>
                <w:rFonts w:ascii="Arial" w:cs="Arial" w:eastAsia="Arial" w:hAnsi="Arial"/>
                <w:sz w:val="16"/>
                <w:szCs w:val="16"/>
                <w:b w:val="1"/>
                <w:bCs w:val="1"/>
                <w:color w:val="auto"/>
              </w:rPr>
              <w:t>5</w:t>
            </w:r>
          </w:p>
        </w:tc>
        <w:tc>
          <w:tcPr>
            <w:tcW w:w="1860" w:type="dxa"/>
            <w:vAlign w:val="bottom"/>
            <w:tcBorders>
              <w:bottom w:val="single" w:sz="8" w:color="CCEEFF"/>
            </w:tcBorders>
            <w:shd w:val="clear" w:color="auto" w:fill="CCEEFF"/>
          </w:tcPr>
          <w:p>
            <w:pPr>
              <w:jc w:val="right"/>
              <w:ind w:right="659"/>
              <w:spacing w:after="0"/>
              <w:rPr>
                <w:sz w:val="20"/>
                <w:szCs w:val="20"/>
                <w:color w:val="auto"/>
              </w:rPr>
            </w:pPr>
            <w:r>
              <w:rPr>
                <w:rFonts w:ascii="Arial" w:cs="Arial" w:eastAsia="Arial" w:hAnsi="Arial"/>
                <w:sz w:val="16"/>
                <w:szCs w:val="16"/>
                <w:color w:val="auto"/>
              </w:rPr>
              <w:t>15</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w:t>
            </w:r>
          </w:p>
        </w:tc>
      </w:tr>
      <w:tr>
        <w:trPr>
          <w:trHeight w:val="237"/>
        </w:trPr>
        <w:tc>
          <w:tcPr>
            <w:tcW w:w="6280" w:type="dxa"/>
            <w:vAlign w:val="bottom"/>
          </w:tcPr>
          <w:p>
            <w:pPr>
              <w:ind w:left="280"/>
              <w:spacing w:after="0"/>
              <w:rPr>
                <w:sz w:val="20"/>
                <w:szCs w:val="20"/>
                <w:color w:val="auto"/>
              </w:rPr>
            </w:pPr>
            <w:r>
              <w:rPr>
                <w:rFonts w:ascii="Arial" w:cs="Arial" w:eastAsia="Arial" w:hAnsi="Arial"/>
                <w:sz w:val="16"/>
                <w:szCs w:val="16"/>
                <w:color w:val="auto"/>
              </w:rPr>
              <w:t>Other, net</w:t>
            </w:r>
          </w:p>
        </w:tc>
        <w:tc>
          <w:tcPr>
            <w:tcW w:w="2120" w:type="dxa"/>
            <w:vAlign w:val="bottom"/>
          </w:tcPr>
          <w:p>
            <w:pPr>
              <w:jc w:val="right"/>
              <w:ind w:right="659"/>
              <w:spacing w:after="0"/>
              <w:rPr>
                <w:sz w:val="20"/>
                <w:szCs w:val="20"/>
                <w:color w:val="auto"/>
              </w:rPr>
            </w:pPr>
            <w:r>
              <w:rPr>
                <w:rFonts w:ascii="Arial" w:cs="Arial" w:eastAsia="Arial" w:hAnsi="Arial"/>
                <w:sz w:val="16"/>
                <w:szCs w:val="16"/>
                <w:b w:val="1"/>
                <w:bCs w:val="1"/>
                <w:color w:val="auto"/>
              </w:rPr>
              <w:t>6</w:t>
            </w:r>
          </w:p>
        </w:tc>
        <w:tc>
          <w:tcPr>
            <w:tcW w:w="1860" w:type="dxa"/>
            <w:vAlign w:val="bottom"/>
          </w:tcPr>
          <w:p>
            <w:pPr>
              <w:jc w:val="right"/>
              <w:ind w:right="659"/>
              <w:spacing w:after="0"/>
              <w:rPr>
                <w:sz w:val="20"/>
                <w:szCs w:val="20"/>
                <w:color w:val="auto"/>
              </w:rPr>
            </w:pPr>
            <w:r>
              <w:rPr>
                <w:rFonts w:ascii="Arial" w:cs="Arial" w:eastAsia="Arial" w:hAnsi="Arial"/>
                <w:sz w:val="16"/>
                <w:szCs w:val="16"/>
                <w:color w:val="auto"/>
              </w:rPr>
              <w:t>37</w:t>
            </w:r>
          </w:p>
        </w:tc>
        <w:tc>
          <w:tcPr>
            <w:tcW w:w="116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33"/>
        </w:trPr>
        <w:tc>
          <w:tcPr>
            <w:tcW w:w="628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9"/>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used in financing activities</w:t>
            </w:r>
          </w:p>
        </w:tc>
        <w:tc>
          <w:tcPr>
            <w:tcW w:w="2120" w:type="dxa"/>
            <w:vAlign w:val="bottom"/>
            <w:tcBorders>
              <w:bottom w:val="single" w:sz="8" w:color="CCEEFF"/>
            </w:tcBorders>
            <w:shd w:val="clear" w:color="auto" w:fill="CCEEFF"/>
          </w:tcPr>
          <w:p>
            <w:pPr>
              <w:jc w:val="right"/>
              <w:ind w:right="599"/>
              <w:spacing w:after="0"/>
              <w:rPr>
                <w:sz w:val="20"/>
                <w:szCs w:val="20"/>
                <w:color w:val="auto"/>
              </w:rPr>
            </w:pPr>
            <w:r>
              <w:rPr>
                <w:rFonts w:ascii="Arial" w:cs="Arial" w:eastAsia="Arial" w:hAnsi="Arial"/>
                <w:sz w:val="16"/>
                <w:szCs w:val="16"/>
                <w:b w:val="1"/>
                <w:bCs w:val="1"/>
                <w:color w:val="auto"/>
              </w:rPr>
              <w:t>(445)</w:t>
            </w:r>
          </w:p>
        </w:tc>
        <w:tc>
          <w:tcPr>
            <w:tcW w:w="1860" w:type="dxa"/>
            <w:vAlign w:val="bottom"/>
            <w:tcBorders>
              <w:bottom w:val="single" w:sz="8" w:color="CCEEFF"/>
            </w:tcBorders>
            <w:shd w:val="clear" w:color="auto" w:fill="CCEEFF"/>
          </w:tcPr>
          <w:p>
            <w:pPr>
              <w:jc w:val="right"/>
              <w:ind w:right="619"/>
              <w:spacing w:after="0"/>
              <w:rPr>
                <w:sz w:val="20"/>
                <w:szCs w:val="20"/>
                <w:color w:val="auto"/>
              </w:rPr>
            </w:pPr>
            <w:r>
              <w:rPr>
                <w:rFonts w:ascii="Arial" w:cs="Arial" w:eastAsia="Arial" w:hAnsi="Arial"/>
                <w:sz w:val="16"/>
                <w:szCs w:val="16"/>
                <w:color w:val="auto"/>
              </w:rPr>
              <w:t>(2,539)</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(698)</w:t>
            </w:r>
          </w:p>
        </w:tc>
      </w:tr>
      <w:tr>
        <w:trPr>
          <w:trHeight w:val="183"/>
        </w:trPr>
        <w:tc>
          <w:tcPr>
            <w:tcW w:w="6280" w:type="dxa"/>
            <w:vAlign w:val="bottom"/>
            <w:tcBorders>
              <w:top w:val="single" w:sz="8" w:color="auto"/>
            </w:tcBorders>
          </w:tcPr>
          <w:p>
            <w:pPr>
              <w:spacing w:after="0"/>
              <w:rPr>
                <w:sz w:val="15"/>
                <w:szCs w:val="15"/>
                <w:color w:val="auto"/>
              </w:rPr>
            </w:pPr>
          </w:p>
        </w:tc>
        <w:tc>
          <w:tcPr>
            <w:tcW w:w="2120" w:type="dxa"/>
            <w:vAlign w:val="bottom"/>
            <w:tcBorders>
              <w:top w:val="single" w:sz="8" w:color="auto"/>
            </w:tcBorders>
          </w:tcPr>
          <w:p>
            <w:pPr>
              <w:spacing w:after="0"/>
              <w:rPr>
                <w:sz w:val="15"/>
                <w:szCs w:val="15"/>
                <w:color w:val="auto"/>
              </w:rPr>
            </w:pPr>
          </w:p>
        </w:tc>
        <w:tc>
          <w:tcPr>
            <w:tcW w:w="186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increase (decrease) in cash and cash equivalents</w:t>
            </w:r>
          </w:p>
        </w:tc>
        <w:tc>
          <w:tcPr>
            <w:tcW w:w="2120" w:type="dxa"/>
            <w:vAlign w:val="bottom"/>
            <w:tcBorders>
              <w:bottom w:val="single" w:sz="8" w:color="CCEEFF"/>
            </w:tcBorders>
            <w:shd w:val="clear" w:color="auto" w:fill="CCEEFF"/>
          </w:tcPr>
          <w:p>
            <w:pPr>
              <w:jc w:val="right"/>
              <w:ind w:right="659"/>
              <w:spacing w:after="0"/>
              <w:rPr>
                <w:sz w:val="20"/>
                <w:szCs w:val="20"/>
                <w:color w:val="auto"/>
              </w:rPr>
            </w:pPr>
            <w:r>
              <w:rPr>
                <w:rFonts w:ascii="Arial" w:cs="Arial" w:eastAsia="Arial" w:hAnsi="Arial"/>
                <w:sz w:val="16"/>
                <w:szCs w:val="16"/>
                <w:b w:val="1"/>
                <w:bCs w:val="1"/>
                <w:color w:val="auto"/>
              </w:rPr>
              <w:t>412</w:t>
            </w:r>
          </w:p>
        </w:tc>
        <w:tc>
          <w:tcPr>
            <w:tcW w:w="1860" w:type="dxa"/>
            <w:vAlign w:val="bottom"/>
            <w:tcBorders>
              <w:bottom w:val="single" w:sz="8" w:color="CCEEFF"/>
            </w:tcBorders>
            <w:shd w:val="clear" w:color="auto" w:fill="CCEEFF"/>
          </w:tcPr>
          <w:p>
            <w:pPr>
              <w:jc w:val="right"/>
              <w:ind w:right="619"/>
              <w:spacing w:after="0"/>
              <w:rPr>
                <w:sz w:val="20"/>
                <w:szCs w:val="20"/>
                <w:color w:val="auto"/>
              </w:rPr>
            </w:pPr>
            <w:r>
              <w:rPr>
                <w:rFonts w:ascii="Arial" w:cs="Arial" w:eastAsia="Arial" w:hAnsi="Arial"/>
                <w:sz w:val="16"/>
                <w:szCs w:val="16"/>
                <w:color w:val="auto"/>
              </w:rPr>
              <w:t>(232)</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(367)</w:t>
            </w:r>
          </w:p>
        </w:tc>
      </w:tr>
      <w:tr>
        <w:trPr>
          <w:trHeight w:val="237"/>
        </w:trPr>
        <w:tc>
          <w:tcPr>
            <w:tcW w:w="6280" w:type="dxa"/>
            <w:vAlign w:val="bottom"/>
          </w:tcPr>
          <w:p>
            <w:pPr>
              <w:ind w:left="40"/>
              <w:spacing w:after="0"/>
              <w:rPr>
                <w:sz w:val="20"/>
                <w:szCs w:val="20"/>
                <w:color w:val="auto"/>
              </w:rPr>
            </w:pPr>
            <w:r>
              <w:rPr>
                <w:rFonts w:ascii="Arial" w:cs="Arial" w:eastAsia="Arial" w:hAnsi="Arial"/>
                <w:sz w:val="16"/>
                <w:szCs w:val="16"/>
                <w:color w:val="auto"/>
              </w:rPr>
              <w:t>Cash and cash equivalents at beginning of year</w:t>
            </w:r>
          </w:p>
        </w:tc>
        <w:tc>
          <w:tcPr>
            <w:tcW w:w="2120" w:type="dxa"/>
            <w:vAlign w:val="bottom"/>
          </w:tcPr>
          <w:p>
            <w:pPr>
              <w:jc w:val="right"/>
              <w:ind w:right="659"/>
              <w:spacing w:after="0"/>
              <w:rPr>
                <w:sz w:val="20"/>
                <w:szCs w:val="20"/>
                <w:color w:val="auto"/>
              </w:rPr>
            </w:pPr>
            <w:r>
              <w:rPr>
                <w:rFonts w:ascii="Arial" w:cs="Arial" w:eastAsia="Arial" w:hAnsi="Arial"/>
                <w:sz w:val="16"/>
                <w:szCs w:val="16"/>
                <w:b w:val="1"/>
                <w:bCs w:val="1"/>
                <w:color w:val="auto"/>
              </w:rPr>
              <w:t>595</w:t>
            </w:r>
          </w:p>
        </w:tc>
        <w:tc>
          <w:tcPr>
            <w:tcW w:w="1860" w:type="dxa"/>
            <w:vAlign w:val="bottom"/>
          </w:tcPr>
          <w:p>
            <w:pPr>
              <w:jc w:val="right"/>
              <w:ind w:right="659"/>
              <w:spacing w:after="0"/>
              <w:rPr>
                <w:sz w:val="20"/>
                <w:szCs w:val="20"/>
                <w:color w:val="auto"/>
              </w:rPr>
            </w:pPr>
            <w:r>
              <w:rPr>
                <w:rFonts w:ascii="Arial" w:cs="Arial" w:eastAsia="Arial" w:hAnsi="Arial"/>
                <w:sz w:val="16"/>
                <w:szCs w:val="16"/>
                <w:color w:val="auto"/>
              </w:rPr>
              <w:t>827</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1,194</w:t>
            </w:r>
          </w:p>
        </w:tc>
      </w:tr>
      <w:tr>
        <w:trPr>
          <w:trHeight w:val="33"/>
        </w:trPr>
        <w:tc>
          <w:tcPr>
            <w:tcW w:w="628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9"/>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and cash equivalents at end of year</w:t>
            </w:r>
          </w:p>
        </w:tc>
        <w:tc>
          <w:tcPr>
            <w:tcW w:w="2120" w:type="dxa"/>
            <w:vAlign w:val="bottom"/>
            <w:tcBorders>
              <w:bottom w:val="single" w:sz="8" w:color="CCEEFF"/>
            </w:tcBorders>
            <w:shd w:val="clear" w:color="auto" w:fill="CCEEFF"/>
          </w:tcPr>
          <w:p>
            <w:pPr>
              <w:jc w:val="right"/>
              <w:ind w:right="659"/>
              <w:spacing w:after="0"/>
              <w:rPr>
                <w:sz w:val="20"/>
                <w:szCs w:val="20"/>
                <w:color w:val="auto"/>
              </w:rPr>
            </w:pPr>
            <w:r>
              <w:rPr>
                <w:rFonts w:ascii="Arial" w:cs="Arial" w:eastAsia="Arial" w:hAnsi="Arial"/>
                <w:sz w:val="16"/>
                <w:szCs w:val="16"/>
                <w:b w:val="1"/>
                <w:bCs w:val="1"/>
                <w:color w:val="auto"/>
              </w:rPr>
              <w:t>$1,007</w:t>
            </w:r>
          </w:p>
        </w:tc>
        <w:tc>
          <w:tcPr>
            <w:tcW w:w="1860" w:type="dxa"/>
            <w:vAlign w:val="bottom"/>
            <w:tcBorders>
              <w:bottom w:val="single" w:sz="8" w:color="CCEEFF"/>
            </w:tcBorders>
            <w:shd w:val="clear" w:color="auto" w:fill="CCEEFF"/>
          </w:tcPr>
          <w:p>
            <w:pPr>
              <w:jc w:val="right"/>
              <w:ind w:right="659"/>
              <w:spacing w:after="0"/>
              <w:rPr>
                <w:sz w:val="20"/>
                <w:szCs w:val="20"/>
                <w:color w:val="auto"/>
              </w:rPr>
            </w:pPr>
            <w:r>
              <w:rPr>
                <w:rFonts w:ascii="Arial" w:cs="Arial" w:eastAsia="Arial" w:hAnsi="Arial"/>
                <w:sz w:val="16"/>
                <w:szCs w:val="16"/>
                <w:color w:val="auto"/>
              </w:rPr>
              <w:t>$595</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$827</w:t>
            </w:r>
          </w:p>
        </w:tc>
      </w:tr>
      <w:tr>
        <w:trPr>
          <w:trHeight w:val="183"/>
        </w:trPr>
        <w:tc>
          <w:tcPr>
            <w:tcW w:w="6280" w:type="dxa"/>
            <w:vAlign w:val="bottom"/>
            <w:tcBorders>
              <w:top w:val="single" w:sz="8" w:color="auto"/>
              <w:bottom w:val="single" w:sz="8" w:color="auto"/>
            </w:tcBorders>
          </w:tcPr>
          <w:p>
            <w:pPr>
              <w:spacing w:after="0"/>
              <w:rPr>
                <w:sz w:val="15"/>
                <w:szCs w:val="15"/>
                <w:color w:val="auto"/>
              </w:rPr>
            </w:pPr>
          </w:p>
        </w:tc>
        <w:tc>
          <w:tcPr>
            <w:tcW w:w="2120" w:type="dxa"/>
            <w:vAlign w:val="bottom"/>
            <w:tcBorders>
              <w:top w:val="single" w:sz="8" w:color="auto"/>
              <w:bottom w:val="single" w:sz="8" w:color="auto"/>
            </w:tcBorders>
          </w:tcPr>
          <w:p>
            <w:pPr>
              <w:spacing w:after="0"/>
              <w:rPr>
                <w:sz w:val="15"/>
                <w:szCs w:val="15"/>
                <w:color w:val="auto"/>
              </w:rPr>
            </w:pPr>
          </w:p>
        </w:tc>
        <w:tc>
          <w:tcPr>
            <w:tcW w:w="186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spacing w:after="0"/>
              <w:rPr>
                <w:sz w:val="15"/>
                <w:szCs w:val="15"/>
                <w:color w:val="auto"/>
              </w:rPr>
            </w:pPr>
          </w:p>
        </w:tc>
      </w:tr>
      <w:tr>
        <w:trPr>
          <w:trHeight w:val="244"/>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Supplemental Cash Flow Information</w:t>
            </w:r>
          </w:p>
        </w:tc>
        <w:tc>
          <w:tcPr>
            <w:tcW w:w="21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37"/>
        </w:trPr>
        <w:tc>
          <w:tcPr>
            <w:tcW w:w="6280" w:type="dxa"/>
            <w:vAlign w:val="bottom"/>
          </w:tcPr>
          <w:p>
            <w:pPr>
              <w:ind w:left="40"/>
              <w:spacing w:after="0"/>
              <w:rPr>
                <w:sz w:val="20"/>
                <w:szCs w:val="20"/>
                <w:color w:val="auto"/>
              </w:rPr>
            </w:pPr>
            <w:r>
              <w:rPr>
                <w:rFonts w:ascii="Arial" w:cs="Arial" w:eastAsia="Arial" w:hAnsi="Arial"/>
                <w:sz w:val="16"/>
                <w:szCs w:val="16"/>
                <w:color w:val="auto"/>
              </w:rPr>
              <w:t>Cash paid during the year for:</w:t>
            </w:r>
          </w:p>
        </w:tc>
        <w:tc>
          <w:tcPr>
            <w:tcW w:w="21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33"/>
        </w:trPr>
        <w:tc>
          <w:tcPr>
            <w:tcW w:w="62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Income taxes, net of refunds</w:t>
            </w:r>
          </w:p>
        </w:tc>
        <w:tc>
          <w:tcPr>
            <w:tcW w:w="2120" w:type="dxa"/>
            <w:vAlign w:val="bottom"/>
            <w:tcBorders>
              <w:bottom w:val="single" w:sz="8" w:color="CCEEFF"/>
            </w:tcBorders>
            <w:shd w:val="clear" w:color="auto" w:fill="CCEEFF"/>
          </w:tcPr>
          <w:p>
            <w:pPr>
              <w:jc w:val="right"/>
              <w:ind w:right="659"/>
              <w:spacing w:after="0"/>
              <w:rPr>
                <w:sz w:val="20"/>
                <w:szCs w:val="20"/>
                <w:color w:val="auto"/>
              </w:rPr>
            </w:pPr>
            <w:r>
              <w:rPr>
                <w:rFonts w:ascii="Arial" w:cs="Arial" w:eastAsia="Arial" w:hAnsi="Arial"/>
                <w:sz w:val="16"/>
                <w:szCs w:val="16"/>
                <w:b w:val="1"/>
                <w:bCs w:val="1"/>
                <w:color w:val="auto"/>
              </w:rPr>
              <w:t>$112</w:t>
            </w:r>
          </w:p>
        </w:tc>
        <w:tc>
          <w:tcPr>
            <w:tcW w:w="1860" w:type="dxa"/>
            <w:vAlign w:val="bottom"/>
            <w:tcBorders>
              <w:bottom w:val="single" w:sz="8" w:color="CCEEFF"/>
            </w:tcBorders>
            <w:shd w:val="clear" w:color="auto" w:fill="CCEEFF"/>
          </w:tcPr>
          <w:p>
            <w:pPr>
              <w:jc w:val="right"/>
              <w:ind w:right="659"/>
              <w:spacing w:after="0"/>
              <w:rPr>
                <w:sz w:val="20"/>
                <w:szCs w:val="20"/>
                <w:color w:val="auto"/>
              </w:rPr>
            </w:pPr>
            <w:r>
              <w:rPr>
                <w:rFonts w:ascii="Arial" w:cs="Arial" w:eastAsia="Arial" w:hAnsi="Arial"/>
                <w:sz w:val="16"/>
                <w:szCs w:val="16"/>
                <w:color w:val="auto"/>
              </w:rPr>
              <w:t>$383</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$391</w:t>
            </w:r>
          </w:p>
        </w:tc>
      </w:tr>
      <w:tr>
        <w:trPr>
          <w:trHeight w:val="237"/>
        </w:trPr>
        <w:tc>
          <w:tcPr>
            <w:tcW w:w="6280" w:type="dxa"/>
            <w:vAlign w:val="bottom"/>
          </w:tcPr>
          <w:p>
            <w:pPr>
              <w:ind w:left="280"/>
              <w:spacing w:after="0"/>
              <w:rPr>
                <w:sz w:val="20"/>
                <w:szCs w:val="20"/>
                <w:color w:val="auto"/>
              </w:rPr>
            </w:pPr>
            <w:r>
              <w:rPr>
                <w:rFonts w:ascii="Arial" w:cs="Arial" w:eastAsia="Arial" w:hAnsi="Arial"/>
                <w:sz w:val="16"/>
                <w:szCs w:val="16"/>
                <w:color w:val="auto"/>
              </w:rPr>
              <w:t>Interest, net of capitalized interest</w:t>
            </w:r>
          </w:p>
        </w:tc>
        <w:tc>
          <w:tcPr>
            <w:tcW w:w="2120" w:type="dxa"/>
            <w:vAlign w:val="bottom"/>
          </w:tcPr>
          <w:p>
            <w:pPr>
              <w:jc w:val="right"/>
              <w:ind w:right="659"/>
              <w:spacing w:after="0"/>
              <w:rPr>
                <w:sz w:val="20"/>
                <w:szCs w:val="20"/>
                <w:color w:val="auto"/>
              </w:rPr>
            </w:pPr>
            <w:r>
              <w:rPr>
                <w:rFonts w:ascii="Arial" w:cs="Arial" w:eastAsia="Arial" w:hAnsi="Arial"/>
                <w:sz w:val="16"/>
                <w:szCs w:val="16"/>
                <w:b w:val="1"/>
                <w:bCs w:val="1"/>
                <w:color w:val="auto"/>
              </w:rPr>
              <w:t>134</w:t>
            </w:r>
          </w:p>
        </w:tc>
        <w:tc>
          <w:tcPr>
            <w:tcW w:w="1860" w:type="dxa"/>
            <w:vAlign w:val="bottom"/>
          </w:tcPr>
          <w:p>
            <w:pPr>
              <w:jc w:val="right"/>
              <w:ind w:right="659"/>
              <w:spacing w:after="0"/>
              <w:rPr>
                <w:sz w:val="20"/>
                <w:szCs w:val="20"/>
                <w:color w:val="auto"/>
              </w:rPr>
            </w:pPr>
            <w:r>
              <w:rPr>
                <w:rFonts w:ascii="Arial" w:cs="Arial" w:eastAsia="Arial" w:hAnsi="Arial"/>
                <w:sz w:val="16"/>
                <w:szCs w:val="16"/>
                <w:color w:val="auto"/>
              </w:rPr>
              <w:t>136</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152</w:t>
            </w:r>
          </w:p>
        </w:tc>
      </w:tr>
      <w:tr>
        <w:trPr>
          <w:trHeight w:val="33"/>
        </w:trPr>
        <w:tc>
          <w:tcPr>
            <w:tcW w:w="62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189"/>
        </w:trPr>
        <w:tc>
          <w:tcPr>
            <w:tcW w:w="6280" w:type="dxa"/>
            <w:vAlign w:val="bottom"/>
            <w:shd w:val="clear" w:color="auto" w:fill="CCEEFF"/>
          </w:tcPr>
          <w:p>
            <w:pPr>
              <w:spacing w:after="0"/>
              <w:rPr>
                <w:sz w:val="16"/>
                <w:szCs w:val="16"/>
                <w:color w:val="auto"/>
              </w:rPr>
            </w:pPr>
          </w:p>
        </w:tc>
        <w:tc>
          <w:tcPr>
            <w:tcW w:w="2120" w:type="dxa"/>
            <w:vAlign w:val="bottom"/>
            <w:shd w:val="clear" w:color="auto" w:fill="CCEEFF"/>
          </w:tcPr>
          <w:p>
            <w:pPr>
              <w:spacing w:after="0"/>
              <w:rPr>
                <w:sz w:val="16"/>
                <w:szCs w:val="16"/>
                <w:color w:val="auto"/>
              </w:rPr>
            </w:pPr>
          </w:p>
        </w:tc>
        <w:tc>
          <w:tcPr>
            <w:tcW w:w="18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r>
      <w:tr>
        <w:trPr>
          <w:trHeight w:val="237"/>
        </w:trPr>
        <w:tc>
          <w:tcPr>
            <w:tcW w:w="6280" w:type="dxa"/>
            <w:vAlign w:val="bottom"/>
          </w:tcPr>
          <w:p>
            <w:pPr>
              <w:ind w:left="40"/>
              <w:spacing w:after="0"/>
              <w:rPr>
                <w:sz w:val="20"/>
                <w:szCs w:val="20"/>
                <w:color w:val="auto"/>
              </w:rPr>
            </w:pPr>
            <w:r>
              <w:rPr>
                <w:rFonts w:ascii="Arial" w:cs="Arial" w:eastAsia="Arial" w:hAnsi="Arial"/>
                <w:sz w:val="16"/>
                <w:szCs w:val="16"/>
                <w:color w:val="auto"/>
              </w:rPr>
              <w:t>Non-cash investing and financing activities:</w:t>
            </w:r>
          </w:p>
        </w:tc>
        <w:tc>
          <w:tcPr>
            <w:tcW w:w="21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33"/>
        </w:trPr>
        <w:tc>
          <w:tcPr>
            <w:tcW w:w="62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Beneficial interest asset acquired from the sale of credit card receivables</w:t>
            </w:r>
          </w:p>
        </w:tc>
        <w:tc>
          <w:tcPr>
            <w:tcW w:w="2120" w:type="dxa"/>
            <w:vAlign w:val="bottom"/>
            <w:tcBorders>
              <w:bottom w:val="single" w:sz="8" w:color="CCEEFF"/>
            </w:tcBorders>
            <w:shd w:val="clear" w:color="auto" w:fill="CCEEFF"/>
          </w:tcPr>
          <w:p>
            <w:pPr>
              <w:jc w:val="right"/>
              <w:ind w:right="659"/>
              <w:spacing w:after="0"/>
              <w:rPr>
                <w:sz w:val="20"/>
                <w:szCs w:val="20"/>
                <w:color w:val="auto"/>
              </w:rPr>
            </w:pPr>
            <w:r>
              <w:rPr>
                <w:rFonts w:ascii="Arial" w:cs="Arial" w:eastAsia="Arial" w:hAnsi="Arial"/>
                <w:sz w:val="16"/>
                <w:szCs w:val="16"/>
                <w:b w:val="1"/>
                <w:bCs w:val="1"/>
                <w:color w:val="auto"/>
              </w:rPr>
              <w:t>—</w:t>
            </w:r>
          </w:p>
        </w:tc>
        <w:tc>
          <w:tcPr>
            <w:tcW w:w="1860" w:type="dxa"/>
            <w:vAlign w:val="bottom"/>
            <w:tcBorders>
              <w:bottom w:val="single" w:sz="8" w:color="CCEEFF"/>
            </w:tcBorders>
            <w:shd w:val="clear" w:color="auto" w:fill="CCEEFF"/>
          </w:tcPr>
          <w:p>
            <w:pPr>
              <w:jc w:val="right"/>
              <w:ind w:right="659"/>
              <w:spacing w:after="0"/>
              <w:rPr>
                <w:sz w:val="20"/>
                <w:szCs w:val="20"/>
                <w:color w:val="auto"/>
              </w:rPr>
            </w:pPr>
            <w:r>
              <w:rPr>
                <w:rFonts w:ascii="Arial" w:cs="Arial" w:eastAsia="Arial" w:hAnsi="Arial"/>
                <w:sz w:val="16"/>
                <w:szCs w:val="16"/>
                <w:color w:val="auto"/>
              </w:rPr>
              <w:t>62</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6280" w:type="dxa"/>
            <w:vAlign w:val="bottom"/>
          </w:tcPr>
          <w:p>
            <w:pPr>
              <w:ind w:left="280"/>
              <w:spacing w:after="0"/>
              <w:rPr>
                <w:sz w:val="20"/>
                <w:szCs w:val="20"/>
                <w:color w:val="auto"/>
              </w:rPr>
            </w:pPr>
            <w:r>
              <w:rPr>
                <w:rFonts w:ascii="Arial" w:cs="Arial" w:eastAsia="Arial" w:hAnsi="Arial"/>
                <w:sz w:val="16"/>
                <w:szCs w:val="16"/>
                <w:color w:val="auto"/>
              </w:rPr>
              <w:t>Issuance of common stock for Trunk Club acquisition</w:t>
            </w:r>
          </w:p>
        </w:tc>
        <w:tc>
          <w:tcPr>
            <w:tcW w:w="2120" w:type="dxa"/>
            <w:vAlign w:val="bottom"/>
          </w:tcPr>
          <w:p>
            <w:pPr>
              <w:jc w:val="right"/>
              <w:ind w:right="659"/>
              <w:spacing w:after="0"/>
              <w:rPr>
                <w:sz w:val="20"/>
                <w:szCs w:val="20"/>
                <w:color w:val="auto"/>
              </w:rPr>
            </w:pPr>
            <w:r>
              <w:rPr>
                <w:rFonts w:ascii="Arial" w:cs="Arial" w:eastAsia="Arial" w:hAnsi="Arial"/>
                <w:sz w:val="16"/>
                <w:szCs w:val="16"/>
                <w:b w:val="1"/>
                <w:bCs w:val="1"/>
                <w:color w:val="auto"/>
              </w:rPr>
              <w:t>—</w:t>
            </w:r>
          </w:p>
        </w:tc>
        <w:tc>
          <w:tcPr>
            <w:tcW w:w="1860" w:type="dxa"/>
            <w:vAlign w:val="bottom"/>
          </w:tcPr>
          <w:p>
            <w:pPr>
              <w:jc w:val="right"/>
              <w:ind w:right="659"/>
              <w:spacing w:after="0"/>
              <w:rPr>
                <w:sz w:val="20"/>
                <w:szCs w:val="20"/>
                <w:color w:val="auto"/>
              </w:rPr>
            </w:pPr>
            <w:r>
              <w:rPr>
                <w:rFonts w:ascii="Arial" w:cs="Arial" w:eastAsia="Arial" w:hAnsi="Arial"/>
                <w:sz w:val="16"/>
                <w:szCs w:val="16"/>
                <w:color w:val="auto"/>
              </w:rPr>
              <w:t>23</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280</w:t>
            </w:r>
          </w:p>
        </w:tc>
      </w:tr>
      <w:tr>
        <w:trPr>
          <w:trHeight w:val="33"/>
        </w:trPr>
        <w:tc>
          <w:tcPr>
            <w:tcW w:w="628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bl>
    <w:p>
      <w:pPr>
        <w:sectPr>
          <w:pgSz w:w="11900" w:h="16838" w:orient="portrait"/>
          <w:cols w:equalWidth="0" w:num="1">
            <w:col w:w="11420"/>
          </w:cols>
          <w:pgMar w:left="240" w:top="126" w:right="239" w:bottom="0" w:gutter="0" w:footer="0" w:header="0"/>
        </w:sectPr>
      </w:pPr>
    </w:p>
    <w:bookmarkStart w:id="40" w:name="page41"/>
    <w:bookmarkEnd w:id="40"/>
    <w:p>
      <w:pPr>
        <w:spacing w:after="0"/>
        <w:rPr>
          <w:sz w:val="20"/>
          <w:szCs w:val="20"/>
          <w:color w:val="auto"/>
        </w:rPr>
      </w:pPr>
      <w:r>
        <w:rPr>
          <w:rFonts w:ascii="Arial" w:cs="Arial" w:eastAsia="Arial" w:hAnsi="Arial"/>
          <w:sz w:val="14"/>
          <w:szCs w:val="14"/>
          <w:color w:val="auto"/>
        </w:rPr>
        <w:t>The accompanying Notes to Consolidated Financial Statements are an integral part of these financial statements.</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0219"/>
          </w:cols>
          <w:pgMar w:left="240" w:top="292" w:right="1440" w:bottom="1440" w:gutter="0" w:footer="0" w:header="0"/>
        </w:sectPr>
      </w:pPr>
    </w:p>
    <w:bookmarkStart w:id="41" w:name="page42"/>
    <w:bookmarkEnd w:id="41"/>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Nordstrom, Inc.</w:t>
      </w:r>
    </w:p>
    <w:p>
      <w:pPr>
        <w:spacing w:after="0" w:line="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rPr>
          <w:sz w:val="20"/>
          <w:szCs w:val="20"/>
          <w:color w:val="auto"/>
        </w:rPr>
      </w:pPr>
      <w:r>
        <w:rPr>
          <w:rFonts w:ascii="Arial" w:cs="Arial" w:eastAsia="Arial" w:hAnsi="Arial"/>
          <w:sz w:val="18"/>
          <w:szCs w:val="18"/>
          <w:color w:val="auto"/>
        </w:rPr>
        <w:t>Dollar and share amounts in millions except per share, per option and per unit amounts</w:t>
      </w:r>
    </w:p>
    <w:p>
      <w:pPr>
        <w:spacing w:after="0" w:line="200" w:lineRule="exact"/>
        <w:rPr>
          <w:sz w:val="20"/>
          <w:szCs w:val="20"/>
          <w:color w:val="auto"/>
        </w:rPr>
      </w:pPr>
    </w:p>
    <w:p>
      <w:pPr>
        <w:spacing w:after="0" w:line="383" w:lineRule="exact"/>
        <w:rPr>
          <w:sz w:val="20"/>
          <w:szCs w:val="20"/>
          <w:color w:val="auto"/>
        </w:rPr>
      </w:pPr>
    </w:p>
    <w:p>
      <w:pPr>
        <w:ind w:right="3220"/>
        <w:spacing w:after="0" w:line="355" w:lineRule="auto"/>
        <w:rPr>
          <w:sz w:val="20"/>
          <w:szCs w:val="20"/>
          <w:color w:val="auto"/>
        </w:rPr>
      </w:pPr>
      <w:r>
        <w:rPr>
          <w:rFonts w:ascii="Arial" w:cs="Arial" w:eastAsia="Arial" w:hAnsi="Arial"/>
          <w:sz w:val="18"/>
          <w:szCs w:val="18"/>
          <w:b w:val="1"/>
          <w:bCs w:val="1"/>
          <w:color w:val="auto"/>
        </w:rPr>
        <w:t>NOTE 1: NATURE OF OPERATIONS AND SUMMARY OF SIGNIFICANT ACCOUNTING POLICIES The Company</w:t>
      </w:r>
    </w:p>
    <w:p>
      <w:pPr>
        <w:ind w:right="40"/>
        <w:spacing w:after="0" w:line="252" w:lineRule="auto"/>
        <w:rPr>
          <w:sz w:val="20"/>
          <w:szCs w:val="20"/>
          <w:color w:val="auto"/>
        </w:rPr>
      </w:pPr>
      <w:r>
        <w:rPr>
          <w:rFonts w:ascii="Arial" w:cs="Arial" w:eastAsia="Arial" w:hAnsi="Arial"/>
          <w:sz w:val="18"/>
          <w:szCs w:val="18"/>
          <w:color w:val="auto"/>
        </w:rPr>
        <w:t>Founded in 1901 as a retail shoe business in Seattle, Washington, Nordstrom, Inc. is now a leading fashion specialty retailer that offers customers a well-edited selection of high-quality fashion brands focused on apparel, shoes, cosmetics and accessories for women, men, young adults and children. This breadth of merchandise allows us to serve a wide range of customers who appreciate quality fashion and a superior shopping experience. We offer an extensive selection of high-quality brand-name and private label merchandise through multiple retail channels, including 118 Nordstrom U.S. full-line stores and at Nordstrom.com, five Canada full-line stores, 215 off-price Nordstrom Rack stores, Nordstromrack.com/HauteLook, seven Trunk Club clubhouses and TrunkClub.com, two Jeffrey boutiques and two Last Chance clearance stores. Our stores are located in 40 states throughout the U.S and in three provinces in Canada.</w:t>
      </w:r>
    </w:p>
    <w:p>
      <w:pPr>
        <w:spacing w:after="0" w:line="139"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Through our Credit segment, our customers can access a variety of payment products and services, including a Nordstrom-branded private label card, two Nordstrom-branded Visa credit cards and a debit card for Nordstrom purchases. When customers open a Nordstrom credit or debit card, they also join our loyalty program that provides benefits based on their level of spending. Although the primary purposes of our Credit segment are to foster greater customer loyalty and drive more sales, through our program agreement with TD Bank, N.A. (“TD”) (see Note 2: Credit Card Receivable Transaction), we also receive credit card revenue.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w:t>
      </w:r>
    </w:p>
    <w:p>
      <w:pPr>
        <w:spacing w:after="0" w:line="27"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We operate on a 52/53-week fiscal year ending on the Saturday closest to January 31st. References to 2016, 2015 and 2014 are based on a 52-week fiscal year.</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27" w:lineRule="exact"/>
        <w:rPr>
          <w:sz w:val="20"/>
          <w:szCs w:val="20"/>
          <w:color w:val="auto"/>
        </w:rPr>
      </w:pPr>
    </w:p>
    <w:p>
      <w:pPr>
        <w:ind w:right="780"/>
        <w:spacing w:after="0" w:line="261" w:lineRule="auto"/>
        <w:rPr>
          <w:sz w:val="20"/>
          <w:szCs w:val="20"/>
          <w:color w:val="auto"/>
        </w:rPr>
      </w:pPr>
      <w:r>
        <w:rPr>
          <w:rFonts w:ascii="Arial" w:cs="Arial" w:eastAsia="Arial" w:hAnsi="Arial"/>
          <w:sz w:val="18"/>
          <w:szCs w:val="18"/>
          <w:color w:val="auto"/>
        </w:rPr>
        <w:t>The Consolidated Financial Statements include the balances of Nordstrom, Inc. and its subsidiaries. All intercompany transactions and balances are eliminated in consolidation.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7"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U.S. requires management to make estimates and assumptions that affect the reported amounts of assets, liabilities, revenues and expenses, and disclosure of contingent assets and liabilities during the reporting period. Uncertainties regarding such estimates and assumptions are inherent in the preparation of financial statements and actual results may differ from these estimates and assumptions. Our most significant accounting judgments and estimates include revenue recognition, inventory, long-lived assets, goodwill, stock-based compensation and income taxes.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2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We recognize revenue net of estimated returns and excluding sales taxes. Revenue from sales to customers shipped directly from our stores, websites and catalog, which includes shipping revenue when applicable, is recognized upon estimated receipt by the customer. We estimate customer merchandise returns based on historical return patterns and reduce sales and cost of sales accordingly. Activity in the allowance for sales returns, net, for the past three fiscal years is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540" w:type="dxa"/>
            <w:vAlign w:val="bottom"/>
          </w:tcPr>
          <w:p>
            <w:pPr>
              <w:ind w:left="40"/>
              <w:spacing w:after="0"/>
              <w:rPr>
                <w:sz w:val="20"/>
                <w:szCs w:val="20"/>
                <w:color w:val="auto"/>
              </w:rPr>
            </w:pPr>
            <w:r>
              <w:rPr>
                <w:rFonts w:ascii="Arial" w:cs="Arial" w:eastAsia="Arial" w:hAnsi="Arial"/>
                <w:sz w:val="16"/>
                <w:szCs w:val="16"/>
                <w:b w:val="1"/>
                <w:bCs w:val="1"/>
                <w:color w:val="auto"/>
              </w:rPr>
              <w:t>Fiscal year</w:t>
            </w:r>
          </w:p>
        </w:tc>
        <w:tc>
          <w:tcPr>
            <w:tcW w:w="3680" w:type="dxa"/>
            <w:vAlign w:val="bottom"/>
          </w:tcPr>
          <w:p>
            <w:pPr>
              <w:jc w:val="right"/>
              <w:ind w:right="699"/>
              <w:spacing w:after="0"/>
              <w:rPr>
                <w:sz w:val="20"/>
                <w:szCs w:val="20"/>
                <w:color w:val="auto"/>
              </w:rPr>
            </w:pPr>
            <w:r>
              <w:rPr>
                <w:rFonts w:ascii="Arial" w:cs="Arial" w:eastAsia="Arial" w:hAnsi="Arial"/>
                <w:sz w:val="16"/>
                <w:szCs w:val="16"/>
                <w:b w:val="1"/>
                <w:bCs w:val="1"/>
                <w:color w:val="auto"/>
              </w:rPr>
              <w:t>2016</w:t>
            </w:r>
          </w:p>
        </w:tc>
        <w:tc>
          <w:tcPr>
            <w:tcW w:w="1920" w:type="dxa"/>
            <w:vAlign w:val="bottom"/>
          </w:tcPr>
          <w:p>
            <w:pPr>
              <w:jc w:val="right"/>
              <w:ind w:right="699"/>
              <w:spacing w:after="0"/>
              <w:rPr>
                <w:sz w:val="20"/>
                <w:szCs w:val="20"/>
                <w:color w:val="auto"/>
              </w:rPr>
            </w:pPr>
            <w:r>
              <w:rPr>
                <w:rFonts w:ascii="Arial" w:cs="Arial" w:eastAsia="Arial" w:hAnsi="Arial"/>
                <w:sz w:val="16"/>
                <w:szCs w:val="16"/>
                <w:b w:val="1"/>
                <w:bCs w:val="1"/>
                <w:color w:val="auto"/>
              </w:rPr>
              <w:t>2015</w:t>
            </w:r>
          </w:p>
        </w:tc>
        <w:tc>
          <w:tcPr>
            <w:tcW w:w="1260" w:type="dxa"/>
            <w:vAlign w:val="bottom"/>
          </w:tcPr>
          <w:p>
            <w:pPr>
              <w:jc w:val="right"/>
              <w:ind w:right="39"/>
              <w:spacing w:after="0"/>
              <w:rPr>
                <w:sz w:val="20"/>
                <w:szCs w:val="20"/>
                <w:color w:val="auto"/>
              </w:rPr>
            </w:pPr>
            <w:r>
              <w:rPr>
                <w:rFonts w:ascii="Arial" w:cs="Arial" w:eastAsia="Arial" w:hAnsi="Arial"/>
                <w:sz w:val="16"/>
                <w:szCs w:val="16"/>
                <w:b w:val="1"/>
                <w:bCs w:val="1"/>
                <w:color w:val="auto"/>
              </w:rPr>
              <w:t>2014</w:t>
            </w:r>
          </w:p>
        </w:tc>
      </w:tr>
      <w:tr>
        <w:trPr>
          <w:trHeight w:val="33"/>
        </w:trPr>
        <w:tc>
          <w:tcPr>
            <w:tcW w:w="4540" w:type="dxa"/>
            <w:vAlign w:val="bottom"/>
            <w:tcBorders>
              <w:bottom w:val="single" w:sz="8" w:color="auto"/>
            </w:tcBorders>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Allowance at beginning of year</w:t>
            </w:r>
          </w:p>
        </w:tc>
        <w:tc>
          <w:tcPr>
            <w:tcW w:w="368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6"/>
                <w:szCs w:val="16"/>
                <w:b w:val="1"/>
                <w:bCs w:val="1"/>
                <w:color w:val="auto"/>
              </w:rPr>
              <w:t>$170</w:t>
            </w:r>
          </w:p>
        </w:tc>
        <w:tc>
          <w:tcPr>
            <w:tcW w:w="192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6"/>
                <w:szCs w:val="16"/>
                <w:color w:val="auto"/>
              </w:rPr>
              <w:t>$160</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$128</w:t>
            </w:r>
          </w:p>
        </w:tc>
      </w:tr>
      <w:tr>
        <w:trPr>
          <w:trHeight w:val="237"/>
        </w:trPr>
        <w:tc>
          <w:tcPr>
            <w:tcW w:w="4540" w:type="dxa"/>
            <w:vAlign w:val="bottom"/>
          </w:tcPr>
          <w:p>
            <w:pPr>
              <w:ind w:left="40"/>
              <w:spacing w:after="0"/>
              <w:rPr>
                <w:sz w:val="20"/>
                <w:szCs w:val="20"/>
                <w:color w:val="auto"/>
              </w:rPr>
            </w:pPr>
            <w:r>
              <w:rPr>
                <w:rFonts w:ascii="Arial" w:cs="Arial" w:eastAsia="Arial" w:hAnsi="Arial"/>
                <w:sz w:val="16"/>
                <w:szCs w:val="16"/>
                <w:color w:val="auto"/>
              </w:rPr>
              <w:t>Charged to costs and expenses</w:t>
            </w:r>
          </w:p>
        </w:tc>
        <w:tc>
          <w:tcPr>
            <w:tcW w:w="3680" w:type="dxa"/>
            <w:vAlign w:val="bottom"/>
          </w:tcPr>
          <w:p>
            <w:pPr>
              <w:jc w:val="right"/>
              <w:ind w:right="699"/>
              <w:spacing w:after="0"/>
              <w:rPr>
                <w:sz w:val="20"/>
                <w:szCs w:val="20"/>
                <w:color w:val="auto"/>
              </w:rPr>
            </w:pPr>
            <w:r>
              <w:rPr>
                <w:rFonts w:ascii="Arial" w:cs="Arial" w:eastAsia="Arial" w:hAnsi="Arial"/>
                <w:sz w:val="16"/>
                <w:szCs w:val="16"/>
                <w:b w:val="1"/>
                <w:bCs w:val="1"/>
                <w:color w:val="auto"/>
              </w:rPr>
              <w:t>3,023</w:t>
            </w:r>
          </w:p>
        </w:tc>
        <w:tc>
          <w:tcPr>
            <w:tcW w:w="1920" w:type="dxa"/>
            <w:vAlign w:val="bottom"/>
          </w:tcPr>
          <w:p>
            <w:pPr>
              <w:jc w:val="right"/>
              <w:ind w:right="699"/>
              <w:spacing w:after="0"/>
              <w:rPr>
                <w:sz w:val="20"/>
                <w:szCs w:val="20"/>
                <w:color w:val="auto"/>
              </w:rPr>
            </w:pPr>
            <w:r>
              <w:rPr>
                <w:rFonts w:ascii="Arial" w:cs="Arial" w:eastAsia="Arial" w:hAnsi="Arial"/>
                <w:sz w:val="16"/>
                <w:szCs w:val="16"/>
                <w:color w:val="auto"/>
              </w:rPr>
              <w:t>2,720</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2,129</w:t>
            </w:r>
          </w:p>
        </w:tc>
      </w:tr>
      <w:tr>
        <w:trPr>
          <w:trHeight w:val="33"/>
        </w:trPr>
        <w:tc>
          <w:tcPr>
            <w:tcW w:w="4540" w:type="dxa"/>
            <w:vAlign w:val="bottom"/>
          </w:tcPr>
          <w:p>
            <w:pPr>
              <w:spacing w:after="0"/>
              <w:rPr>
                <w:sz w:val="2"/>
                <w:szCs w:val="2"/>
                <w:color w:val="auto"/>
              </w:rPr>
            </w:pPr>
          </w:p>
        </w:tc>
        <w:tc>
          <w:tcPr>
            <w:tcW w:w="36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45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Deductions</w:t>
            </w:r>
            <w:r>
              <w:rPr>
                <w:rFonts w:ascii="Arial" w:cs="Arial" w:eastAsia="Arial" w:hAnsi="Arial"/>
                <w:sz w:val="21"/>
                <w:szCs w:val="21"/>
                <w:color w:val="auto"/>
                <w:vertAlign w:val="superscript"/>
              </w:rPr>
              <w:t>1</w:t>
            </w:r>
          </w:p>
        </w:tc>
        <w:tc>
          <w:tcPr>
            <w:tcW w:w="3680" w:type="dxa"/>
            <w:vAlign w:val="bottom"/>
            <w:tcBorders>
              <w:bottom w:val="single" w:sz="8" w:color="auto"/>
            </w:tcBorders>
            <w:shd w:val="clear" w:color="auto" w:fill="CCEEFF"/>
          </w:tcPr>
          <w:p>
            <w:pPr>
              <w:jc w:val="right"/>
              <w:ind w:right="659"/>
              <w:spacing w:after="0"/>
              <w:rPr>
                <w:sz w:val="20"/>
                <w:szCs w:val="20"/>
                <w:color w:val="auto"/>
              </w:rPr>
            </w:pPr>
            <w:r>
              <w:rPr>
                <w:rFonts w:ascii="Arial" w:cs="Arial" w:eastAsia="Arial" w:hAnsi="Arial"/>
                <w:sz w:val="16"/>
                <w:szCs w:val="16"/>
                <w:b w:val="1"/>
                <w:bCs w:val="1"/>
                <w:color w:val="auto"/>
              </w:rPr>
              <w:t>(3,006)</w:t>
            </w:r>
          </w:p>
        </w:tc>
        <w:tc>
          <w:tcPr>
            <w:tcW w:w="1920" w:type="dxa"/>
            <w:vAlign w:val="bottom"/>
            <w:tcBorders>
              <w:bottom w:val="single" w:sz="8" w:color="auto"/>
            </w:tcBorders>
            <w:shd w:val="clear" w:color="auto" w:fill="CCEEFF"/>
          </w:tcPr>
          <w:p>
            <w:pPr>
              <w:jc w:val="right"/>
              <w:ind w:right="639"/>
              <w:spacing w:after="0"/>
              <w:rPr>
                <w:sz w:val="20"/>
                <w:szCs w:val="20"/>
                <w:color w:val="auto"/>
              </w:rPr>
            </w:pPr>
            <w:r>
              <w:rPr>
                <w:rFonts w:ascii="Arial" w:cs="Arial" w:eastAsia="Arial" w:hAnsi="Arial"/>
                <w:sz w:val="16"/>
                <w:szCs w:val="16"/>
                <w:color w:val="auto"/>
              </w:rPr>
              <w:t>(2,710)</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(2,097)</w:t>
            </w:r>
          </w:p>
        </w:tc>
      </w:tr>
      <w:tr>
        <w:trPr>
          <w:trHeight w:val="231"/>
        </w:trPr>
        <w:tc>
          <w:tcPr>
            <w:tcW w:w="4540" w:type="dxa"/>
            <w:vAlign w:val="bottom"/>
          </w:tcPr>
          <w:p>
            <w:pPr>
              <w:ind w:left="40"/>
              <w:spacing w:after="0"/>
              <w:rPr>
                <w:sz w:val="20"/>
                <w:szCs w:val="20"/>
                <w:color w:val="auto"/>
              </w:rPr>
            </w:pPr>
            <w:r>
              <w:rPr>
                <w:rFonts w:ascii="Arial" w:cs="Arial" w:eastAsia="Arial" w:hAnsi="Arial"/>
                <w:sz w:val="16"/>
                <w:szCs w:val="16"/>
                <w:b w:val="1"/>
                <w:bCs w:val="1"/>
                <w:color w:val="auto"/>
              </w:rPr>
              <w:t>Allowance at end of year</w:t>
            </w:r>
          </w:p>
        </w:tc>
        <w:tc>
          <w:tcPr>
            <w:tcW w:w="3680" w:type="dxa"/>
            <w:vAlign w:val="bottom"/>
          </w:tcPr>
          <w:p>
            <w:pPr>
              <w:jc w:val="right"/>
              <w:ind w:right="699"/>
              <w:spacing w:after="0"/>
              <w:rPr>
                <w:sz w:val="20"/>
                <w:szCs w:val="20"/>
                <w:color w:val="auto"/>
              </w:rPr>
            </w:pPr>
            <w:r>
              <w:rPr>
                <w:rFonts w:ascii="Arial" w:cs="Arial" w:eastAsia="Arial" w:hAnsi="Arial"/>
                <w:sz w:val="16"/>
                <w:szCs w:val="16"/>
                <w:b w:val="1"/>
                <w:bCs w:val="1"/>
                <w:color w:val="auto"/>
              </w:rPr>
              <w:t>$187</w:t>
            </w:r>
          </w:p>
        </w:tc>
        <w:tc>
          <w:tcPr>
            <w:tcW w:w="1920" w:type="dxa"/>
            <w:vAlign w:val="bottom"/>
          </w:tcPr>
          <w:p>
            <w:pPr>
              <w:jc w:val="right"/>
              <w:ind w:right="699"/>
              <w:spacing w:after="0"/>
              <w:rPr>
                <w:sz w:val="20"/>
                <w:szCs w:val="20"/>
                <w:color w:val="auto"/>
              </w:rPr>
            </w:pPr>
            <w:r>
              <w:rPr>
                <w:rFonts w:ascii="Arial" w:cs="Arial" w:eastAsia="Arial" w:hAnsi="Arial"/>
                <w:sz w:val="16"/>
                <w:szCs w:val="16"/>
                <w:color w:val="auto"/>
              </w:rPr>
              <w:t>$170</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$160</w:t>
            </w:r>
          </w:p>
        </w:tc>
      </w:tr>
    </w:tbl>
    <w:p>
      <w:pPr>
        <w:spacing w:after="0" w:line="28" w:lineRule="exact"/>
        <w:rPr>
          <w:sz w:val="20"/>
          <w:szCs w:val="20"/>
          <w:color w:val="auto"/>
        </w:rPr>
      </w:pPr>
    </w:p>
    <w:p>
      <w:pPr>
        <w:ind w:left="80" w:hanging="72"/>
        <w:spacing w:after="0"/>
        <w:tabs>
          <w:tab w:leader="none" w:pos="80" w:val="left"/>
        </w:tabs>
        <w:numPr>
          <w:ilvl w:val="0"/>
          <w:numId w:val="34"/>
        </w:numPr>
        <w:rPr>
          <w:rFonts w:ascii="Arial" w:cs="Arial" w:eastAsia="Arial" w:hAnsi="Arial"/>
          <w:sz w:val="9"/>
          <w:szCs w:val="9"/>
          <w:color w:val="auto"/>
        </w:rPr>
      </w:pPr>
      <w:r>
        <w:rPr>
          <w:rFonts w:ascii="Arial" w:cs="Arial" w:eastAsia="Arial" w:hAnsi="Arial"/>
          <w:sz w:val="14"/>
          <w:szCs w:val="14"/>
          <w:color w:val="auto"/>
        </w:rPr>
        <w:t>Deductions consist of actual returns, net of the value of the merchandise returned and any sales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22947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Card Revenues, net</w:t>
      </w:r>
    </w:p>
    <w:p>
      <w:pPr>
        <w:spacing w:after="0" w:line="27" w:lineRule="exact"/>
        <w:rPr>
          <w:sz w:val="20"/>
          <w:szCs w:val="20"/>
          <w:color w:val="auto"/>
        </w:rPr>
      </w:pPr>
    </w:p>
    <w:p>
      <w:pPr>
        <w:ind w:right="80"/>
        <w:spacing w:after="0" w:line="292" w:lineRule="auto"/>
        <w:rPr>
          <w:sz w:val="20"/>
          <w:szCs w:val="20"/>
          <w:color w:val="auto"/>
        </w:rPr>
      </w:pPr>
      <w:r>
        <w:rPr>
          <w:rFonts w:ascii="Arial" w:cs="Arial" w:eastAsia="Arial" w:hAnsi="Arial"/>
          <w:sz w:val="16"/>
          <w:szCs w:val="16"/>
          <w:color w:val="auto"/>
        </w:rPr>
        <w:t>On October 1, 2015, we completed the sale of a substantial majority of our U.S. Visa and private label credit card portfolio to TD (see Note 2: Credit Card Receivable Transaction). Prior to the close of the credit card receivable transaction, credit card revenues included finance charges, late fees and other revenue generated by our combined Nordstrom private label card and Nordstrom Visa credit card programs, and interchange fees generated by the use of Nordstrom Visa credit cards at third party merchants. Finance charges and late fees were assessed according to the terms of the related cardholder agreements and recognized as revenue when earned. Credit card revenues were recorded net of estimated uncollectible finance charges and fees.</w:t>
      </w:r>
    </w:p>
    <w:p>
      <w:pPr>
        <w:spacing w:after="0" w:line="357" w:lineRule="exact"/>
        <w:rPr>
          <w:sz w:val="20"/>
          <w:szCs w:val="20"/>
          <w:color w:val="auto"/>
        </w:rPr>
      </w:pPr>
    </w:p>
    <w:p>
      <w:pPr>
        <w:jc w:val="right"/>
        <w:spacing w:after="0"/>
        <w:rPr>
          <w:sz w:val="20"/>
          <w:szCs w:val="20"/>
          <w:color w:val="auto"/>
        </w:rPr>
      </w:pPr>
      <w:r>
        <w:rPr>
          <w:rFonts w:ascii="Arial" w:cs="Arial" w:eastAsia="Arial" w:hAnsi="Arial"/>
          <w:sz w:val="13"/>
          <w:szCs w:val="13"/>
          <w:color w:val="auto"/>
        </w:rPr>
        <w:t xml:space="preserve">Nordstrom, Inc. and subsidiaries </w:t>
      </w:r>
      <w:r>
        <w:rPr>
          <w:rFonts w:ascii="Arial" w:cs="Arial" w:eastAsia="Arial" w:hAnsi="Arial"/>
          <w:sz w:val="16"/>
          <w:szCs w:val="16"/>
          <w:color w:val="auto"/>
        </w:rPr>
        <w:t>41</w:t>
      </w:r>
    </w:p>
    <w:p>
      <w:pPr>
        <w:sectPr>
          <w:pgSz w:w="11900" w:h="16838" w:orient="portrait"/>
          <w:cols w:equalWidth="0" w:num="1">
            <w:col w:w="11420"/>
          </w:cols>
          <w:pgMar w:left="240" w:top="126" w:right="239" w:bottom="1440" w:gutter="0" w:footer="0" w:header="0"/>
        </w:sectPr>
      </w:pPr>
    </w:p>
    <w:bookmarkStart w:id="42" w:name="page43"/>
    <w:bookmarkEnd w:id="42"/>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Nordstrom, Inc.</w:t>
      </w:r>
    </w:p>
    <w:p>
      <w:pPr>
        <w:spacing w:after="0" w:line="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rPr>
          <w:sz w:val="20"/>
          <w:szCs w:val="20"/>
          <w:color w:val="auto"/>
        </w:rPr>
      </w:pPr>
      <w:r>
        <w:rPr>
          <w:rFonts w:ascii="Arial" w:cs="Arial" w:eastAsia="Arial" w:hAnsi="Arial"/>
          <w:sz w:val="18"/>
          <w:szCs w:val="18"/>
          <w:color w:val="auto"/>
        </w:rPr>
        <w:t>Dollar and share amounts in millions except per share, per option and per unit amounts</w:t>
      </w:r>
    </w:p>
    <w:p>
      <w:pPr>
        <w:spacing w:after="0" w:line="200" w:lineRule="exact"/>
        <w:rPr>
          <w:sz w:val="20"/>
          <w:szCs w:val="20"/>
          <w:color w:val="auto"/>
        </w:rPr>
      </w:pPr>
    </w:p>
    <w:p>
      <w:pPr>
        <w:spacing w:after="0" w:line="387"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Following the close of the transaction and pursuant to the program agreement with TD, credit card revenues, net includes our portion of the ongoing credit card revenue, net of credit losses, from both the sold and newly generated credit card receivables. Asset amortization and deferred revenue recognition associated with assets and liabilities recorded as part of the transaction are also recorded in credit card revenues, net.</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Sales</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Cost of sales includes the purchase cost of inventory sold (net of vendor allowances), in-bound freight and certain costs of our loyalty program benefits.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Loyalty Program</w:t>
      </w:r>
    </w:p>
    <w:p>
      <w:pPr>
        <w:spacing w:after="0" w:line="2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In 2016, our Nordstrom Rewards loyalty program, which allows customers to accumulate points based on their level of spending, was expanded to enable all customers to earn benefits regardless of how they choose to pay. Prior to 2016, the loyalty program was only offered to Nordstrom cardholders. Upon reaching a certain points threshold, customers receive Nordstrom Notes (“Notes”), which can be redeemed for goods or services offered at Nordstrom full-line stores, Nordstrom.com, Nordstrom Rack and Nordstromrack.com/HauteLook. Nordstrom cardholders can also earn rewards at Trunk Club. Customers who participate in our loyalty program through our credit and debit cards receive additional benefits including reimbursements for alterations, Personal Triple Points days, shopping and fashion events and early access to the Anniversary Sale. Loyalty program liabilities of $62 were included in other current liabilities at the end of 2016 and 2015.</w:t>
      </w:r>
    </w:p>
    <w:p>
      <w:pPr>
        <w:spacing w:after="0" w:line="13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estimate the net cost of Notes that will be issued and redeemed and record this cost as rewards points are accumulated. These costs, as well as reimbursed alterations, are recorded in cost of sales as we provide customers with products and services for these rewards. Other benefits of the loyalty program, including shopping and fashion events, are recorded in selling, general and administrative expenses. Total costs related to Nordstrom Rewards were $162, $164 and $149 in 2016, 2015 and 2014.</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Buying and Occupancy Costs</w:t>
      </w:r>
    </w:p>
    <w:p>
      <w:pPr>
        <w:spacing w:after="0" w:line="27" w:lineRule="exact"/>
        <w:rPr>
          <w:sz w:val="20"/>
          <w:szCs w:val="20"/>
          <w:color w:val="auto"/>
        </w:rPr>
      </w:pPr>
    </w:p>
    <w:p>
      <w:pPr>
        <w:ind w:right="280"/>
        <w:spacing w:after="0" w:line="290" w:lineRule="auto"/>
        <w:rPr>
          <w:sz w:val="20"/>
          <w:szCs w:val="20"/>
          <w:color w:val="auto"/>
        </w:rPr>
      </w:pPr>
      <w:r>
        <w:rPr>
          <w:rFonts w:ascii="Arial" w:cs="Arial" w:eastAsia="Arial" w:hAnsi="Arial"/>
          <w:sz w:val="17"/>
          <w:szCs w:val="17"/>
          <w:color w:val="auto"/>
        </w:rPr>
        <w:t>Buying costs consist primarily of compensation and other costs incurred by our merchandising and product development groups. Occupancy costs include rent, depreciation, property taxes and facility operating costs of our retail, corporate center, fulfillment facilities and distribution operations.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Rent</w:t>
      </w:r>
    </w:p>
    <w:p>
      <w:pPr>
        <w:spacing w:after="0" w:line="2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We recognize minimum rent expense, net of landlord reimbursements, on a straight-line basis over the minimum lease term from the time that we control the leased property. For scheduled rent escalation clauses during the lease terms, we record minimum rent expense on a straight-line basis over the terms of the leases, with the adjustments accrued as deferred rent and included in other long-term liabilities on our Consolidated Balance Sheet for the year ended January 28, 2017. Contingent rental payments, typically based on a percentage of sales, are recognized in rent expense when payment of the contingent rent is probable.</w:t>
      </w:r>
    </w:p>
    <w:p>
      <w:pPr>
        <w:spacing w:after="0" w:line="13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We receive incentives from landlords to construct stores in certain developments. At the end of 2016 and 2015, liabilities of $507 and $526 were recorded within deferred property incentives, net on the Consolidated Balance Sheets and are recognized as a reduction of rent expense on a straight-line basis over the lease terms.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 Expenses</w:t>
      </w:r>
    </w:p>
    <w:p>
      <w:pPr>
        <w:spacing w:after="0" w:line="27" w:lineRule="exact"/>
        <w:rPr>
          <w:sz w:val="20"/>
          <w:szCs w:val="20"/>
          <w:color w:val="auto"/>
        </w:rPr>
      </w:pPr>
    </w:p>
    <w:p>
      <w:pPr>
        <w:ind w:right="840"/>
        <w:spacing w:after="0" w:line="323" w:lineRule="auto"/>
        <w:rPr>
          <w:sz w:val="20"/>
          <w:szCs w:val="20"/>
          <w:color w:val="auto"/>
        </w:rPr>
      </w:pPr>
      <w:r>
        <w:rPr>
          <w:rFonts w:ascii="Arial" w:cs="Arial" w:eastAsia="Arial" w:hAnsi="Arial"/>
          <w:sz w:val="16"/>
          <w:szCs w:val="16"/>
          <w:color w:val="auto"/>
        </w:rPr>
        <w:t>Selling, general and administrative expenses consist primarily of compensation and benefit costs, advertising, shipping and handling costs, other miscellaneous expenses and, prior to our credit card receivable transaction in October 2015, bad debt expense related to our credit card operations.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w:t>
      </w:r>
    </w:p>
    <w:p>
      <w:pPr>
        <w:spacing w:after="0" w:line="2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Advertising production costs for internet, magazines, store events and other media are expensed the first time the advertisement is run. Online marketing costs are expensed when incurred. Total advertising expenses, net of vendor allowances, of $241, $227 and $195 in 2016, 2015 and 2014 were included in selling, general and administrative expenses.</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400"/>
          </w:cols>
          <w:pgMar w:left="240" w:top="126" w:right="259" w:bottom="1440" w:gutter="0" w:footer="0" w:header="0"/>
        </w:sectPr>
      </w:pPr>
    </w:p>
    <w:bookmarkStart w:id="43" w:name="page44"/>
    <w:bookmarkEnd w:id="43"/>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Nordstrom, Inc.</w:t>
      </w:r>
    </w:p>
    <w:p>
      <w:pPr>
        <w:spacing w:after="0" w:line="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rPr>
          <w:sz w:val="20"/>
          <w:szCs w:val="20"/>
          <w:color w:val="auto"/>
        </w:rPr>
      </w:pPr>
      <w:r>
        <w:rPr>
          <w:rFonts w:ascii="Arial" w:cs="Arial" w:eastAsia="Arial" w:hAnsi="Arial"/>
          <w:sz w:val="18"/>
          <w:szCs w:val="18"/>
          <w:color w:val="auto"/>
        </w:rPr>
        <w:t>Dollar and share amounts in millions except per share, per option and per unit amounts</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Vendor Allowances</w:t>
      </w:r>
    </w:p>
    <w:p>
      <w:pPr>
        <w:spacing w:after="0" w:line="2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receive allowances from merchandise vendors for cosmetic expenses, purchase price adjustments, cooperative advertising programs and various other expenses. Allowances for cosmetic expenses are recorded in selling, general and administrative expenses as a reduction of the related costs when incurred. Purchase price adjustments are recorded as a reduction of cost of sales at the point they have been earned and the related merchandise has been marked down or sold. Allowances for cooperative advertising programs and other expenses are recorded in selling, general and administrative expenses as a reduction of the related costs when incurred. Any allowances in excess of actual costs incurred that are included in selling, general and administrative expenses are recorded as a reduction of cost of sales. Vendor allowances earned are as follows: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460" w:type="dxa"/>
            <w:vAlign w:val="bottom"/>
          </w:tcPr>
          <w:p>
            <w:pPr>
              <w:ind w:left="40"/>
              <w:spacing w:after="0"/>
              <w:rPr>
                <w:sz w:val="20"/>
                <w:szCs w:val="20"/>
                <w:color w:val="auto"/>
              </w:rPr>
            </w:pPr>
            <w:r>
              <w:rPr>
                <w:rFonts w:ascii="Arial" w:cs="Arial" w:eastAsia="Arial" w:hAnsi="Arial"/>
                <w:sz w:val="16"/>
                <w:szCs w:val="16"/>
                <w:b w:val="1"/>
                <w:bCs w:val="1"/>
                <w:color w:val="auto"/>
              </w:rPr>
              <w:t>Fiscal year</w:t>
            </w:r>
          </w:p>
        </w:tc>
        <w:tc>
          <w:tcPr>
            <w:tcW w:w="3780" w:type="dxa"/>
            <w:vAlign w:val="bottom"/>
          </w:tcPr>
          <w:p>
            <w:pPr>
              <w:jc w:val="right"/>
              <w:ind w:right="719"/>
              <w:spacing w:after="0"/>
              <w:rPr>
                <w:sz w:val="20"/>
                <w:szCs w:val="20"/>
                <w:color w:val="auto"/>
              </w:rPr>
            </w:pPr>
            <w:r>
              <w:rPr>
                <w:rFonts w:ascii="Arial" w:cs="Arial" w:eastAsia="Arial" w:hAnsi="Arial"/>
                <w:sz w:val="16"/>
                <w:szCs w:val="16"/>
                <w:b w:val="1"/>
                <w:bCs w:val="1"/>
                <w:color w:val="auto"/>
              </w:rPr>
              <w:t>2016</w:t>
            </w:r>
          </w:p>
        </w:tc>
        <w:tc>
          <w:tcPr>
            <w:tcW w:w="1920" w:type="dxa"/>
            <w:vAlign w:val="bottom"/>
          </w:tcPr>
          <w:p>
            <w:pPr>
              <w:jc w:val="right"/>
              <w:ind w:right="719"/>
              <w:spacing w:after="0"/>
              <w:rPr>
                <w:sz w:val="20"/>
                <w:szCs w:val="20"/>
                <w:color w:val="auto"/>
              </w:rPr>
            </w:pPr>
            <w:r>
              <w:rPr>
                <w:rFonts w:ascii="Arial" w:cs="Arial" w:eastAsia="Arial" w:hAnsi="Arial"/>
                <w:sz w:val="16"/>
                <w:szCs w:val="16"/>
                <w:b w:val="1"/>
                <w:bCs w:val="1"/>
                <w:color w:val="auto"/>
              </w:rPr>
              <w:t>2015</w:t>
            </w:r>
          </w:p>
        </w:tc>
        <w:tc>
          <w:tcPr>
            <w:tcW w:w="1240" w:type="dxa"/>
            <w:vAlign w:val="bottom"/>
          </w:tcPr>
          <w:p>
            <w:pPr>
              <w:jc w:val="right"/>
              <w:ind w:right="39"/>
              <w:spacing w:after="0"/>
              <w:rPr>
                <w:sz w:val="20"/>
                <w:szCs w:val="20"/>
                <w:color w:val="auto"/>
              </w:rPr>
            </w:pPr>
            <w:r>
              <w:rPr>
                <w:rFonts w:ascii="Arial" w:cs="Arial" w:eastAsia="Arial" w:hAnsi="Arial"/>
                <w:sz w:val="16"/>
                <w:szCs w:val="16"/>
                <w:b w:val="1"/>
                <w:bCs w:val="1"/>
                <w:color w:val="auto"/>
              </w:rPr>
              <w:t>2014</w:t>
            </w:r>
          </w:p>
        </w:tc>
      </w:tr>
      <w:tr>
        <w:trPr>
          <w:trHeight w:val="33"/>
        </w:trPr>
        <w:tc>
          <w:tcPr>
            <w:tcW w:w="4460" w:type="dxa"/>
            <w:vAlign w:val="bottom"/>
            <w:tcBorders>
              <w:bottom w:val="single" w:sz="8" w:color="auto"/>
            </w:tcBorders>
          </w:tcPr>
          <w:p>
            <w:pPr>
              <w:spacing w:after="0"/>
              <w:rPr>
                <w:sz w:val="2"/>
                <w:szCs w:val="2"/>
                <w:color w:val="auto"/>
              </w:rPr>
            </w:pPr>
          </w:p>
        </w:tc>
        <w:tc>
          <w:tcPr>
            <w:tcW w:w="378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Cosmetic expenses</w:t>
            </w:r>
          </w:p>
        </w:tc>
        <w:tc>
          <w:tcPr>
            <w:tcW w:w="3780" w:type="dxa"/>
            <w:vAlign w:val="bottom"/>
            <w:tcBorders>
              <w:bottom w:val="single" w:sz="8" w:color="CCEEFF"/>
            </w:tcBorders>
            <w:shd w:val="clear" w:color="auto" w:fill="CCEEFF"/>
          </w:tcPr>
          <w:p>
            <w:pPr>
              <w:jc w:val="right"/>
              <w:ind w:right="719"/>
              <w:spacing w:after="0"/>
              <w:rPr>
                <w:sz w:val="20"/>
                <w:szCs w:val="20"/>
                <w:color w:val="auto"/>
              </w:rPr>
            </w:pPr>
            <w:r>
              <w:rPr>
                <w:rFonts w:ascii="Arial" w:cs="Arial" w:eastAsia="Arial" w:hAnsi="Arial"/>
                <w:sz w:val="16"/>
                <w:szCs w:val="16"/>
                <w:b w:val="1"/>
                <w:bCs w:val="1"/>
                <w:color w:val="auto"/>
              </w:rPr>
              <w:t>$166</w:t>
            </w:r>
          </w:p>
        </w:tc>
        <w:tc>
          <w:tcPr>
            <w:tcW w:w="1920" w:type="dxa"/>
            <w:vAlign w:val="bottom"/>
            <w:tcBorders>
              <w:bottom w:val="single" w:sz="8" w:color="CCEEFF"/>
            </w:tcBorders>
            <w:shd w:val="clear" w:color="auto" w:fill="CCEEFF"/>
          </w:tcPr>
          <w:p>
            <w:pPr>
              <w:jc w:val="right"/>
              <w:ind w:right="719"/>
              <w:spacing w:after="0"/>
              <w:rPr>
                <w:sz w:val="20"/>
                <w:szCs w:val="20"/>
                <w:color w:val="auto"/>
              </w:rPr>
            </w:pPr>
            <w:r>
              <w:rPr>
                <w:rFonts w:ascii="Arial" w:cs="Arial" w:eastAsia="Arial" w:hAnsi="Arial"/>
                <w:sz w:val="16"/>
                <w:szCs w:val="16"/>
                <w:color w:val="auto"/>
              </w:rPr>
              <w:t>$161</w:t>
            </w: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$140</w:t>
            </w:r>
          </w:p>
        </w:tc>
      </w:tr>
      <w:tr>
        <w:trPr>
          <w:trHeight w:val="237"/>
        </w:trPr>
        <w:tc>
          <w:tcPr>
            <w:tcW w:w="4460" w:type="dxa"/>
            <w:vAlign w:val="bottom"/>
          </w:tcPr>
          <w:p>
            <w:pPr>
              <w:ind w:left="40"/>
              <w:spacing w:after="0"/>
              <w:rPr>
                <w:sz w:val="20"/>
                <w:szCs w:val="20"/>
                <w:color w:val="auto"/>
              </w:rPr>
            </w:pPr>
            <w:r>
              <w:rPr>
                <w:rFonts w:ascii="Arial" w:cs="Arial" w:eastAsia="Arial" w:hAnsi="Arial"/>
                <w:sz w:val="16"/>
                <w:szCs w:val="16"/>
                <w:color w:val="auto"/>
              </w:rPr>
              <w:t>Purchase price adjustments</w:t>
            </w:r>
          </w:p>
        </w:tc>
        <w:tc>
          <w:tcPr>
            <w:tcW w:w="3780" w:type="dxa"/>
            <w:vAlign w:val="bottom"/>
          </w:tcPr>
          <w:p>
            <w:pPr>
              <w:jc w:val="right"/>
              <w:ind w:right="719"/>
              <w:spacing w:after="0"/>
              <w:rPr>
                <w:sz w:val="20"/>
                <w:szCs w:val="20"/>
                <w:color w:val="auto"/>
              </w:rPr>
            </w:pPr>
            <w:r>
              <w:rPr>
                <w:rFonts w:ascii="Arial" w:cs="Arial" w:eastAsia="Arial" w:hAnsi="Arial"/>
                <w:sz w:val="16"/>
                <w:szCs w:val="16"/>
                <w:b w:val="1"/>
                <w:bCs w:val="1"/>
                <w:color w:val="auto"/>
              </w:rPr>
              <w:t>179</w:t>
            </w:r>
          </w:p>
        </w:tc>
        <w:tc>
          <w:tcPr>
            <w:tcW w:w="1920" w:type="dxa"/>
            <w:vAlign w:val="bottom"/>
          </w:tcPr>
          <w:p>
            <w:pPr>
              <w:jc w:val="right"/>
              <w:ind w:right="719"/>
              <w:spacing w:after="0"/>
              <w:rPr>
                <w:sz w:val="20"/>
                <w:szCs w:val="20"/>
                <w:color w:val="auto"/>
              </w:rPr>
            </w:pPr>
            <w:r>
              <w:rPr>
                <w:rFonts w:ascii="Arial" w:cs="Arial" w:eastAsia="Arial" w:hAnsi="Arial"/>
                <w:sz w:val="16"/>
                <w:szCs w:val="16"/>
                <w:color w:val="auto"/>
              </w:rPr>
              <w:t>178</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164</w:t>
            </w:r>
          </w:p>
        </w:tc>
      </w:tr>
      <w:tr>
        <w:trPr>
          <w:trHeight w:val="33"/>
        </w:trPr>
        <w:tc>
          <w:tcPr>
            <w:tcW w:w="4460" w:type="dxa"/>
            <w:vAlign w:val="bottom"/>
          </w:tcPr>
          <w:p>
            <w:pPr>
              <w:spacing w:after="0"/>
              <w:rPr>
                <w:sz w:val="2"/>
                <w:szCs w:val="2"/>
                <w:color w:val="auto"/>
              </w:rPr>
            </w:pPr>
          </w:p>
        </w:tc>
        <w:tc>
          <w:tcPr>
            <w:tcW w:w="37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Cooperative advertising</w:t>
            </w:r>
          </w:p>
        </w:tc>
        <w:tc>
          <w:tcPr>
            <w:tcW w:w="3780" w:type="dxa"/>
            <w:vAlign w:val="bottom"/>
            <w:tcBorders>
              <w:bottom w:val="single" w:sz="8" w:color="CCEEFF"/>
            </w:tcBorders>
            <w:shd w:val="clear" w:color="auto" w:fill="CCEEFF"/>
          </w:tcPr>
          <w:p>
            <w:pPr>
              <w:jc w:val="right"/>
              <w:ind w:right="719"/>
              <w:spacing w:after="0"/>
              <w:rPr>
                <w:sz w:val="20"/>
                <w:szCs w:val="20"/>
                <w:color w:val="auto"/>
              </w:rPr>
            </w:pPr>
            <w:r>
              <w:rPr>
                <w:rFonts w:ascii="Arial" w:cs="Arial" w:eastAsia="Arial" w:hAnsi="Arial"/>
                <w:sz w:val="16"/>
                <w:szCs w:val="16"/>
                <w:b w:val="1"/>
                <w:bCs w:val="1"/>
                <w:color w:val="auto"/>
              </w:rPr>
              <w:t>114</w:t>
            </w:r>
          </w:p>
        </w:tc>
        <w:tc>
          <w:tcPr>
            <w:tcW w:w="1920" w:type="dxa"/>
            <w:vAlign w:val="bottom"/>
            <w:tcBorders>
              <w:bottom w:val="single" w:sz="8" w:color="CCEEFF"/>
            </w:tcBorders>
            <w:shd w:val="clear" w:color="auto" w:fill="CCEEFF"/>
          </w:tcPr>
          <w:p>
            <w:pPr>
              <w:jc w:val="right"/>
              <w:ind w:right="719"/>
              <w:spacing w:after="0"/>
              <w:rPr>
                <w:sz w:val="20"/>
                <w:szCs w:val="20"/>
                <w:color w:val="auto"/>
              </w:rPr>
            </w:pPr>
            <w:r>
              <w:rPr>
                <w:rFonts w:ascii="Arial" w:cs="Arial" w:eastAsia="Arial" w:hAnsi="Arial"/>
                <w:sz w:val="16"/>
                <w:szCs w:val="16"/>
                <w:color w:val="auto"/>
              </w:rPr>
              <w:t>109</w:t>
            </w: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102</w:t>
            </w:r>
          </w:p>
        </w:tc>
      </w:tr>
      <w:tr>
        <w:trPr>
          <w:trHeight w:val="237"/>
        </w:trPr>
        <w:tc>
          <w:tcPr>
            <w:tcW w:w="4460" w:type="dxa"/>
            <w:vAlign w:val="bottom"/>
          </w:tcPr>
          <w:p>
            <w:pPr>
              <w:ind w:left="40"/>
              <w:spacing w:after="0"/>
              <w:rPr>
                <w:sz w:val="20"/>
                <w:szCs w:val="20"/>
                <w:color w:val="auto"/>
              </w:rPr>
            </w:pPr>
            <w:r>
              <w:rPr>
                <w:rFonts w:ascii="Arial" w:cs="Arial" w:eastAsia="Arial" w:hAnsi="Arial"/>
                <w:sz w:val="16"/>
                <w:szCs w:val="16"/>
                <w:color w:val="auto"/>
              </w:rPr>
              <w:t>Other</w:t>
            </w:r>
          </w:p>
        </w:tc>
        <w:tc>
          <w:tcPr>
            <w:tcW w:w="3780" w:type="dxa"/>
            <w:vAlign w:val="bottom"/>
          </w:tcPr>
          <w:p>
            <w:pPr>
              <w:jc w:val="right"/>
              <w:ind w:right="719"/>
              <w:spacing w:after="0"/>
              <w:rPr>
                <w:sz w:val="20"/>
                <w:szCs w:val="20"/>
                <w:color w:val="auto"/>
              </w:rPr>
            </w:pPr>
            <w:r>
              <w:rPr>
                <w:rFonts w:ascii="Arial" w:cs="Arial" w:eastAsia="Arial" w:hAnsi="Arial"/>
                <w:sz w:val="16"/>
                <w:szCs w:val="16"/>
                <w:b w:val="1"/>
                <w:bCs w:val="1"/>
                <w:color w:val="auto"/>
              </w:rPr>
              <w:t>6</w:t>
            </w:r>
          </w:p>
        </w:tc>
        <w:tc>
          <w:tcPr>
            <w:tcW w:w="1920" w:type="dxa"/>
            <w:vAlign w:val="bottom"/>
          </w:tcPr>
          <w:p>
            <w:pPr>
              <w:jc w:val="right"/>
              <w:ind w:right="719"/>
              <w:spacing w:after="0"/>
              <w:rPr>
                <w:sz w:val="20"/>
                <w:szCs w:val="20"/>
                <w:color w:val="auto"/>
              </w:rPr>
            </w:pPr>
            <w:r>
              <w:rPr>
                <w:rFonts w:ascii="Arial" w:cs="Arial" w:eastAsia="Arial" w:hAnsi="Arial"/>
                <w:sz w:val="16"/>
                <w:szCs w:val="16"/>
                <w:color w:val="auto"/>
              </w:rPr>
              <w:t>7</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7</w:t>
            </w:r>
          </w:p>
        </w:tc>
      </w:tr>
      <w:tr>
        <w:trPr>
          <w:trHeight w:val="33"/>
        </w:trPr>
        <w:tc>
          <w:tcPr>
            <w:tcW w:w="4460" w:type="dxa"/>
            <w:vAlign w:val="bottom"/>
            <w:tcBorders>
              <w:bottom w:val="single" w:sz="8" w:color="auto"/>
            </w:tcBorders>
          </w:tcPr>
          <w:p>
            <w:pPr>
              <w:spacing w:after="0"/>
              <w:rPr>
                <w:sz w:val="2"/>
                <w:szCs w:val="2"/>
                <w:color w:val="auto"/>
              </w:rPr>
            </w:pPr>
          </w:p>
        </w:tc>
        <w:tc>
          <w:tcPr>
            <w:tcW w:w="378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vendor allowances</w:t>
            </w:r>
          </w:p>
        </w:tc>
        <w:tc>
          <w:tcPr>
            <w:tcW w:w="3780" w:type="dxa"/>
            <w:vAlign w:val="bottom"/>
            <w:tcBorders>
              <w:bottom w:val="single" w:sz="8" w:color="CCEEFF"/>
            </w:tcBorders>
            <w:shd w:val="clear" w:color="auto" w:fill="CCEEFF"/>
          </w:tcPr>
          <w:p>
            <w:pPr>
              <w:jc w:val="right"/>
              <w:ind w:right="719"/>
              <w:spacing w:after="0"/>
              <w:rPr>
                <w:sz w:val="20"/>
                <w:szCs w:val="20"/>
                <w:color w:val="auto"/>
              </w:rPr>
            </w:pPr>
            <w:r>
              <w:rPr>
                <w:rFonts w:ascii="Arial" w:cs="Arial" w:eastAsia="Arial" w:hAnsi="Arial"/>
                <w:sz w:val="16"/>
                <w:szCs w:val="16"/>
                <w:b w:val="1"/>
                <w:bCs w:val="1"/>
                <w:color w:val="auto"/>
              </w:rPr>
              <w:t>$465</w:t>
            </w:r>
          </w:p>
        </w:tc>
        <w:tc>
          <w:tcPr>
            <w:tcW w:w="1920" w:type="dxa"/>
            <w:vAlign w:val="bottom"/>
            <w:tcBorders>
              <w:bottom w:val="single" w:sz="8" w:color="CCEEFF"/>
            </w:tcBorders>
            <w:shd w:val="clear" w:color="auto" w:fill="CCEEFF"/>
          </w:tcPr>
          <w:p>
            <w:pPr>
              <w:jc w:val="right"/>
              <w:ind w:right="719"/>
              <w:spacing w:after="0"/>
              <w:rPr>
                <w:sz w:val="20"/>
                <w:szCs w:val="20"/>
                <w:color w:val="auto"/>
              </w:rPr>
            </w:pPr>
            <w:r>
              <w:rPr>
                <w:rFonts w:ascii="Arial" w:cs="Arial" w:eastAsia="Arial" w:hAnsi="Arial"/>
                <w:sz w:val="16"/>
                <w:szCs w:val="16"/>
                <w:color w:val="auto"/>
              </w:rPr>
              <w:t>$455</w:t>
            </w: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$413</w:t>
            </w:r>
          </w:p>
        </w:tc>
      </w:tr>
      <w:tr>
        <w:trPr>
          <w:trHeight w:val="20"/>
        </w:trPr>
        <w:tc>
          <w:tcPr>
            <w:tcW w:w="4460" w:type="dxa"/>
            <w:vAlign w:val="bottom"/>
            <w:shd w:val="clear" w:color="auto" w:fill="000000"/>
          </w:tcPr>
          <w:p>
            <w:pPr>
              <w:spacing w:after="0" w:line="20" w:lineRule="exact"/>
              <w:rPr>
                <w:sz w:val="1"/>
                <w:szCs w:val="1"/>
                <w:color w:val="auto"/>
              </w:rPr>
            </w:pPr>
          </w:p>
        </w:tc>
        <w:tc>
          <w:tcPr>
            <w:tcW w:w="3780" w:type="dxa"/>
            <w:vAlign w:val="bottom"/>
            <w:shd w:val="clear" w:color="auto" w:fill="000000"/>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Shipping and Handling Costs</w:t>
      </w:r>
    </w:p>
    <w:p>
      <w:pPr>
        <w:spacing w:after="0" w:line="27"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Our shipping and handling costs include payments to third party shippers and costs to hold, move and prepare merchandise for shipment. These costs do not include in-bound freight to our distribution centers, which we include in the cost of our inventory. Shipping and handling costs of $453, $428 and $348 in 2016, 2015 and 2014 were included in selling, general and administrative expenses.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7"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We grant stock-based awards under our 2010 Equity Incentive Plan (“2010 Plan”), 2002 Nonemployee Director Stock Incentive Plan (“2002 Plan”) and Trunk Club Value Creation Plan (“VCP”), and employees may purchase our stock at a discount under our Employee Stock Purchase Plan (“ESPP”). We predominantly recognize stock-based compensation expense related to stock-based awards at their estimated grant date fair value, recorded on a straight-line basis over the requisite service period. Compensation expense for certain award holders is accelerated based upon achievement of age and years of service. The total compensation expense is reduced by estimated forfeitures expected to occur over the vesting period of the awards.</w:t>
      </w:r>
    </w:p>
    <w:p>
      <w:pPr>
        <w:spacing w:after="0" w:line="125"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We estimate the grant date fair value of stock options using the Binomial Lattice option valuation model. Stock-based compensation expense related to the VCP is based on the grant date fair value of the payout scenario we believe is probable using the Black-Scholes valuation model and is recognized on an accelerated basis due to performance criteria and graded vesting features of the plan. The fair value of restricted stock is determined based on the number of shares granted and the quoted price of our common stock on the date of grant, less the estimated present value of dividends over the vesting period. Performance share units granted prior to 2016 are classified as liabilities and revalued using the quoted price of our common stock as of each reporting date. Performance share units granted in 2016 and beyond are classified as equity and the fair value is determined using the Monte-Carlo valuation model.</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Store Opening Costs</w:t>
      </w:r>
    </w:p>
    <w:p>
      <w:pPr>
        <w:spacing w:after="0" w:line="2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Non-capital expenditures associated with opening new stores, including marketing expenses, relocation expenses and occupancy costs, are charged to expense as incurred. These costs are included in both buying and occupancy costs and selling, general and administrative expenses according to their nature as disclosed above.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Gift Cards</w:t>
      </w:r>
    </w:p>
    <w:p>
      <w:pPr>
        <w:spacing w:after="0" w:line="27" w:lineRule="exact"/>
        <w:rPr>
          <w:sz w:val="20"/>
          <w:szCs w:val="20"/>
          <w:color w:val="auto"/>
        </w:rPr>
      </w:pPr>
    </w:p>
    <w:p>
      <w:pPr>
        <w:ind w:right="300"/>
        <w:spacing w:after="0" w:line="252" w:lineRule="auto"/>
        <w:rPr>
          <w:sz w:val="20"/>
          <w:szCs w:val="20"/>
          <w:color w:val="auto"/>
        </w:rPr>
      </w:pPr>
      <w:r>
        <w:rPr>
          <w:rFonts w:ascii="Arial" w:cs="Arial" w:eastAsia="Arial" w:hAnsi="Arial"/>
          <w:sz w:val="18"/>
          <w:szCs w:val="18"/>
          <w:color w:val="auto"/>
        </w:rPr>
        <w:t>We recognize revenue from the sale of gift cards when the gift card is redeemed by the customer, or we recognize breakage income when the likelihood of redemption, based on historical experience, is deemed to be remote. Based on an analysis of our program since its inception in 1999, we determined that balances remaining on cards issued beyond five years are unlikely to be redeemed and therefore are recognized as income. Breakage income was $12, $11 and $8 in 2016, 2015 and 2014. To date, our breakage rate is approximately 2% of the amount initially issued as gift cards. Gift card breakage income is included in selling, general and administrative expenses. We had outstanding gift card liabilities of $389 and $327 at the end of 2016 and 2015, which are included in other current liabilities.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7"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We use the asset and liability method of accounting for income taxes. Using this method, deferred tax assets and liabilities are recorded based on differences between the financial reporting and tax basis of assets and liabilities and for operating loss and tax credit carryforwards. The deferred tax assets and liabilities are calculated using the enacted tax rates and laws that are expected to be in effect when the differences are expected to reverse. We routinely evaluate the likelihood of realizing the benefit of our deferred tax assets and may record a valuation allowance if, based on all available evidence, it is determined that some portion of the tax benefit will not be realized.</w:t>
      </w:r>
    </w:p>
    <w:p>
      <w:pPr>
        <w:sectPr>
          <w:pgSz w:w="11900" w:h="16838" w:orient="portrait"/>
          <w:cols w:equalWidth="0" w:num="1">
            <w:col w:w="11420"/>
          </w:cols>
          <w:pgMar w:left="240" w:top="126" w:right="239" w:bottom="1440" w:gutter="0" w:footer="0" w:header="0"/>
        </w:sectPr>
      </w:pPr>
    </w:p>
    <w:p>
      <w:pPr>
        <w:spacing w:after="0" w:line="385" w:lineRule="exact"/>
        <w:rPr>
          <w:sz w:val="20"/>
          <w:szCs w:val="20"/>
          <w:color w:val="auto"/>
        </w:rPr>
      </w:pPr>
    </w:p>
    <w:p>
      <w:pPr>
        <w:ind w:left="9580"/>
        <w:spacing w:after="0"/>
        <w:rPr>
          <w:sz w:val="20"/>
          <w:szCs w:val="20"/>
          <w:color w:val="auto"/>
        </w:rPr>
      </w:pPr>
      <w:r>
        <w:rPr>
          <w:rFonts w:ascii="Arial" w:cs="Arial" w:eastAsia="Arial" w:hAnsi="Arial"/>
          <w:sz w:val="11"/>
          <w:szCs w:val="11"/>
          <w:color w:val="auto"/>
        </w:rPr>
        <w:t xml:space="preserve">Nordstrom, Inc. and subsidiaries </w:t>
      </w:r>
      <w:r>
        <w:rPr>
          <w:rFonts w:ascii="Arial" w:cs="Arial" w:eastAsia="Arial" w:hAnsi="Arial"/>
          <w:sz w:val="14"/>
          <w:szCs w:val="14"/>
          <w:color w:val="auto"/>
        </w:rPr>
        <w:t>43</w:t>
      </w:r>
    </w:p>
    <w:p>
      <w:pPr>
        <w:sectPr>
          <w:pgSz w:w="11900" w:h="16838" w:orient="portrait"/>
          <w:cols w:equalWidth="0" w:num="1">
            <w:col w:w="11420"/>
          </w:cols>
          <w:pgMar w:left="240" w:top="126" w:right="239" w:bottom="1440" w:gutter="0" w:footer="0" w:header="0"/>
          <w:type w:val="continuous"/>
        </w:sectPr>
      </w:pPr>
    </w:p>
    <w:bookmarkStart w:id="44" w:name="page45"/>
    <w:bookmarkEnd w:id="44"/>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Nordstrom, Inc.</w:t>
      </w:r>
    </w:p>
    <w:p>
      <w:pPr>
        <w:spacing w:after="0" w:line="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rPr>
          <w:sz w:val="20"/>
          <w:szCs w:val="20"/>
          <w:color w:val="auto"/>
        </w:rPr>
      </w:pPr>
      <w:r>
        <w:rPr>
          <w:rFonts w:ascii="Arial" w:cs="Arial" w:eastAsia="Arial" w:hAnsi="Arial"/>
          <w:sz w:val="18"/>
          <w:szCs w:val="18"/>
          <w:color w:val="auto"/>
        </w:rPr>
        <w:t>Dollar and share amounts in millions except per share, per option and per unit amounts</w:t>
      </w:r>
    </w:p>
    <w:p>
      <w:pPr>
        <w:spacing w:after="0" w:line="200" w:lineRule="exact"/>
        <w:rPr>
          <w:sz w:val="20"/>
          <w:szCs w:val="20"/>
          <w:color w:val="auto"/>
        </w:rPr>
      </w:pPr>
    </w:p>
    <w:p>
      <w:pPr>
        <w:spacing w:after="0" w:line="38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regularly evaluate the likelihood of realizing the benefit for income tax positions we have taken in various federal, state and foreign filings by considering all relevant facts, circumstances and information available. If we believe it is more likely than not that our position will be sustained, we recognize a benefit at the largest amount that we believe is cumulatively greater than 50% likely to be realized. Interest and penalties related to income tax matters are classified as a component of income tax expense.</w:t>
      </w:r>
    </w:p>
    <w:p>
      <w:pPr>
        <w:spacing w:after="0" w:line="133"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Income taxes require significant management judgment regarding applicable statutes and their related interpretation, the status of various income tax audits and our particular facts and circumstances. Also, as audits are completed or statutes of limitations lapse, it may be necessary to record adjustments to our taxes payable, deferred taxes, tax reserves or income tax expense.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Net Earnings</w:t>
      </w:r>
    </w:p>
    <w:p>
      <w:pPr>
        <w:spacing w:after="0" w:line="27" w:lineRule="exact"/>
        <w:rPr>
          <w:sz w:val="20"/>
          <w:szCs w:val="20"/>
          <w:color w:val="auto"/>
        </w:rPr>
      </w:pPr>
    </w:p>
    <w:p>
      <w:pPr>
        <w:ind w:right="740"/>
        <w:spacing w:after="0" w:line="261" w:lineRule="auto"/>
        <w:rPr>
          <w:sz w:val="20"/>
          <w:szCs w:val="20"/>
          <w:color w:val="auto"/>
        </w:rPr>
      </w:pPr>
      <w:r>
        <w:rPr>
          <w:rFonts w:ascii="Arial" w:cs="Arial" w:eastAsia="Arial" w:hAnsi="Arial"/>
          <w:sz w:val="18"/>
          <w:szCs w:val="18"/>
          <w:color w:val="auto"/>
        </w:rPr>
        <w:t>Comprehensive net earnings consist of net earnings and other gains and losses affecting equity that are excluded from net earnings. These consist of postretirement plan adjustments, net of related income tax effects and foreign currency translation adjustments.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Equivalents</w:t>
      </w:r>
    </w:p>
    <w:p>
      <w:pPr>
        <w:spacing w:after="0" w:line="2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Cash equivalents are short-term investments with a maturity of three months or less from the date of purchase and are carried at cost, which approximates fair value. At the end of 2016 and 2015, checks not yet presented for payment drawn in excess of our bank deposit balances were $156 and $152 and included within accounts payable on our Consolidated Balance Sheets.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w:t>
      </w:r>
    </w:p>
    <w:p>
      <w:pPr>
        <w:spacing w:after="0" w:line="2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Accounts receivable, net includes employee credit card receivables and receivables from non-Nordstrom-branded cards. We record accounts receivable on our Consolidated Balance Sheets, net of an allowance for credit losses. The allowance for credit losses reflects our best estimate of the losses inherent in our receivables as of the balance sheet date.</w:t>
      </w:r>
    </w:p>
    <w:p>
      <w:pPr>
        <w:spacing w:after="0" w:line="136"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Nordstrom private label credit and debit cards can be used only at our Nordstrom full-line stores in the U.S., Nordstrom Rack stores, Trunk Club, Nordstrom.com and Nordstromrack.com/HauteLook, while Nordstrom Visa credit cards also may be used for purchases outside of Nordstrom. Cash flows from the use of both the private label and Nordstrom Visa credit cards for sales originating at our stores and our website are treated as an operating activity within the Consolidated Statements of Cash Flows, as they relate to sales at Nordstrom. Prior to the credit card receivable transaction in October 2015 (see Note 2: Credit Card Receivable Transaction), we treated cash flows arising from the use of Nordstrom Visa credit cards outside of our stores as an investing activity within the Consolidated Statements of Cash Flows, as they represented loans made to our customers for purchases at third parties.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Merchandise Inventories</w:t>
      </w:r>
    </w:p>
    <w:p>
      <w:pPr>
        <w:spacing w:after="0" w:line="27"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Merchandise inventories are generally stated at the lower of cost or market value using the retail inventory method (weighted-average cost). Under the retail method, the valuation of inventories is determined by applying a calculated cost-to-retail ratio to the retail value of ending inventory. The value of our inventory on the balance sheet is then reduced by a charge to cost of sales for retail inventory markdowns taken on the selling floor. To determine if the retail value of our inventory should be marked down, we consider current and anticipated demand, customer preferences, age of the merchandise and fashion trends. We reserve for obsolescence based on historical trends and specific identification.</w:t>
      </w:r>
    </w:p>
    <w:p>
      <w:pPr>
        <w:spacing w:after="0" w:line="12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Periodic physical inventories are taken at our full-line stores, distribution centers and Nordstrom Racks, and inventory records are adjusted accordingly. We evaluate and determine our shrinkage rate using the most recent physical inventory and historical results as the basis for the shrinkage reserve following each physical inventory cycle and reporting date. The shrinkage reserve is based on a percentage of sales.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Land, Property and Equipment</w:t>
      </w:r>
    </w:p>
    <w:p>
      <w:pPr>
        <w:spacing w:after="0" w:line="27" w:lineRule="exact"/>
        <w:rPr>
          <w:sz w:val="20"/>
          <w:szCs w:val="20"/>
          <w:color w:val="auto"/>
        </w:rPr>
      </w:pPr>
    </w:p>
    <w:p>
      <w:pPr>
        <w:jc w:val="both"/>
        <w:ind w:right="120"/>
        <w:spacing w:after="0" w:line="255" w:lineRule="auto"/>
        <w:rPr>
          <w:sz w:val="20"/>
          <w:szCs w:val="20"/>
          <w:color w:val="auto"/>
        </w:rPr>
      </w:pPr>
      <w:r>
        <w:rPr>
          <w:rFonts w:ascii="Arial" w:cs="Arial" w:eastAsia="Arial" w:hAnsi="Arial"/>
          <w:sz w:val="18"/>
          <w:szCs w:val="18"/>
          <w:color w:val="auto"/>
        </w:rPr>
        <w:t>Land is recorded at historical cost, while property and equipment are recorded at cost less accumulated depreciation and amortization. Capitalized software includes the costs of developing or obtaining internal-use software, including external direct costs of materials and services and internal payroll costs related to the software project.</w:t>
      </w:r>
    </w:p>
    <w:p>
      <w:pPr>
        <w:spacing w:after="0" w:line="136" w:lineRule="exact"/>
        <w:rPr>
          <w:sz w:val="20"/>
          <w:szCs w:val="20"/>
          <w:color w:val="auto"/>
        </w:rPr>
      </w:pPr>
    </w:p>
    <w:p>
      <w:pPr>
        <w:jc w:val="both"/>
        <w:ind w:right="120"/>
        <w:spacing w:after="0" w:line="277" w:lineRule="auto"/>
        <w:rPr>
          <w:sz w:val="20"/>
          <w:szCs w:val="20"/>
          <w:color w:val="auto"/>
        </w:rPr>
      </w:pPr>
      <w:r>
        <w:rPr>
          <w:rFonts w:ascii="Arial" w:cs="Arial" w:eastAsia="Arial" w:hAnsi="Arial"/>
          <w:sz w:val="18"/>
          <w:szCs w:val="18"/>
          <w:color w:val="auto"/>
        </w:rPr>
        <w:t>We capitalize interest on construction in progress and software projects during the period in which expenditures have been made, activities are in progress to prepare the asset for its intended use and actual interest costs are being incurred.</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1400"/>
          </w:cols>
          <w:pgMar w:left="240" w:top="126" w:right="259" w:bottom="1440" w:gutter="0" w:footer="0" w:header="0"/>
        </w:sectPr>
      </w:pPr>
    </w:p>
    <w:bookmarkStart w:id="45" w:name="page46"/>
    <w:bookmarkEnd w:id="45"/>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Nordstrom, Inc.</w:t>
      </w:r>
    </w:p>
    <w:p>
      <w:pPr>
        <w:spacing w:after="0" w:line="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rPr>
          <w:sz w:val="20"/>
          <w:szCs w:val="20"/>
          <w:color w:val="auto"/>
        </w:rPr>
      </w:pPr>
      <w:r>
        <w:rPr>
          <w:rFonts w:ascii="Arial" w:cs="Arial" w:eastAsia="Arial" w:hAnsi="Arial"/>
          <w:sz w:val="18"/>
          <w:szCs w:val="18"/>
          <w:color w:val="auto"/>
        </w:rPr>
        <w:t>Dollar and share amounts in millions except per share, per option and per unit amounts</w:t>
      </w:r>
    </w:p>
    <w:p>
      <w:pPr>
        <w:spacing w:after="0" w:line="200" w:lineRule="exact"/>
        <w:rPr>
          <w:sz w:val="20"/>
          <w:szCs w:val="20"/>
          <w:color w:val="auto"/>
        </w:rPr>
      </w:pPr>
    </w:p>
    <w:p>
      <w:pPr>
        <w:spacing w:after="0" w:line="38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Depreciation and amortization are computed using the straight-line method over the asset’s estimated useful life, which is determined by asset category as follows: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160" w:type="dxa"/>
            <w:vAlign w:val="bottom"/>
          </w:tcPr>
          <w:p>
            <w:pPr>
              <w:ind w:left="40"/>
              <w:spacing w:after="0"/>
              <w:rPr>
                <w:sz w:val="20"/>
                <w:szCs w:val="20"/>
                <w:color w:val="auto"/>
              </w:rPr>
            </w:pPr>
            <w:r>
              <w:rPr>
                <w:rFonts w:ascii="Arial" w:cs="Arial" w:eastAsia="Arial" w:hAnsi="Arial"/>
                <w:sz w:val="16"/>
                <w:szCs w:val="16"/>
                <w:b w:val="1"/>
                <w:bCs w:val="1"/>
                <w:color w:val="auto"/>
              </w:rPr>
              <w:t>Asset</w:t>
            </w:r>
          </w:p>
        </w:tc>
        <w:tc>
          <w:tcPr>
            <w:tcW w:w="5240" w:type="dxa"/>
            <w:vAlign w:val="bottom"/>
          </w:tcPr>
          <w:p>
            <w:pPr>
              <w:jc w:val="right"/>
              <w:spacing w:after="0"/>
              <w:rPr>
                <w:sz w:val="20"/>
                <w:szCs w:val="20"/>
                <w:color w:val="auto"/>
              </w:rPr>
            </w:pPr>
            <w:r>
              <w:rPr>
                <w:rFonts w:ascii="Arial" w:cs="Arial" w:eastAsia="Arial" w:hAnsi="Arial"/>
                <w:sz w:val="16"/>
                <w:szCs w:val="16"/>
                <w:b w:val="1"/>
                <w:bCs w:val="1"/>
                <w:color w:val="auto"/>
              </w:rPr>
              <w:t>Life (in years)</w:t>
            </w:r>
          </w:p>
        </w:tc>
      </w:tr>
      <w:tr>
        <w:trPr>
          <w:trHeight w:val="33"/>
        </w:trPr>
        <w:tc>
          <w:tcPr>
            <w:tcW w:w="6160" w:type="dxa"/>
            <w:vAlign w:val="bottom"/>
            <w:tcBorders>
              <w:bottom w:val="single" w:sz="8" w:color="auto"/>
            </w:tcBorders>
          </w:tcPr>
          <w:p>
            <w:pPr>
              <w:spacing w:after="0"/>
              <w:rPr>
                <w:sz w:val="2"/>
                <w:szCs w:val="2"/>
                <w:color w:val="auto"/>
              </w:rPr>
            </w:pPr>
          </w:p>
        </w:tc>
        <w:tc>
          <w:tcPr>
            <w:tcW w:w="5240" w:type="dxa"/>
            <w:vAlign w:val="bottom"/>
            <w:tcBorders>
              <w:bottom w:val="single" w:sz="8" w:color="auto"/>
            </w:tcBorders>
          </w:tcPr>
          <w:p>
            <w:pPr>
              <w:spacing w:after="0"/>
              <w:rPr>
                <w:sz w:val="2"/>
                <w:szCs w:val="2"/>
                <w:color w:val="auto"/>
              </w:rPr>
            </w:pPr>
          </w:p>
        </w:tc>
      </w:tr>
      <w:tr>
        <w:trPr>
          <w:trHeight w:val="230"/>
        </w:trPr>
        <w:tc>
          <w:tcPr>
            <w:tcW w:w="6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Buildings and improvements</w:t>
            </w:r>
          </w:p>
        </w:tc>
        <w:tc>
          <w:tcPr>
            <w:tcW w:w="5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 – 40</w:t>
            </w:r>
          </w:p>
        </w:tc>
      </w:tr>
      <w:tr>
        <w:trPr>
          <w:trHeight w:val="224"/>
        </w:trPr>
        <w:tc>
          <w:tcPr>
            <w:tcW w:w="6160" w:type="dxa"/>
            <w:vAlign w:val="bottom"/>
          </w:tcPr>
          <w:p>
            <w:pPr>
              <w:ind w:left="40"/>
              <w:spacing w:after="0"/>
              <w:rPr>
                <w:sz w:val="20"/>
                <w:szCs w:val="20"/>
                <w:color w:val="auto"/>
              </w:rPr>
            </w:pPr>
            <w:r>
              <w:rPr>
                <w:rFonts w:ascii="Arial" w:cs="Arial" w:eastAsia="Arial" w:hAnsi="Arial"/>
                <w:sz w:val="16"/>
                <w:szCs w:val="16"/>
                <w:color w:val="auto"/>
              </w:rPr>
              <w:t>Store fixtures and equipment</w:t>
            </w:r>
          </w:p>
        </w:tc>
        <w:tc>
          <w:tcPr>
            <w:tcW w:w="5240" w:type="dxa"/>
            <w:vAlign w:val="bottom"/>
          </w:tcPr>
          <w:p>
            <w:pPr>
              <w:jc w:val="right"/>
              <w:spacing w:after="0"/>
              <w:rPr>
                <w:sz w:val="20"/>
                <w:szCs w:val="20"/>
                <w:color w:val="auto"/>
              </w:rPr>
            </w:pPr>
            <w:r>
              <w:rPr>
                <w:rFonts w:ascii="Arial" w:cs="Arial" w:eastAsia="Arial" w:hAnsi="Arial"/>
                <w:sz w:val="16"/>
                <w:szCs w:val="16"/>
                <w:color w:val="auto"/>
              </w:rPr>
              <w:t>3 – 15</w:t>
            </w:r>
          </w:p>
        </w:tc>
      </w:tr>
      <w:tr>
        <w:trPr>
          <w:trHeight w:val="33"/>
        </w:trPr>
        <w:tc>
          <w:tcPr>
            <w:tcW w:w="6160" w:type="dxa"/>
            <w:vAlign w:val="bottom"/>
          </w:tcPr>
          <w:p>
            <w:pPr>
              <w:spacing w:after="0"/>
              <w:rPr>
                <w:sz w:val="2"/>
                <w:szCs w:val="2"/>
                <w:color w:val="auto"/>
              </w:rPr>
            </w:pPr>
          </w:p>
        </w:tc>
        <w:tc>
          <w:tcPr>
            <w:tcW w:w="5240" w:type="dxa"/>
            <w:vAlign w:val="bottom"/>
          </w:tcPr>
          <w:p>
            <w:pPr>
              <w:spacing w:after="0"/>
              <w:rPr>
                <w:sz w:val="2"/>
                <w:szCs w:val="2"/>
                <w:color w:val="auto"/>
              </w:rPr>
            </w:pPr>
          </w:p>
        </w:tc>
      </w:tr>
      <w:tr>
        <w:trPr>
          <w:trHeight w:val="237"/>
        </w:trPr>
        <w:tc>
          <w:tcPr>
            <w:tcW w:w="6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Leasehold improvements</w:t>
            </w:r>
          </w:p>
        </w:tc>
        <w:tc>
          <w:tcPr>
            <w:tcW w:w="5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 – 40</w:t>
            </w:r>
          </w:p>
        </w:tc>
      </w:tr>
      <w:tr>
        <w:trPr>
          <w:trHeight w:val="224"/>
        </w:trPr>
        <w:tc>
          <w:tcPr>
            <w:tcW w:w="6160" w:type="dxa"/>
            <w:vAlign w:val="bottom"/>
          </w:tcPr>
          <w:p>
            <w:pPr>
              <w:ind w:left="40"/>
              <w:spacing w:after="0"/>
              <w:rPr>
                <w:sz w:val="20"/>
                <w:szCs w:val="20"/>
                <w:color w:val="auto"/>
              </w:rPr>
            </w:pPr>
            <w:r>
              <w:rPr>
                <w:rFonts w:ascii="Arial" w:cs="Arial" w:eastAsia="Arial" w:hAnsi="Arial"/>
                <w:sz w:val="16"/>
                <w:szCs w:val="16"/>
                <w:color w:val="auto"/>
              </w:rPr>
              <w:t>Capitalized software</w:t>
            </w:r>
          </w:p>
        </w:tc>
        <w:tc>
          <w:tcPr>
            <w:tcW w:w="5240" w:type="dxa"/>
            <w:vAlign w:val="bottom"/>
          </w:tcPr>
          <w:p>
            <w:pPr>
              <w:jc w:val="right"/>
              <w:spacing w:after="0"/>
              <w:rPr>
                <w:sz w:val="20"/>
                <w:szCs w:val="20"/>
                <w:color w:val="auto"/>
              </w:rPr>
            </w:pPr>
            <w:r>
              <w:rPr>
                <w:rFonts w:ascii="Arial" w:cs="Arial" w:eastAsia="Arial" w:hAnsi="Arial"/>
                <w:sz w:val="16"/>
                <w:szCs w:val="16"/>
                <w:color w:val="auto"/>
              </w:rPr>
              <w:t>3 – 7</w:t>
            </w:r>
          </w:p>
        </w:tc>
      </w:tr>
      <w:tr>
        <w:trPr>
          <w:trHeight w:val="33"/>
        </w:trPr>
        <w:tc>
          <w:tcPr>
            <w:tcW w:w="6160" w:type="dxa"/>
            <w:vAlign w:val="bottom"/>
            <w:tcBorders>
              <w:bottom w:val="single" w:sz="8" w:color="auto"/>
            </w:tcBorders>
          </w:tcPr>
          <w:p>
            <w:pPr>
              <w:spacing w:after="0"/>
              <w:rPr>
                <w:sz w:val="2"/>
                <w:szCs w:val="2"/>
                <w:color w:val="auto"/>
              </w:rPr>
            </w:pPr>
          </w:p>
        </w:tc>
        <w:tc>
          <w:tcPr>
            <w:tcW w:w="524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Leasehold improvements and leased property and equipment that are purchased at the inception of the lease, or during the lease term, are amortized over the shorter of the lease term or the asset life. Lease terms include the fixed, non-cancellable term of a lease, plus any renewal periods determined to be reasonably assured.</w:t>
      </w:r>
    </w:p>
    <w:p>
      <w:pPr>
        <w:spacing w:after="0" w:line="127" w:lineRule="exact"/>
        <w:rPr>
          <w:sz w:val="20"/>
          <w:szCs w:val="20"/>
          <w:color w:val="auto"/>
        </w:rPr>
      </w:pPr>
    </w:p>
    <w:p>
      <w:pPr>
        <w:ind w:right="600"/>
        <w:spacing w:after="0" w:line="352" w:lineRule="auto"/>
        <w:rPr>
          <w:sz w:val="20"/>
          <w:szCs w:val="20"/>
          <w:color w:val="auto"/>
        </w:rPr>
      </w:pPr>
      <w:r>
        <w:rPr>
          <w:rFonts w:ascii="Arial" w:cs="Arial" w:eastAsia="Arial" w:hAnsi="Arial"/>
          <w:sz w:val="18"/>
          <w:szCs w:val="18"/>
          <w:color w:val="auto"/>
        </w:rPr>
        <w:t xml:space="preserve">We receive contributions from vendors for the construction of certain fixtures in our stores. These contributions offset the related capital expenditures. </w:t>
      </w:r>
      <w:r>
        <w:rPr>
          <w:rFonts w:ascii="Arial" w:cs="Arial" w:eastAsia="Arial" w:hAnsi="Arial"/>
          <w:sz w:val="18"/>
          <w:szCs w:val="18"/>
          <w:b w:val="1"/>
          <w:bCs w:val="1"/>
          <w:color w:val="auto"/>
        </w:rPr>
        <w:t>Goodwill</w:t>
      </w:r>
    </w:p>
    <w:p>
      <w:pPr>
        <w:spacing w:after="0" w:line="1" w:lineRule="exact"/>
        <w:rPr>
          <w:sz w:val="20"/>
          <w:szCs w:val="20"/>
          <w:color w:val="auto"/>
        </w:rPr>
      </w:pPr>
    </w:p>
    <w:p>
      <w:pPr>
        <w:ind w:right="260"/>
        <w:spacing w:after="0" w:line="290" w:lineRule="auto"/>
        <w:rPr>
          <w:sz w:val="20"/>
          <w:szCs w:val="20"/>
          <w:color w:val="auto"/>
        </w:rPr>
      </w:pPr>
      <w:r>
        <w:rPr>
          <w:rFonts w:ascii="Arial" w:cs="Arial" w:eastAsia="Arial" w:hAnsi="Arial"/>
          <w:sz w:val="16"/>
          <w:szCs w:val="16"/>
          <w:color w:val="auto"/>
        </w:rPr>
        <w:t>Goodwill represents the excess of acquisition cost over the fair value of the related net assets acquired and is not subject to amortization. We review our goodwill annually for impairment or when circumstances indicate that the carrying value may exceed the fair value. We perform this evaluation at the reporting unit level, comprised of the principal business units within our Retail segment, through the application of a two-step fair value test. The first step compares the carrying value of the reporting unit to its estimated fair value, which is based on the expected present value of future cash flows (income approach), comparable public companies and acquisitions (market approach) or a combination of both. If fair value is lower than the carrying value, then a second step is performed to quantify the amount of the impairment. The following summarizes our goodwill activity for the past three fiscal years: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340" w:type="dxa"/>
            <w:vAlign w:val="bottom"/>
            <w:tcBorders>
              <w:bottom w:val="single" w:sz="8" w:color="auto"/>
            </w:tcBorders>
          </w:tcPr>
          <w:p>
            <w:pPr>
              <w:spacing w:after="0"/>
              <w:rPr>
                <w:sz w:val="21"/>
                <w:szCs w:val="21"/>
                <w:color w:val="auto"/>
              </w:rPr>
            </w:pPr>
          </w:p>
        </w:tc>
        <w:tc>
          <w:tcPr>
            <w:tcW w:w="278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Trunk Club</w:t>
            </w:r>
          </w:p>
        </w:tc>
        <w:tc>
          <w:tcPr>
            <w:tcW w:w="208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HauteLook</w:t>
            </w:r>
          </w:p>
        </w:tc>
        <w:tc>
          <w:tcPr>
            <w:tcW w:w="198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b w:val="1"/>
                <w:bCs w:val="1"/>
                <w:color w:val="auto"/>
              </w:rPr>
              <w:t>Other</w:t>
            </w:r>
            <w:r>
              <w:rPr>
                <w:rFonts w:ascii="Arial" w:cs="Arial" w:eastAsia="Arial" w:hAnsi="Arial"/>
                <w:sz w:val="21"/>
                <w:szCs w:val="21"/>
                <w:color w:val="auto"/>
                <w:vertAlign w:val="superscript"/>
              </w:rPr>
              <w:t>1</w:t>
            </w: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Total</w:t>
            </w:r>
          </w:p>
        </w:tc>
      </w:tr>
      <w:tr>
        <w:trPr>
          <w:trHeight w:val="244"/>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at February 1, 2014</w:t>
            </w:r>
          </w:p>
        </w:tc>
        <w:tc>
          <w:tcPr>
            <w:tcW w:w="2780" w:type="dxa"/>
            <w:vAlign w:val="bottom"/>
            <w:tcBorders>
              <w:bottom w:val="single" w:sz="8" w:color="CCEEFF"/>
            </w:tcBorders>
            <w:shd w:val="clear" w:color="auto" w:fill="CCEEFF"/>
          </w:tcPr>
          <w:p>
            <w:pPr>
              <w:jc w:val="right"/>
              <w:ind w:right="539"/>
              <w:spacing w:after="0"/>
              <w:rPr>
                <w:sz w:val="20"/>
                <w:szCs w:val="20"/>
                <w:color w:val="auto"/>
              </w:rPr>
            </w:pPr>
            <w:r>
              <w:rPr>
                <w:rFonts w:ascii="Arial" w:cs="Arial" w:eastAsia="Arial" w:hAnsi="Arial"/>
                <w:sz w:val="16"/>
                <w:szCs w:val="16"/>
                <w:color w:val="auto"/>
              </w:rPr>
              <w:t>$—</w:t>
            </w:r>
          </w:p>
        </w:tc>
        <w:tc>
          <w:tcPr>
            <w:tcW w:w="2080" w:type="dxa"/>
            <w:vAlign w:val="bottom"/>
            <w:tcBorders>
              <w:bottom w:val="single" w:sz="8" w:color="CCEEFF"/>
            </w:tcBorders>
            <w:shd w:val="clear" w:color="auto" w:fill="CCEEFF"/>
          </w:tcPr>
          <w:p>
            <w:pPr>
              <w:jc w:val="right"/>
              <w:ind w:right="639"/>
              <w:spacing w:after="0"/>
              <w:rPr>
                <w:sz w:val="20"/>
                <w:szCs w:val="20"/>
                <w:color w:val="auto"/>
              </w:rPr>
            </w:pPr>
            <w:r>
              <w:rPr>
                <w:rFonts w:ascii="Arial" w:cs="Arial" w:eastAsia="Arial" w:hAnsi="Arial"/>
                <w:sz w:val="16"/>
                <w:szCs w:val="16"/>
                <w:color w:val="auto"/>
              </w:rPr>
              <w:t>$121</w:t>
            </w:r>
          </w:p>
        </w:tc>
        <w:tc>
          <w:tcPr>
            <w:tcW w:w="198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6"/>
                <w:szCs w:val="16"/>
                <w:color w:val="auto"/>
              </w:rPr>
              <w:t>$53</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$174</w:t>
            </w:r>
          </w:p>
        </w:tc>
      </w:tr>
      <w:tr>
        <w:trPr>
          <w:trHeight w:val="237"/>
        </w:trPr>
        <w:tc>
          <w:tcPr>
            <w:tcW w:w="3340" w:type="dxa"/>
            <w:vAlign w:val="bottom"/>
          </w:tcPr>
          <w:p>
            <w:pPr>
              <w:ind w:left="40"/>
              <w:spacing w:after="0"/>
              <w:rPr>
                <w:sz w:val="20"/>
                <w:szCs w:val="20"/>
                <w:color w:val="auto"/>
              </w:rPr>
            </w:pPr>
            <w:r>
              <w:rPr>
                <w:rFonts w:ascii="Arial" w:cs="Arial" w:eastAsia="Arial" w:hAnsi="Arial"/>
                <w:sz w:val="16"/>
                <w:szCs w:val="16"/>
                <w:color w:val="auto"/>
              </w:rPr>
              <w:t>Additions</w:t>
            </w:r>
          </w:p>
        </w:tc>
        <w:tc>
          <w:tcPr>
            <w:tcW w:w="2780" w:type="dxa"/>
            <w:vAlign w:val="bottom"/>
          </w:tcPr>
          <w:p>
            <w:pPr>
              <w:jc w:val="right"/>
              <w:ind w:right="539"/>
              <w:spacing w:after="0"/>
              <w:rPr>
                <w:sz w:val="20"/>
                <w:szCs w:val="20"/>
                <w:color w:val="auto"/>
              </w:rPr>
            </w:pPr>
            <w:r>
              <w:rPr>
                <w:rFonts w:ascii="Arial" w:cs="Arial" w:eastAsia="Arial" w:hAnsi="Arial"/>
                <w:sz w:val="16"/>
                <w:szCs w:val="16"/>
                <w:color w:val="auto"/>
              </w:rPr>
              <w:t>261</w:t>
            </w:r>
          </w:p>
        </w:tc>
        <w:tc>
          <w:tcPr>
            <w:tcW w:w="2080" w:type="dxa"/>
            <w:vAlign w:val="bottom"/>
          </w:tcPr>
          <w:p>
            <w:pPr>
              <w:jc w:val="right"/>
              <w:ind w:right="639"/>
              <w:spacing w:after="0"/>
              <w:rPr>
                <w:sz w:val="20"/>
                <w:szCs w:val="20"/>
                <w:color w:val="auto"/>
              </w:rPr>
            </w:pPr>
            <w:r>
              <w:rPr>
                <w:rFonts w:ascii="Arial" w:cs="Arial" w:eastAsia="Arial" w:hAnsi="Arial"/>
                <w:sz w:val="16"/>
                <w:szCs w:val="16"/>
                <w:color w:val="auto"/>
              </w:rPr>
              <w:t>—</w:t>
            </w:r>
          </w:p>
        </w:tc>
        <w:tc>
          <w:tcPr>
            <w:tcW w:w="1980" w:type="dxa"/>
            <w:vAlign w:val="bottom"/>
          </w:tcPr>
          <w:p>
            <w:pPr>
              <w:jc w:val="right"/>
              <w:ind w:right="69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261</w:t>
            </w:r>
          </w:p>
        </w:tc>
      </w:tr>
      <w:tr>
        <w:trPr>
          <w:trHeight w:val="33"/>
        </w:trPr>
        <w:tc>
          <w:tcPr>
            <w:tcW w:w="334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at January 31, 2015</w:t>
            </w:r>
          </w:p>
        </w:tc>
        <w:tc>
          <w:tcPr>
            <w:tcW w:w="2780" w:type="dxa"/>
            <w:vAlign w:val="bottom"/>
            <w:tcBorders>
              <w:bottom w:val="single" w:sz="8" w:color="CCEEFF"/>
            </w:tcBorders>
            <w:shd w:val="clear" w:color="auto" w:fill="CCEEFF"/>
          </w:tcPr>
          <w:p>
            <w:pPr>
              <w:jc w:val="right"/>
              <w:ind w:right="539"/>
              <w:spacing w:after="0"/>
              <w:rPr>
                <w:sz w:val="20"/>
                <w:szCs w:val="20"/>
                <w:color w:val="auto"/>
              </w:rPr>
            </w:pPr>
            <w:r>
              <w:rPr>
                <w:rFonts w:ascii="Arial" w:cs="Arial" w:eastAsia="Arial" w:hAnsi="Arial"/>
                <w:sz w:val="16"/>
                <w:szCs w:val="16"/>
                <w:color w:val="auto"/>
              </w:rPr>
              <w:t>261</w:t>
            </w:r>
          </w:p>
        </w:tc>
        <w:tc>
          <w:tcPr>
            <w:tcW w:w="2080" w:type="dxa"/>
            <w:vAlign w:val="bottom"/>
            <w:tcBorders>
              <w:bottom w:val="single" w:sz="8" w:color="CCEEFF"/>
            </w:tcBorders>
            <w:shd w:val="clear" w:color="auto" w:fill="CCEEFF"/>
          </w:tcPr>
          <w:p>
            <w:pPr>
              <w:jc w:val="right"/>
              <w:ind w:right="639"/>
              <w:spacing w:after="0"/>
              <w:rPr>
                <w:sz w:val="20"/>
                <w:szCs w:val="20"/>
                <w:color w:val="auto"/>
              </w:rPr>
            </w:pPr>
            <w:r>
              <w:rPr>
                <w:rFonts w:ascii="Arial" w:cs="Arial" w:eastAsia="Arial" w:hAnsi="Arial"/>
                <w:sz w:val="16"/>
                <w:szCs w:val="16"/>
                <w:color w:val="auto"/>
              </w:rPr>
              <w:t>121</w:t>
            </w:r>
          </w:p>
        </w:tc>
        <w:tc>
          <w:tcPr>
            <w:tcW w:w="198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6"/>
                <w:szCs w:val="16"/>
                <w:color w:val="auto"/>
              </w:rPr>
              <w:t>53</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435</w:t>
            </w:r>
          </w:p>
        </w:tc>
      </w:tr>
      <w:tr>
        <w:trPr>
          <w:trHeight w:val="237"/>
        </w:trPr>
        <w:tc>
          <w:tcPr>
            <w:tcW w:w="3340" w:type="dxa"/>
            <w:vAlign w:val="bottom"/>
          </w:tcPr>
          <w:p>
            <w:pPr>
              <w:ind w:left="40"/>
              <w:spacing w:after="0"/>
              <w:rPr>
                <w:sz w:val="20"/>
                <w:szCs w:val="20"/>
                <w:color w:val="auto"/>
              </w:rPr>
            </w:pPr>
            <w:r>
              <w:rPr>
                <w:rFonts w:ascii="Arial" w:cs="Arial" w:eastAsia="Arial" w:hAnsi="Arial"/>
                <w:sz w:val="16"/>
                <w:szCs w:val="16"/>
                <w:color w:val="auto"/>
              </w:rPr>
              <w:t>Additions</w:t>
            </w:r>
          </w:p>
        </w:tc>
        <w:tc>
          <w:tcPr>
            <w:tcW w:w="2780" w:type="dxa"/>
            <w:vAlign w:val="bottom"/>
          </w:tcPr>
          <w:p>
            <w:pPr>
              <w:jc w:val="right"/>
              <w:ind w:right="539"/>
              <w:spacing w:after="0"/>
              <w:rPr>
                <w:sz w:val="20"/>
                <w:szCs w:val="20"/>
                <w:color w:val="auto"/>
              </w:rPr>
            </w:pPr>
            <w:r>
              <w:rPr>
                <w:rFonts w:ascii="Arial" w:cs="Arial" w:eastAsia="Arial" w:hAnsi="Arial"/>
                <w:sz w:val="16"/>
                <w:szCs w:val="16"/>
                <w:color w:val="auto"/>
              </w:rPr>
              <w:t>—</w:t>
            </w:r>
          </w:p>
        </w:tc>
        <w:tc>
          <w:tcPr>
            <w:tcW w:w="2080" w:type="dxa"/>
            <w:vAlign w:val="bottom"/>
          </w:tcPr>
          <w:p>
            <w:pPr>
              <w:jc w:val="right"/>
              <w:ind w:right="639"/>
              <w:spacing w:after="0"/>
              <w:rPr>
                <w:sz w:val="20"/>
                <w:szCs w:val="20"/>
                <w:color w:val="auto"/>
              </w:rPr>
            </w:pPr>
            <w:r>
              <w:rPr>
                <w:rFonts w:ascii="Arial" w:cs="Arial" w:eastAsia="Arial" w:hAnsi="Arial"/>
                <w:sz w:val="16"/>
                <w:szCs w:val="16"/>
                <w:color w:val="auto"/>
              </w:rPr>
              <w:t>—</w:t>
            </w:r>
          </w:p>
        </w:tc>
        <w:tc>
          <w:tcPr>
            <w:tcW w:w="1980" w:type="dxa"/>
            <w:vAlign w:val="bottom"/>
          </w:tcPr>
          <w:p>
            <w:pPr>
              <w:jc w:val="right"/>
              <w:ind w:right="69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334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at January 30, 2016</w:t>
            </w:r>
          </w:p>
        </w:tc>
        <w:tc>
          <w:tcPr>
            <w:tcW w:w="2780" w:type="dxa"/>
            <w:vAlign w:val="bottom"/>
            <w:tcBorders>
              <w:bottom w:val="single" w:sz="8" w:color="CCEEFF"/>
            </w:tcBorders>
            <w:shd w:val="clear" w:color="auto" w:fill="CCEEFF"/>
          </w:tcPr>
          <w:p>
            <w:pPr>
              <w:jc w:val="right"/>
              <w:ind w:right="539"/>
              <w:spacing w:after="0"/>
              <w:rPr>
                <w:sz w:val="20"/>
                <w:szCs w:val="20"/>
                <w:color w:val="auto"/>
              </w:rPr>
            </w:pPr>
            <w:r>
              <w:rPr>
                <w:rFonts w:ascii="Arial" w:cs="Arial" w:eastAsia="Arial" w:hAnsi="Arial"/>
                <w:sz w:val="16"/>
                <w:szCs w:val="16"/>
                <w:color w:val="auto"/>
              </w:rPr>
              <w:t>261</w:t>
            </w:r>
          </w:p>
        </w:tc>
        <w:tc>
          <w:tcPr>
            <w:tcW w:w="2080" w:type="dxa"/>
            <w:vAlign w:val="bottom"/>
            <w:tcBorders>
              <w:bottom w:val="single" w:sz="8" w:color="CCEEFF"/>
            </w:tcBorders>
            <w:shd w:val="clear" w:color="auto" w:fill="CCEEFF"/>
          </w:tcPr>
          <w:p>
            <w:pPr>
              <w:jc w:val="right"/>
              <w:ind w:right="639"/>
              <w:spacing w:after="0"/>
              <w:rPr>
                <w:sz w:val="20"/>
                <w:szCs w:val="20"/>
                <w:color w:val="auto"/>
              </w:rPr>
            </w:pPr>
            <w:r>
              <w:rPr>
                <w:rFonts w:ascii="Arial" w:cs="Arial" w:eastAsia="Arial" w:hAnsi="Arial"/>
                <w:sz w:val="16"/>
                <w:szCs w:val="16"/>
                <w:color w:val="auto"/>
              </w:rPr>
              <w:t>121</w:t>
            </w:r>
          </w:p>
        </w:tc>
        <w:tc>
          <w:tcPr>
            <w:tcW w:w="198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6"/>
                <w:szCs w:val="16"/>
                <w:color w:val="auto"/>
              </w:rPr>
              <w:t>53</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435</w:t>
            </w:r>
          </w:p>
        </w:tc>
      </w:tr>
      <w:tr>
        <w:trPr>
          <w:trHeight w:val="237"/>
        </w:trPr>
        <w:tc>
          <w:tcPr>
            <w:tcW w:w="3340" w:type="dxa"/>
            <w:vAlign w:val="bottom"/>
          </w:tcPr>
          <w:p>
            <w:pPr>
              <w:ind w:left="40"/>
              <w:spacing w:after="0"/>
              <w:rPr>
                <w:sz w:val="20"/>
                <w:szCs w:val="20"/>
                <w:color w:val="auto"/>
              </w:rPr>
            </w:pPr>
            <w:r>
              <w:rPr>
                <w:rFonts w:ascii="Arial" w:cs="Arial" w:eastAsia="Arial" w:hAnsi="Arial"/>
                <w:sz w:val="16"/>
                <w:szCs w:val="16"/>
                <w:color w:val="auto"/>
              </w:rPr>
              <w:t>Impairment</w:t>
            </w:r>
          </w:p>
        </w:tc>
        <w:tc>
          <w:tcPr>
            <w:tcW w:w="2780" w:type="dxa"/>
            <w:vAlign w:val="bottom"/>
          </w:tcPr>
          <w:p>
            <w:pPr>
              <w:jc w:val="right"/>
              <w:ind w:right="479"/>
              <w:spacing w:after="0"/>
              <w:rPr>
                <w:sz w:val="20"/>
                <w:szCs w:val="20"/>
                <w:color w:val="auto"/>
              </w:rPr>
            </w:pPr>
            <w:r>
              <w:rPr>
                <w:rFonts w:ascii="Arial" w:cs="Arial" w:eastAsia="Arial" w:hAnsi="Arial"/>
                <w:sz w:val="16"/>
                <w:szCs w:val="16"/>
                <w:color w:val="auto"/>
              </w:rPr>
              <w:t>(197)</w:t>
            </w:r>
          </w:p>
        </w:tc>
        <w:tc>
          <w:tcPr>
            <w:tcW w:w="2080" w:type="dxa"/>
            <w:vAlign w:val="bottom"/>
          </w:tcPr>
          <w:p>
            <w:pPr>
              <w:jc w:val="right"/>
              <w:ind w:right="639"/>
              <w:spacing w:after="0"/>
              <w:rPr>
                <w:sz w:val="20"/>
                <w:szCs w:val="20"/>
                <w:color w:val="auto"/>
              </w:rPr>
            </w:pPr>
            <w:r>
              <w:rPr>
                <w:rFonts w:ascii="Arial" w:cs="Arial" w:eastAsia="Arial" w:hAnsi="Arial"/>
                <w:sz w:val="16"/>
                <w:szCs w:val="16"/>
                <w:color w:val="auto"/>
              </w:rPr>
              <w:t>—</w:t>
            </w:r>
          </w:p>
        </w:tc>
        <w:tc>
          <w:tcPr>
            <w:tcW w:w="1980" w:type="dxa"/>
            <w:vAlign w:val="bottom"/>
          </w:tcPr>
          <w:p>
            <w:pPr>
              <w:jc w:val="right"/>
              <w:ind w:right="699"/>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(197)</w:t>
            </w:r>
          </w:p>
        </w:tc>
      </w:tr>
      <w:tr>
        <w:trPr>
          <w:trHeight w:val="33"/>
        </w:trPr>
        <w:tc>
          <w:tcPr>
            <w:tcW w:w="334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1"/>
        </w:trPr>
        <w:tc>
          <w:tcPr>
            <w:tcW w:w="33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January 28, 2017</w:t>
            </w:r>
          </w:p>
        </w:tc>
        <w:tc>
          <w:tcPr>
            <w:tcW w:w="2780" w:type="dxa"/>
            <w:vAlign w:val="bottom"/>
            <w:shd w:val="clear" w:color="auto" w:fill="CCEEFF"/>
          </w:tcPr>
          <w:p>
            <w:pPr>
              <w:jc w:val="right"/>
              <w:ind w:right="539"/>
              <w:spacing w:after="0"/>
              <w:rPr>
                <w:sz w:val="20"/>
                <w:szCs w:val="20"/>
                <w:color w:val="auto"/>
              </w:rPr>
            </w:pPr>
            <w:r>
              <w:rPr>
                <w:rFonts w:ascii="Arial" w:cs="Arial" w:eastAsia="Arial" w:hAnsi="Arial"/>
                <w:sz w:val="16"/>
                <w:szCs w:val="16"/>
                <w:b w:val="1"/>
                <w:bCs w:val="1"/>
                <w:color w:val="auto"/>
              </w:rPr>
              <w:t>$64</w:t>
            </w:r>
          </w:p>
        </w:tc>
        <w:tc>
          <w:tcPr>
            <w:tcW w:w="2080" w:type="dxa"/>
            <w:vAlign w:val="bottom"/>
            <w:shd w:val="clear" w:color="auto" w:fill="CCEEFF"/>
          </w:tcPr>
          <w:p>
            <w:pPr>
              <w:jc w:val="right"/>
              <w:ind w:right="639"/>
              <w:spacing w:after="0"/>
              <w:rPr>
                <w:sz w:val="20"/>
                <w:szCs w:val="20"/>
                <w:color w:val="auto"/>
              </w:rPr>
            </w:pPr>
            <w:r>
              <w:rPr>
                <w:rFonts w:ascii="Arial" w:cs="Arial" w:eastAsia="Arial" w:hAnsi="Arial"/>
                <w:sz w:val="16"/>
                <w:szCs w:val="16"/>
                <w:b w:val="1"/>
                <w:bCs w:val="1"/>
                <w:color w:val="auto"/>
              </w:rPr>
              <w:t>$121</w:t>
            </w:r>
          </w:p>
        </w:tc>
        <w:tc>
          <w:tcPr>
            <w:tcW w:w="1980" w:type="dxa"/>
            <w:vAlign w:val="bottom"/>
            <w:shd w:val="clear" w:color="auto" w:fill="CCEEFF"/>
          </w:tcPr>
          <w:p>
            <w:pPr>
              <w:jc w:val="right"/>
              <w:ind w:right="699"/>
              <w:spacing w:after="0"/>
              <w:rPr>
                <w:sz w:val="20"/>
                <w:szCs w:val="20"/>
                <w:color w:val="auto"/>
              </w:rPr>
            </w:pPr>
            <w:r>
              <w:rPr>
                <w:rFonts w:ascii="Arial" w:cs="Arial" w:eastAsia="Arial" w:hAnsi="Arial"/>
                <w:sz w:val="16"/>
                <w:szCs w:val="16"/>
                <w:b w:val="1"/>
                <w:bCs w:val="1"/>
                <w:color w:val="auto"/>
              </w:rPr>
              <w:t>$53</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$238</w:t>
            </w:r>
          </w:p>
        </w:tc>
      </w:tr>
      <w:tr>
        <w:trPr>
          <w:trHeight w:val="33"/>
        </w:trPr>
        <w:tc>
          <w:tcPr>
            <w:tcW w:w="3340" w:type="dxa"/>
            <w:vAlign w:val="bottom"/>
            <w:shd w:val="clear" w:color="auto" w:fill="CCEEFF"/>
          </w:tcPr>
          <w:p>
            <w:pPr>
              <w:spacing w:after="0"/>
              <w:rPr>
                <w:sz w:val="2"/>
                <w:szCs w:val="2"/>
                <w:color w:val="auto"/>
              </w:rPr>
            </w:pPr>
          </w:p>
        </w:tc>
        <w:tc>
          <w:tcPr>
            <w:tcW w:w="2780" w:type="dxa"/>
            <w:vAlign w:val="bottom"/>
            <w:shd w:val="clear" w:color="auto" w:fill="CCEEFF"/>
          </w:tcPr>
          <w:p>
            <w:pPr>
              <w:spacing w:after="0"/>
              <w:rPr>
                <w:sz w:val="2"/>
                <w:szCs w:val="2"/>
                <w:color w:val="auto"/>
              </w:rPr>
            </w:pPr>
          </w:p>
        </w:tc>
        <w:tc>
          <w:tcPr>
            <w:tcW w:w="2080" w:type="dxa"/>
            <w:vAlign w:val="bottom"/>
            <w:shd w:val="clear" w:color="auto" w:fill="CCEEFF"/>
          </w:tcPr>
          <w:p>
            <w:pPr>
              <w:spacing w:after="0"/>
              <w:rPr>
                <w:sz w:val="2"/>
                <w:szCs w:val="2"/>
                <w:color w:val="auto"/>
              </w:rPr>
            </w:pPr>
          </w:p>
        </w:tc>
        <w:tc>
          <w:tcPr>
            <w:tcW w:w="198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80" w:hanging="72"/>
        <w:spacing w:after="0"/>
        <w:tabs>
          <w:tab w:leader="none" w:pos="80" w:val="left"/>
        </w:tabs>
        <w:numPr>
          <w:ilvl w:val="0"/>
          <w:numId w:val="35"/>
        </w:numPr>
        <w:rPr>
          <w:rFonts w:ascii="Arial" w:cs="Arial" w:eastAsia="Arial" w:hAnsi="Arial"/>
          <w:sz w:val="9"/>
          <w:szCs w:val="9"/>
          <w:color w:val="auto"/>
        </w:rPr>
      </w:pPr>
      <w:r>
        <w:rPr>
          <w:rFonts w:ascii="Arial" w:cs="Arial" w:eastAsia="Arial" w:hAnsi="Arial"/>
          <w:sz w:val="14"/>
          <w:szCs w:val="14"/>
          <w:color w:val="auto"/>
        </w:rPr>
        <w:t>Other includes Nordstrom.com and Jeffrey goodwill.</w:t>
      </w:r>
    </w:p>
    <w:p>
      <w:pPr>
        <w:spacing w:after="0" w:line="162"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The goodwill impairment charge of $197 for the year ended January 28, 2017 related to Trunk Club resulted from changes to the long-term operating plan that reflected lower expectations for growth and profitability than previous expectations (see Note 8: Fair Value Measurements).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Long-Lived Assets</w:t>
      </w:r>
    </w:p>
    <w:p>
      <w:pPr>
        <w:spacing w:after="0" w:line="2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When facts and circumstances indicate that the carrying values of long-lived assets, including buildings, equipment and amortizable intangible assets, may be impaired, we perform an evaluation of recoverability by comparing the carrying values of the net assets to their related projected undiscounted future cash flows, in addition to other quantitative and qualitative analyses.</w:t>
      </w:r>
    </w:p>
    <w:p>
      <w:pPr>
        <w:spacing w:after="0" w:line="13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Land, property and equipment are grouped at the lowest level at which there are identifiable cash flows when assessing impairment. Cash flows for our retail store assets are identified at the individual store level, while our intangible assets associated with HauteLook and Trunk Club are identified at their respective reporting unit levels. The assets recorded in connection with the credit card receivable transaction are individually evaluated against the anticipated cash flows under the program agreement (see Note 2: Credit Card Receivable Transaction).</w:t>
      </w:r>
    </w:p>
    <w:p>
      <w:pPr>
        <w:spacing w:after="0" w:line="133"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In 2015, our cash flow analyses resulted in retail store impairment charges of $24 and other various impairment losses of $23. The 2015 retail store impairment of $24 relates to our full-line store in Puerto Rico and was primarily driven by a challenging retail market in this territory. We did not record any material impairment losses for long-lived tangible or amortizable intangible assets in 2016 or 2014.</w:t>
      </w:r>
    </w:p>
    <w:p>
      <w:pPr>
        <w:spacing w:after="0" w:line="12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Amortization expense for acquired intangibles was $14, $16 and $10 in 2016, 2015 and 2014. Future amortization expense of acquired intangible assets as of January 28, 2017 are expected to be $11 in 2017, $7 in 2018, and $7 in 2019.</w:t>
      </w:r>
    </w:p>
    <w:p>
      <w:pPr>
        <w:sectPr>
          <w:pgSz w:w="11900" w:h="16838" w:orient="portrait"/>
          <w:cols w:equalWidth="0" w:num="1">
            <w:col w:w="11420"/>
          </w:cols>
          <w:pgMar w:left="240" w:top="126" w:right="239" w:bottom="1440" w:gutter="0" w:footer="0" w:header="0"/>
        </w:sectPr>
      </w:pPr>
    </w:p>
    <w:p>
      <w:pPr>
        <w:spacing w:after="0" w:line="364" w:lineRule="exact"/>
        <w:rPr>
          <w:sz w:val="20"/>
          <w:szCs w:val="20"/>
          <w:color w:val="auto"/>
        </w:rPr>
      </w:pPr>
    </w:p>
    <w:p>
      <w:pPr>
        <w:ind w:left="9580"/>
        <w:spacing w:after="0"/>
        <w:rPr>
          <w:sz w:val="20"/>
          <w:szCs w:val="20"/>
          <w:color w:val="auto"/>
        </w:rPr>
      </w:pPr>
      <w:r>
        <w:rPr>
          <w:rFonts w:ascii="Arial" w:cs="Arial" w:eastAsia="Arial" w:hAnsi="Arial"/>
          <w:sz w:val="11"/>
          <w:szCs w:val="11"/>
          <w:color w:val="auto"/>
        </w:rPr>
        <w:t xml:space="preserve">Nordstrom, Inc. and subsidiaries </w:t>
      </w:r>
      <w:r>
        <w:rPr>
          <w:rFonts w:ascii="Arial" w:cs="Arial" w:eastAsia="Arial" w:hAnsi="Arial"/>
          <w:sz w:val="14"/>
          <w:szCs w:val="14"/>
          <w:color w:val="auto"/>
        </w:rPr>
        <w:t>45</w:t>
      </w:r>
    </w:p>
    <w:p>
      <w:pPr>
        <w:sectPr>
          <w:pgSz w:w="11900" w:h="16838" w:orient="portrait"/>
          <w:cols w:equalWidth="0" w:num="1">
            <w:col w:w="11420"/>
          </w:cols>
          <w:pgMar w:left="240" w:top="126" w:right="239" w:bottom="1440" w:gutter="0" w:footer="0" w:header="0"/>
          <w:type w:val="continuous"/>
        </w:sectPr>
      </w:pPr>
    </w:p>
    <w:bookmarkStart w:id="46" w:name="page47"/>
    <w:bookmarkEnd w:id="46"/>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Nordstrom, Inc.</w:t>
      </w:r>
    </w:p>
    <w:p>
      <w:pPr>
        <w:spacing w:after="0" w:line="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rPr>
          <w:sz w:val="20"/>
          <w:szCs w:val="20"/>
          <w:color w:val="auto"/>
        </w:rPr>
      </w:pPr>
      <w:r>
        <w:rPr>
          <w:rFonts w:ascii="Arial" w:cs="Arial" w:eastAsia="Arial" w:hAnsi="Arial"/>
          <w:sz w:val="18"/>
          <w:szCs w:val="18"/>
          <w:color w:val="auto"/>
        </w:rPr>
        <w:t>Dollar and share amounts in millions except per share, per option and per unit amounts</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Self-Insurance</w:t>
      </w:r>
    </w:p>
    <w:p>
      <w:pPr>
        <w:spacing w:after="0" w:line="27" w:lineRule="exact"/>
        <w:rPr>
          <w:sz w:val="20"/>
          <w:szCs w:val="20"/>
          <w:color w:val="auto"/>
        </w:rPr>
      </w:pPr>
    </w:p>
    <w:p>
      <w:pPr>
        <w:ind w:right="320"/>
        <w:spacing w:after="0" w:line="255" w:lineRule="auto"/>
        <w:rPr>
          <w:sz w:val="20"/>
          <w:szCs w:val="20"/>
          <w:color w:val="auto"/>
        </w:rPr>
      </w:pPr>
      <w:r>
        <w:rPr>
          <w:rFonts w:ascii="Arial" w:cs="Arial" w:eastAsia="Arial" w:hAnsi="Arial"/>
          <w:sz w:val="18"/>
          <w:szCs w:val="18"/>
          <w:color w:val="auto"/>
        </w:rPr>
        <w:t>We retain a portion of the risk for certain losses related to employee health and welfare, workers’ compensation and other liability claims. Liabilities associated with these losses include undiscounted estimates of both losses reported and losses incurred but not yet reported. We estimate our ultimate cost using an actuarially-based analysis of claims experience, regulatory changes and other relevant factors.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w:t>
      </w:r>
    </w:p>
    <w:p>
      <w:pPr>
        <w:spacing w:after="0" w:line="27" w:lineRule="exact"/>
        <w:rPr>
          <w:sz w:val="20"/>
          <w:szCs w:val="20"/>
          <w:color w:val="auto"/>
        </w:rPr>
      </w:pPr>
    </w:p>
    <w:p>
      <w:pPr>
        <w:ind w:right="140"/>
        <w:spacing w:after="0" w:line="288" w:lineRule="auto"/>
        <w:rPr>
          <w:sz w:val="20"/>
          <w:szCs w:val="20"/>
          <w:color w:val="auto"/>
        </w:rPr>
      </w:pPr>
      <w:r>
        <w:rPr>
          <w:rFonts w:ascii="Arial" w:cs="Arial" w:eastAsia="Arial" w:hAnsi="Arial"/>
          <w:sz w:val="16"/>
          <w:szCs w:val="16"/>
          <w:color w:val="auto"/>
        </w:rPr>
        <w:t>We have five full-line stores in Canada and have announced plans to open one additional full-line store in Canada in 2017. The functional currency of our Canadian operations is the Canadian Dollar. We translate assets and liabilities into U.S. Dollars using the exchange rate in effect at the balance sheet date, while we translate revenues and expenses using a weighted-average exchange rate for the period. We record these translation adjustments as a component of accumulated other comprehensive loss on the Consolidated Balance Sheets. In addition, our U.S. operations incur certain expenditures denominated in Canadian Dollars and our Canadian operations incur certain expenditures denominated in U.S. Dollars. This activity results in transaction gains and losses that arise from exchange rate fluctuations and are recorded as gains or losses in the Consolidated Statements of Earnings. As of January 28, 2017, activities associated with the foreign currency exchange risk have not had a material impact on our Consolidated Financial Statements.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7"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In May 2014, the Financial Accounting Standards Board (“FASB”) issued Accounting Standards Update (“ASU”) No. 2014-09, Revenue from Contracts with Customers, which was subsequently modified in August 2015 by ASU No. 2015-14, Revenue from Contracts with Customers: Deferral of the Effective Date. The core principle of ASU No. 2014-09 is that companies should recognize revenue when the transfer of promised goods or services to customers occurs in an amount that reflects what the company expects to receive. It requires additional disclosures to describe the nature, amount, timing and uncertainty of revenue and cash flows from contracts with customers. In 2016, the FASB issued additional ASUs that clarify the implementation guidance on principal versus agent considerations, on identifying performance obligations and licensing, on the revenue recognition criteria and other technical corrections. In our ongoing evaluation of the impacts of this ASU, we have determined that the new standard will have the following effects on the timing and amount of revenue recognized: gift card breakage income will be recognized at the point of sale rather than when redemption is considered remote; sales attributable to the loyalty program benefits (e.g., points, alterations) will be deferred rather than recorded as an increase to cost of sales; revenue related to our online sales will be recognized at the shipping point rather than receipt by the customer; and estimated costs of returns will be recorded as a current asset rather than netted with our sales return reserve. We plan to adopt this ASU in the first quarter of 2018 and are continuing to evaluate the impacts this ASU and related disclosures will have on our Consolidated Financial Statements, as well as our preferred transition method.</w:t>
      </w:r>
    </w:p>
    <w:p>
      <w:pPr>
        <w:spacing w:after="0" w:line="119"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In February 2016, the FASB issued ASU No. 2016-02, Leases. This ASU increases transparency and comparability by recognizing a lessee’s rights and obligations resulting from leases by recording them on the balance sheet as lease assets and lease liabilities. The new standard requires lessees to apply a dual approach, classifying leases as either finance or operating leases based on the principle of whether or not the lease is effectively a financed purchase by the lessee. This classification dictates whether lease expense is to be recognized based on an effective interest method or on a straight-line basis over the term of the lease. This ASU is effective for us beginning in the first quarter of 2019. Though we are currently evaluating the impact of these provisions, we expect they will have a material impact on our Consolidated Financial Statements.</w:t>
      </w:r>
    </w:p>
    <w:p>
      <w:pPr>
        <w:spacing w:after="0" w:line="124" w:lineRule="exact"/>
        <w:rPr>
          <w:sz w:val="20"/>
          <w:szCs w:val="20"/>
          <w:color w:val="auto"/>
        </w:rPr>
      </w:pPr>
    </w:p>
    <w:p>
      <w:pPr>
        <w:ind w:right="260"/>
        <w:spacing w:after="0" w:line="297" w:lineRule="auto"/>
        <w:rPr>
          <w:sz w:val="20"/>
          <w:szCs w:val="20"/>
          <w:color w:val="auto"/>
        </w:rPr>
      </w:pPr>
      <w:r>
        <w:rPr>
          <w:rFonts w:ascii="Arial" w:cs="Arial" w:eastAsia="Arial" w:hAnsi="Arial"/>
          <w:sz w:val="16"/>
          <w:szCs w:val="16"/>
          <w:color w:val="auto"/>
        </w:rPr>
        <w:t>In March 2016, the FASB issued ASU 2016-09, Compensation — Stock Compensation — Improvements to Employee Share-Based Payment Accounting. This ASU impacts several aspects of the accounting for share-based payment transactions, including income tax consequences, classification of awards as either equity or liabilities and classification on the statement of cash flows. This ASU is effective for us beginning in the first quarter of 2017. We have evaluated this ASU and believe the impact to our Consolidated Financial Statements upon adoption will be immaterial, however, actual results will be dependent on unpredictable events, including the future price of our common stock, option exercise activity and forfeitures.</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46</w:t>
      </w:r>
    </w:p>
    <w:p>
      <w:pPr>
        <w:sectPr>
          <w:pgSz w:w="11900" w:h="16838" w:orient="portrait"/>
          <w:cols w:equalWidth="0" w:num="1">
            <w:col w:w="11400"/>
          </w:cols>
          <w:pgMar w:left="240" w:top="126" w:right="259" w:bottom="1440" w:gutter="0" w:footer="0" w:header="0"/>
        </w:sectPr>
      </w:pPr>
    </w:p>
    <w:bookmarkStart w:id="47" w:name="page48"/>
    <w:bookmarkEnd w:id="47"/>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Nordstrom, Inc.</w:t>
      </w:r>
    </w:p>
    <w:p>
      <w:pPr>
        <w:spacing w:after="0" w:line="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rPr>
          <w:sz w:val="20"/>
          <w:szCs w:val="20"/>
          <w:color w:val="auto"/>
        </w:rPr>
      </w:pPr>
      <w:r>
        <w:rPr>
          <w:rFonts w:ascii="Arial" w:cs="Arial" w:eastAsia="Arial" w:hAnsi="Arial"/>
          <w:sz w:val="18"/>
          <w:szCs w:val="18"/>
          <w:color w:val="auto"/>
        </w:rPr>
        <w:t>Dollar and share amounts in millions except per share, per option and per unit amounts</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CREDIT CARD RECEIVABLE TRANSACTION</w:t>
      </w:r>
    </w:p>
    <w:p>
      <w:pPr>
        <w:spacing w:after="0" w:line="27"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On October 1, 2015, we completed the sale of a substantial majority of our U.S. Visa and private label credit card portfolio to TD and we entered into a long-term program agreement under which TD is the exclusive issuer of our U.S. consumer credit cards.</w:t>
      </w:r>
    </w:p>
    <w:p>
      <w:pPr>
        <w:spacing w:after="0" w:line="13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connection with the close of the credit card receivable transaction, we completed the defeasance of our $325 Series 2011-1 Class A Notes in order to provide the credit card receivables to TD free and clear. At close, we received $2.2 billion in cash consideration reflecting the par value of the receivables sold, and incurred $32 in transaction-related expenses during the third quarter of 2015. Pursuant to the agreement, we are obligated to offer and administer our loyalty program and perform other account servicing functions. In return, we receive a portion of the ongoing credit card revenue, net of credit losses, from both the sold and newly generated credit card receivables.</w:t>
      </w:r>
    </w:p>
    <w:p>
      <w:pPr>
        <w:spacing w:after="0" w:line="134"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We recorded certain assets and liabilities associated with the arrangement. The beneficial interest asset is carried at fair value (see Note 8: Fair Value Measurements) and is amortized over approximately four years based primarily on the payment rate of the associated receivables. The deferred revenue and investment in contract asset are recognized/amortized over seven years on a straight line basis, following the delivery of the contract obligations and expected life of the agreement. We record each of these items in credit card revenue, net in our Consolidated Statements of Earnings.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LAND, PROPERTY AND EQUIPMENT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Land, property and equipment consist of the following:</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00" w:type="dxa"/>
            <w:vAlign w:val="bottom"/>
          </w:tcPr>
          <w:p>
            <w:pPr>
              <w:spacing w:after="0"/>
              <w:rPr>
                <w:sz w:val="18"/>
                <w:szCs w:val="18"/>
                <w:color w:val="auto"/>
              </w:rPr>
            </w:pPr>
          </w:p>
        </w:tc>
        <w:tc>
          <w:tcPr>
            <w:tcW w:w="4000" w:type="dxa"/>
            <w:vAlign w:val="bottom"/>
          </w:tcPr>
          <w:p>
            <w:pPr>
              <w:jc w:val="right"/>
              <w:ind w:right="359"/>
              <w:spacing w:after="0"/>
              <w:rPr>
                <w:sz w:val="20"/>
                <w:szCs w:val="20"/>
                <w:color w:val="auto"/>
              </w:rPr>
            </w:pPr>
            <w:r>
              <w:rPr>
                <w:rFonts w:ascii="Arial" w:cs="Arial" w:eastAsia="Arial" w:hAnsi="Arial"/>
                <w:sz w:val="16"/>
                <w:szCs w:val="16"/>
                <w:b w:val="1"/>
                <w:bCs w:val="1"/>
                <w:color w:val="auto"/>
              </w:rPr>
              <w:t>January 28, 2017</w:t>
            </w:r>
          </w:p>
        </w:tc>
        <w:tc>
          <w:tcPr>
            <w:tcW w:w="1800" w:type="dxa"/>
            <w:vAlign w:val="bottom"/>
          </w:tcPr>
          <w:p>
            <w:pPr>
              <w:jc w:val="right"/>
              <w:ind w:right="139"/>
              <w:spacing w:after="0"/>
              <w:rPr>
                <w:sz w:val="20"/>
                <w:szCs w:val="20"/>
                <w:color w:val="auto"/>
              </w:rPr>
            </w:pPr>
            <w:r>
              <w:rPr>
                <w:rFonts w:ascii="Arial" w:cs="Arial" w:eastAsia="Arial" w:hAnsi="Arial"/>
                <w:sz w:val="16"/>
                <w:szCs w:val="16"/>
                <w:b w:val="1"/>
                <w:bCs w:val="1"/>
                <w:color w:val="auto"/>
              </w:rPr>
              <w:t>January 30, 2016</w:t>
            </w:r>
          </w:p>
        </w:tc>
      </w:tr>
      <w:tr>
        <w:trPr>
          <w:trHeight w:val="33"/>
        </w:trPr>
        <w:tc>
          <w:tcPr>
            <w:tcW w:w="5600" w:type="dxa"/>
            <w:vAlign w:val="bottom"/>
            <w:tcBorders>
              <w:bottom w:val="single" w:sz="8" w:color="auto"/>
            </w:tcBorders>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44"/>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Land and land improvements</w:t>
            </w:r>
          </w:p>
        </w:tc>
        <w:tc>
          <w:tcPr>
            <w:tcW w:w="400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b w:val="1"/>
                <w:bCs w:val="1"/>
                <w:color w:val="auto"/>
              </w:rPr>
              <w:t>$107</w:t>
            </w:r>
          </w:p>
        </w:tc>
        <w:tc>
          <w:tcPr>
            <w:tcW w:w="18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$104</w:t>
            </w:r>
          </w:p>
        </w:tc>
      </w:tr>
      <w:tr>
        <w:trPr>
          <w:trHeight w:val="237"/>
        </w:trPr>
        <w:tc>
          <w:tcPr>
            <w:tcW w:w="5600" w:type="dxa"/>
            <w:vAlign w:val="bottom"/>
          </w:tcPr>
          <w:p>
            <w:pPr>
              <w:ind w:left="40"/>
              <w:spacing w:after="0"/>
              <w:rPr>
                <w:sz w:val="20"/>
                <w:szCs w:val="20"/>
                <w:color w:val="auto"/>
              </w:rPr>
            </w:pPr>
            <w:r>
              <w:rPr>
                <w:rFonts w:ascii="Arial" w:cs="Arial" w:eastAsia="Arial" w:hAnsi="Arial"/>
                <w:sz w:val="16"/>
                <w:szCs w:val="16"/>
                <w:color w:val="auto"/>
              </w:rPr>
              <w:t>Buildings and building improvements</w:t>
            </w:r>
          </w:p>
        </w:tc>
        <w:tc>
          <w:tcPr>
            <w:tcW w:w="4000" w:type="dxa"/>
            <w:vAlign w:val="bottom"/>
          </w:tcPr>
          <w:p>
            <w:pPr>
              <w:jc w:val="right"/>
              <w:ind w:right="359"/>
              <w:spacing w:after="0"/>
              <w:rPr>
                <w:sz w:val="20"/>
                <w:szCs w:val="20"/>
                <w:color w:val="auto"/>
              </w:rPr>
            </w:pPr>
            <w:r>
              <w:rPr>
                <w:rFonts w:ascii="Arial" w:cs="Arial" w:eastAsia="Arial" w:hAnsi="Arial"/>
                <w:sz w:val="16"/>
                <w:szCs w:val="16"/>
                <w:b w:val="1"/>
                <w:bCs w:val="1"/>
                <w:color w:val="auto"/>
              </w:rPr>
              <w:t>1,198</w:t>
            </w:r>
          </w:p>
        </w:tc>
        <w:tc>
          <w:tcPr>
            <w:tcW w:w="1800" w:type="dxa"/>
            <w:vAlign w:val="bottom"/>
          </w:tcPr>
          <w:p>
            <w:pPr>
              <w:jc w:val="right"/>
              <w:ind w:right="139"/>
              <w:spacing w:after="0"/>
              <w:rPr>
                <w:sz w:val="20"/>
                <w:szCs w:val="20"/>
                <w:color w:val="auto"/>
              </w:rPr>
            </w:pPr>
            <w:r>
              <w:rPr>
                <w:rFonts w:ascii="Arial" w:cs="Arial" w:eastAsia="Arial" w:hAnsi="Arial"/>
                <w:sz w:val="16"/>
                <w:szCs w:val="16"/>
                <w:color w:val="auto"/>
              </w:rPr>
              <w:t>1,187</w:t>
            </w:r>
          </w:p>
        </w:tc>
      </w:tr>
      <w:tr>
        <w:trPr>
          <w:trHeight w:val="33"/>
        </w:trPr>
        <w:tc>
          <w:tcPr>
            <w:tcW w:w="5600" w:type="dxa"/>
            <w:vAlign w:val="bottom"/>
          </w:tcPr>
          <w:p>
            <w:pPr>
              <w:spacing w:after="0"/>
              <w:rPr>
                <w:sz w:val="2"/>
                <w:szCs w:val="2"/>
                <w:color w:val="auto"/>
              </w:rPr>
            </w:pPr>
          </w:p>
        </w:tc>
        <w:tc>
          <w:tcPr>
            <w:tcW w:w="400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Leasehold improvements</w:t>
            </w:r>
          </w:p>
        </w:tc>
        <w:tc>
          <w:tcPr>
            <w:tcW w:w="400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b w:val="1"/>
                <w:bCs w:val="1"/>
                <w:color w:val="auto"/>
              </w:rPr>
              <w:t>2,938</w:t>
            </w:r>
          </w:p>
        </w:tc>
        <w:tc>
          <w:tcPr>
            <w:tcW w:w="18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2,686</w:t>
            </w:r>
          </w:p>
        </w:tc>
      </w:tr>
      <w:tr>
        <w:trPr>
          <w:trHeight w:val="237"/>
        </w:trPr>
        <w:tc>
          <w:tcPr>
            <w:tcW w:w="5600" w:type="dxa"/>
            <w:vAlign w:val="bottom"/>
          </w:tcPr>
          <w:p>
            <w:pPr>
              <w:ind w:left="40"/>
              <w:spacing w:after="0"/>
              <w:rPr>
                <w:sz w:val="20"/>
                <w:szCs w:val="20"/>
                <w:color w:val="auto"/>
              </w:rPr>
            </w:pPr>
            <w:r>
              <w:rPr>
                <w:rFonts w:ascii="Arial" w:cs="Arial" w:eastAsia="Arial" w:hAnsi="Arial"/>
                <w:sz w:val="16"/>
                <w:szCs w:val="16"/>
                <w:color w:val="auto"/>
              </w:rPr>
              <w:t>Store fixtures and equipment</w:t>
            </w:r>
          </w:p>
        </w:tc>
        <w:tc>
          <w:tcPr>
            <w:tcW w:w="4000" w:type="dxa"/>
            <w:vAlign w:val="bottom"/>
          </w:tcPr>
          <w:p>
            <w:pPr>
              <w:jc w:val="right"/>
              <w:ind w:right="359"/>
              <w:spacing w:after="0"/>
              <w:rPr>
                <w:sz w:val="20"/>
                <w:szCs w:val="20"/>
                <w:color w:val="auto"/>
              </w:rPr>
            </w:pPr>
            <w:r>
              <w:rPr>
                <w:rFonts w:ascii="Arial" w:cs="Arial" w:eastAsia="Arial" w:hAnsi="Arial"/>
                <w:sz w:val="16"/>
                <w:szCs w:val="16"/>
                <w:b w:val="1"/>
                <w:bCs w:val="1"/>
                <w:color w:val="auto"/>
              </w:rPr>
              <w:t>3,513</w:t>
            </w:r>
          </w:p>
        </w:tc>
        <w:tc>
          <w:tcPr>
            <w:tcW w:w="1800" w:type="dxa"/>
            <w:vAlign w:val="bottom"/>
          </w:tcPr>
          <w:p>
            <w:pPr>
              <w:jc w:val="right"/>
              <w:ind w:right="139"/>
              <w:spacing w:after="0"/>
              <w:rPr>
                <w:sz w:val="20"/>
                <w:szCs w:val="20"/>
                <w:color w:val="auto"/>
              </w:rPr>
            </w:pPr>
            <w:r>
              <w:rPr>
                <w:rFonts w:ascii="Arial" w:cs="Arial" w:eastAsia="Arial" w:hAnsi="Arial"/>
                <w:sz w:val="16"/>
                <w:szCs w:val="16"/>
                <w:color w:val="auto"/>
              </w:rPr>
              <w:t>3,339</w:t>
            </w:r>
          </w:p>
        </w:tc>
      </w:tr>
      <w:tr>
        <w:trPr>
          <w:trHeight w:val="33"/>
        </w:trPr>
        <w:tc>
          <w:tcPr>
            <w:tcW w:w="5600" w:type="dxa"/>
            <w:vAlign w:val="bottom"/>
          </w:tcPr>
          <w:p>
            <w:pPr>
              <w:spacing w:after="0"/>
              <w:rPr>
                <w:sz w:val="2"/>
                <w:szCs w:val="2"/>
                <w:color w:val="auto"/>
              </w:rPr>
            </w:pPr>
          </w:p>
        </w:tc>
        <w:tc>
          <w:tcPr>
            <w:tcW w:w="400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Capitalized software</w:t>
            </w:r>
          </w:p>
        </w:tc>
        <w:tc>
          <w:tcPr>
            <w:tcW w:w="400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b w:val="1"/>
                <w:bCs w:val="1"/>
                <w:color w:val="auto"/>
              </w:rPr>
              <w:t>1,183</w:t>
            </w:r>
          </w:p>
        </w:tc>
        <w:tc>
          <w:tcPr>
            <w:tcW w:w="18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928</w:t>
            </w:r>
          </w:p>
        </w:tc>
      </w:tr>
      <w:tr>
        <w:trPr>
          <w:trHeight w:val="237"/>
        </w:trPr>
        <w:tc>
          <w:tcPr>
            <w:tcW w:w="5600" w:type="dxa"/>
            <w:vAlign w:val="bottom"/>
          </w:tcPr>
          <w:p>
            <w:pPr>
              <w:ind w:left="40"/>
              <w:spacing w:after="0"/>
              <w:rPr>
                <w:sz w:val="20"/>
                <w:szCs w:val="20"/>
                <w:color w:val="auto"/>
              </w:rPr>
            </w:pPr>
            <w:r>
              <w:rPr>
                <w:rFonts w:ascii="Arial" w:cs="Arial" w:eastAsia="Arial" w:hAnsi="Arial"/>
                <w:sz w:val="16"/>
                <w:szCs w:val="16"/>
                <w:color w:val="auto"/>
              </w:rPr>
              <w:t>Construction in progress</w:t>
            </w:r>
          </w:p>
        </w:tc>
        <w:tc>
          <w:tcPr>
            <w:tcW w:w="4000" w:type="dxa"/>
            <w:vAlign w:val="bottom"/>
          </w:tcPr>
          <w:p>
            <w:pPr>
              <w:jc w:val="right"/>
              <w:ind w:right="359"/>
              <w:spacing w:after="0"/>
              <w:rPr>
                <w:sz w:val="20"/>
                <w:szCs w:val="20"/>
                <w:color w:val="auto"/>
              </w:rPr>
            </w:pPr>
            <w:r>
              <w:rPr>
                <w:rFonts w:ascii="Arial" w:cs="Arial" w:eastAsia="Arial" w:hAnsi="Arial"/>
                <w:sz w:val="16"/>
                <w:szCs w:val="16"/>
                <w:b w:val="1"/>
                <w:bCs w:val="1"/>
                <w:color w:val="auto"/>
              </w:rPr>
              <w:t>554</w:t>
            </w:r>
          </w:p>
        </w:tc>
        <w:tc>
          <w:tcPr>
            <w:tcW w:w="1800" w:type="dxa"/>
            <w:vAlign w:val="bottom"/>
          </w:tcPr>
          <w:p>
            <w:pPr>
              <w:jc w:val="right"/>
              <w:ind w:right="139"/>
              <w:spacing w:after="0"/>
              <w:rPr>
                <w:sz w:val="20"/>
                <w:szCs w:val="20"/>
                <w:color w:val="auto"/>
              </w:rPr>
            </w:pPr>
            <w:r>
              <w:rPr>
                <w:rFonts w:ascii="Arial" w:cs="Arial" w:eastAsia="Arial" w:hAnsi="Arial"/>
                <w:sz w:val="16"/>
                <w:szCs w:val="16"/>
                <w:color w:val="auto"/>
              </w:rPr>
              <w:t>599</w:t>
            </w:r>
          </w:p>
        </w:tc>
      </w:tr>
      <w:tr>
        <w:trPr>
          <w:trHeight w:val="33"/>
        </w:trPr>
        <w:tc>
          <w:tcPr>
            <w:tcW w:w="5600" w:type="dxa"/>
            <w:vAlign w:val="bottom"/>
            <w:tcBorders>
              <w:bottom w:val="single" w:sz="8" w:color="auto"/>
            </w:tcBorders>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69"/>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Land, property and equipment</w:t>
            </w:r>
          </w:p>
        </w:tc>
        <w:tc>
          <w:tcPr>
            <w:tcW w:w="400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b w:val="1"/>
                <w:bCs w:val="1"/>
                <w:color w:val="auto"/>
              </w:rPr>
              <w:t>9,493</w:t>
            </w:r>
          </w:p>
        </w:tc>
        <w:tc>
          <w:tcPr>
            <w:tcW w:w="18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8,843</w:t>
            </w:r>
          </w:p>
        </w:tc>
      </w:tr>
      <w:tr>
        <w:trPr>
          <w:trHeight w:val="231"/>
        </w:trPr>
        <w:tc>
          <w:tcPr>
            <w:tcW w:w="560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Less: accumulated depreciation and amortization</w:t>
            </w:r>
          </w:p>
        </w:tc>
        <w:tc>
          <w:tcPr>
            <w:tcW w:w="4000" w:type="dxa"/>
            <w:vAlign w:val="bottom"/>
            <w:tcBorders>
              <w:top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(5,596)</w:t>
            </w:r>
          </w:p>
        </w:tc>
        <w:tc>
          <w:tcPr>
            <w:tcW w:w="18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(5,108)</w:t>
            </w:r>
          </w:p>
        </w:tc>
      </w:tr>
      <w:tr>
        <w:trPr>
          <w:trHeight w:val="33"/>
        </w:trPr>
        <w:tc>
          <w:tcPr>
            <w:tcW w:w="5600" w:type="dxa"/>
            <w:vAlign w:val="bottom"/>
            <w:tcBorders>
              <w:bottom w:val="single" w:sz="8" w:color="auto"/>
            </w:tcBorders>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44"/>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Land, property and equipment, net</w:t>
            </w:r>
          </w:p>
        </w:tc>
        <w:tc>
          <w:tcPr>
            <w:tcW w:w="400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b w:val="1"/>
                <w:bCs w:val="1"/>
                <w:color w:val="auto"/>
              </w:rPr>
              <w:t>$3,897</w:t>
            </w:r>
          </w:p>
        </w:tc>
        <w:tc>
          <w:tcPr>
            <w:tcW w:w="18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$3,735</w:t>
            </w:r>
          </w:p>
        </w:tc>
      </w:tr>
      <w:tr>
        <w:trPr>
          <w:trHeight w:val="20"/>
        </w:trPr>
        <w:tc>
          <w:tcPr>
            <w:tcW w:w="5600" w:type="dxa"/>
            <w:vAlign w:val="bottom"/>
            <w:shd w:val="clear" w:color="auto" w:fill="000000"/>
          </w:tcPr>
          <w:p>
            <w:pPr>
              <w:spacing w:after="0" w:line="20" w:lineRule="exact"/>
              <w:rPr>
                <w:sz w:val="1"/>
                <w:szCs w:val="1"/>
                <w:color w:val="auto"/>
              </w:rPr>
            </w:pPr>
          </w:p>
        </w:tc>
        <w:tc>
          <w:tcPr>
            <w:tcW w:w="4000" w:type="dxa"/>
            <w:vAlign w:val="bottom"/>
            <w:shd w:val="clear" w:color="auto" w:fill="000000"/>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r>
    </w:tbl>
    <w:p>
      <w:pPr>
        <w:spacing w:after="0" w:line="14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total cost of property and equipment held under capital lease obligations was $26 at the end of 2016 and 2015, with related accumulated amortization of $25 in 2016 and $24 in 2015. Depreciation and amortization expense was $631, $560 and $498 in 2016, 2015 and 2014.</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SELF-INSURANCE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Our self-insurance reserves are summarized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060" w:type="dxa"/>
            <w:vAlign w:val="bottom"/>
          </w:tcPr>
          <w:p>
            <w:pPr>
              <w:spacing w:after="0"/>
              <w:rPr>
                <w:sz w:val="18"/>
                <w:szCs w:val="18"/>
                <w:color w:val="auto"/>
              </w:rPr>
            </w:pPr>
          </w:p>
        </w:tc>
        <w:tc>
          <w:tcPr>
            <w:tcW w:w="4680" w:type="dxa"/>
            <w:vAlign w:val="bottom"/>
          </w:tcPr>
          <w:p>
            <w:pPr>
              <w:jc w:val="right"/>
              <w:ind w:right="299"/>
              <w:spacing w:after="0"/>
              <w:rPr>
                <w:sz w:val="20"/>
                <w:szCs w:val="20"/>
                <w:color w:val="auto"/>
              </w:rPr>
            </w:pPr>
            <w:r>
              <w:rPr>
                <w:rFonts w:ascii="Arial" w:cs="Arial" w:eastAsia="Arial" w:hAnsi="Arial"/>
                <w:sz w:val="16"/>
                <w:szCs w:val="16"/>
                <w:b w:val="1"/>
                <w:bCs w:val="1"/>
                <w:color w:val="auto"/>
              </w:rPr>
              <w:t>January 28, 2017</w:t>
            </w:r>
          </w:p>
        </w:tc>
        <w:tc>
          <w:tcPr>
            <w:tcW w:w="1660" w:type="dxa"/>
            <w:vAlign w:val="bottom"/>
          </w:tcPr>
          <w:p>
            <w:pPr>
              <w:jc w:val="right"/>
              <w:ind w:right="39"/>
              <w:spacing w:after="0"/>
              <w:rPr>
                <w:sz w:val="20"/>
                <w:szCs w:val="20"/>
                <w:color w:val="auto"/>
              </w:rPr>
            </w:pPr>
            <w:r>
              <w:rPr>
                <w:rFonts w:ascii="Arial" w:cs="Arial" w:eastAsia="Arial" w:hAnsi="Arial"/>
                <w:sz w:val="16"/>
                <w:szCs w:val="16"/>
                <w:b w:val="1"/>
                <w:bCs w:val="1"/>
                <w:color w:val="auto"/>
              </w:rPr>
              <w:t>January 30, 2016</w:t>
            </w:r>
          </w:p>
        </w:tc>
      </w:tr>
      <w:tr>
        <w:trPr>
          <w:trHeight w:val="33"/>
        </w:trPr>
        <w:tc>
          <w:tcPr>
            <w:tcW w:w="5060" w:type="dxa"/>
            <w:vAlign w:val="bottom"/>
            <w:tcBorders>
              <w:bottom w:val="single" w:sz="8" w:color="auto"/>
            </w:tcBorders>
          </w:tcPr>
          <w:p>
            <w:pPr>
              <w:spacing w:after="0"/>
              <w:rPr>
                <w:sz w:val="2"/>
                <w:szCs w:val="2"/>
                <w:color w:val="auto"/>
              </w:rPr>
            </w:pPr>
          </w:p>
        </w:tc>
        <w:tc>
          <w:tcPr>
            <w:tcW w:w="46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4"/>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Workers’ compensation</w:t>
            </w:r>
          </w:p>
        </w:tc>
        <w:tc>
          <w:tcPr>
            <w:tcW w:w="468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b w:val="1"/>
                <w:bCs w:val="1"/>
                <w:color w:val="auto"/>
              </w:rPr>
              <w:t>$69</w:t>
            </w:r>
          </w:p>
        </w:tc>
        <w:tc>
          <w:tcPr>
            <w:tcW w:w="1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$68</w:t>
            </w:r>
          </w:p>
        </w:tc>
      </w:tr>
      <w:tr>
        <w:trPr>
          <w:trHeight w:val="237"/>
        </w:trPr>
        <w:tc>
          <w:tcPr>
            <w:tcW w:w="5060" w:type="dxa"/>
            <w:vAlign w:val="bottom"/>
          </w:tcPr>
          <w:p>
            <w:pPr>
              <w:ind w:left="40"/>
              <w:spacing w:after="0"/>
              <w:rPr>
                <w:sz w:val="20"/>
                <w:szCs w:val="20"/>
                <w:color w:val="auto"/>
              </w:rPr>
            </w:pPr>
            <w:r>
              <w:rPr>
                <w:rFonts w:ascii="Arial" w:cs="Arial" w:eastAsia="Arial" w:hAnsi="Arial"/>
                <w:sz w:val="16"/>
                <w:szCs w:val="16"/>
                <w:color w:val="auto"/>
              </w:rPr>
              <w:t>Employee health and welfare</w:t>
            </w:r>
          </w:p>
        </w:tc>
        <w:tc>
          <w:tcPr>
            <w:tcW w:w="4680" w:type="dxa"/>
            <w:vAlign w:val="bottom"/>
          </w:tcPr>
          <w:p>
            <w:pPr>
              <w:jc w:val="right"/>
              <w:ind w:right="299"/>
              <w:spacing w:after="0"/>
              <w:rPr>
                <w:sz w:val="20"/>
                <w:szCs w:val="20"/>
                <w:color w:val="auto"/>
              </w:rPr>
            </w:pPr>
            <w:r>
              <w:rPr>
                <w:rFonts w:ascii="Arial" w:cs="Arial" w:eastAsia="Arial" w:hAnsi="Arial"/>
                <w:sz w:val="16"/>
                <w:szCs w:val="16"/>
                <w:b w:val="1"/>
                <w:bCs w:val="1"/>
                <w:color w:val="auto"/>
              </w:rPr>
              <w:t>29</w:t>
            </w:r>
          </w:p>
        </w:tc>
        <w:tc>
          <w:tcPr>
            <w:tcW w:w="1660" w:type="dxa"/>
            <w:vAlign w:val="bottom"/>
          </w:tcPr>
          <w:p>
            <w:pPr>
              <w:jc w:val="right"/>
              <w:ind w:right="39"/>
              <w:spacing w:after="0"/>
              <w:rPr>
                <w:sz w:val="20"/>
                <w:szCs w:val="20"/>
                <w:color w:val="auto"/>
              </w:rPr>
            </w:pPr>
            <w:r>
              <w:rPr>
                <w:rFonts w:ascii="Arial" w:cs="Arial" w:eastAsia="Arial" w:hAnsi="Arial"/>
                <w:sz w:val="16"/>
                <w:szCs w:val="16"/>
                <w:color w:val="auto"/>
              </w:rPr>
              <w:t>28</w:t>
            </w:r>
          </w:p>
        </w:tc>
      </w:tr>
      <w:tr>
        <w:trPr>
          <w:trHeight w:val="33"/>
        </w:trPr>
        <w:tc>
          <w:tcPr>
            <w:tcW w:w="5060" w:type="dxa"/>
            <w:vAlign w:val="bottom"/>
          </w:tcPr>
          <w:p>
            <w:pPr>
              <w:spacing w:after="0"/>
              <w:rPr>
                <w:sz w:val="2"/>
                <w:szCs w:val="2"/>
                <w:color w:val="auto"/>
              </w:rPr>
            </w:pPr>
          </w:p>
        </w:tc>
        <w:tc>
          <w:tcPr>
            <w:tcW w:w="468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75"/>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liability</w:t>
            </w:r>
          </w:p>
        </w:tc>
        <w:tc>
          <w:tcPr>
            <w:tcW w:w="468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b w:val="1"/>
                <w:bCs w:val="1"/>
                <w:color w:val="auto"/>
              </w:rPr>
              <w:t>16</w:t>
            </w:r>
          </w:p>
        </w:tc>
        <w:tc>
          <w:tcPr>
            <w:tcW w:w="1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w:t>
            </w:r>
          </w:p>
        </w:tc>
      </w:tr>
      <w:tr>
        <w:trPr>
          <w:trHeight w:val="231"/>
        </w:trPr>
        <w:tc>
          <w:tcPr>
            <w:tcW w:w="506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 self-insurance reserve</w:t>
            </w:r>
          </w:p>
        </w:tc>
        <w:tc>
          <w:tcPr>
            <w:tcW w:w="4680" w:type="dxa"/>
            <w:vAlign w:val="bottom"/>
            <w:tcBorders>
              <w:top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$114</w:t>
            </w:r>
          </w:p>
        </w:tc>
        <w:tc>
          <w:tcPr>
            <w:tcW w:w="16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$112</w:t>
            </w:r>
          </w:p>
        </w:tc>
      </w:tr>
      <w:tr>
        <w:trPr>
          <w:trHeight w:val="33"/>
        </w:trPr>
        <w:tc>
          <w:tcPr>
            <w:tcW w:w="5060" w:type="dxa"/>
            <w:vAlign w:val="bottom"/>
            <w:tcBorders>
              <w:bottom w:val="single" w:sz="8" w:color="auto"/>
            </w:tcBorders>
          </w:tcPr>
          <w:p>
            <w:pPr>
              <w:spacing w:after="0"/>
              <w:rPr>
                <w:sz w:val="2"/>
                <w:szCs w:val="2"/>
                <w:color w:val="auto"/>
              </w:rPr>
            </w:pPr>
          </w:p>
        </w:tc>
        <w:tc>
          <w:tcPr>
            <w:tcW w:w="46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Our workers’ compensation policies have a retention per claim of $1 or less and no policy limits.</w:t>
      </w:r>
    </w:p>
    <w:p>
      <w:pPr>
        <w:spacing w:after="0" w:line="171" w:lineRule="exact"/>
        <w:rPr>
          <w:sz w:val="20"/>
          <w:szCs w:val="20"/>
          <w:color w:val="auto"/>
        </w:rPr>
      </w:pPr>
    </w:p>
    <w:p>
      <w:pPr>
        <w:jc w:val="both"/>
        <w:ind w:right="140"/>
        <w:spacing w:after="0" w:line="277" w:lineRule="auto"/>
        <w:rPr>
          <w:sz w:val="20"/>
          <w:szCs w:val="20"/>
          <w:color w:val="auto"/>
        </w:rPr>
      </w:pPr>
      <w:r>
        <w:rPr>
          <w:rFonts w:ascii="Arial" w:cs="Arial" w:eastAsia="Arial" w:hAnsi="Arial"/>
          <w:sz w:val="18"/>
          <w:szCs w:val="18"/>
          <w:color w:val="auto"/>
        </w:rPr>
        <w:t>We are self-insured for the majority of our employee health and welfare coverage and we do not use stop-loss coverage. Participants contribute to the cost of their coverage through premiums and out-of-pocket expenses for deductibles, co-pays and co-insurance.</w:t>
      </w:r>
    </w:p>
    <w:p>
      <w:pPr>
        <w:spacing w:after="0" w:line="11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Our liability policies, encompassing employment practices liability and commercial general liability, have a retention per claim of $3 or less and a policy limit up to $30 and $151, respectively.</w:t>
      </w:r>
    </w:p>
    <w:p>
      <w:pPr>
        <w:spacing w:after="0" w:line="364" w:lineRule="exact"/>
        <w:rPr>
          <w:sz w:val="20"/>
          <w:szCs w:val="20"/>
          <w:color w:val="auto"/>
        </w:rPr>
      </w:pPr>
    </w:p>
    <w:p>
      <w:pPr>
        <w:jc w:val="right"/>
        <w:spacing w:after="0"/>
        <w:rPr>
          <w:sz w:val="20"/>
          <w:szCs w:val="20"/>
          <w:color w:val="auto"/>
        </w:rPr>
      </w:pPr>
      <w:r>
        <w:rPr>
          <w:rFonts w:ascii="Arial" w:cs="Arial" w:eastAsia="Arial" w:hAnsi="Arial"/>
          <w:sz w:val="13"/>
          <w:szCs w:val="13"/>
          <w:color w:val="auto"/>
        </w:rPr>
        <w:t xml:space="preserve">Nordstrom, Inc. and subsidiaries </w:t>
      </w:r>
      <w:r>
        <w:rPr>
          <w:rFonts w:ascii="Arial" w:cs="Arial" w:eastAsia="Arial" w:hAnsi="Arial"/>
          <w:sz w:val="16"/>
          <w:szCs w:val="16"/>
          <w:color w:val="auto"/>
        </w:rPr>
        <w:t>47</w:t>
      </w:r>
    </w:p>
    <w:p>
      <w:pPr>
        <w:sectPr>
          <w:pgSz w:w="11900" w:h="16838" w:orient="portrait"/>
          <w:cols w:equalWidth="0" w:num="1">
            <w:col w:w="11420"/>
          </w:cols>
          <w:pgMar w:left="240" w:top="126" w:right="239" w:bottom="1440" w:gutter="0" w:footer="0" w:header="0"/>
        </w:sectPr>
      </w:pPr>
    </w:p>
    <w:bookmarkStart w:id="48" w:name="page49"/>
    <w:bookmarkEnd w:id="48"/>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Nordstrom, Inc.</w:t>
      </w:r>
    </w:p>
    <w:p>
      <w:pPr>
        <w:spacing w:after="0" w:line="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rPr>
          <w:sz w:val="20"/>
          <w:szCs w:val="20"/>
          <w:color w:val="auto"/>
        </w:rPr>
      </w:pPr>
      <w:r>
        <w:rPr>
          <w:rFonts w:ascii="Arial" w:cs="Arial" w:eastAsia="Arial" w:hAnsi="Arial"/>
          <w:sz w:val="18"/>
          <w:szCs w:val="18"/>
          <w:color w:val="auto"/>
        </w:rPr>
        <w:t>Dollar and share amounts in millions except per share, per option and per unit amounts</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401(K) PLAN</w:t>
      </w:r>
    </w:p>
    <w:p>
      <w:pPr>
        <w:spacing w:after="0" w:line="27"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We provide a 401(k) plan for our employees that allows for employee elective contributions and discretionary Company contributions. Employee elective contributions are funded through voluntary payroll deductions. Our discretionary Company contribution is funded in an amount determined by our Board of Directors each year. Total expenses related to Company contributions of $92, $62 and $77 in 2016, 2015 and 2014 were included in both buying and occupancy costs and selling, general and administrative expenses on our Consolidated Statements of Earnings.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POSTRETIREMENT BENEFITS</w:t>
      </w:r>
    </w:p>
    <w:p>
      <w:pPr>
        <w:spacing w:after="0" w:line="27"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We have an unfunded defined benefit Supplemental Executive Retirement Plan (“SERP”), which provides retirement benefits to certain officers and select employees. The SERP has different benefit levels depending on the participant’s role in the Company. At the end of 2016, we had 57 participants in the plan, including 20 officers and select employees eligible for SERP benefits, 36 retirees and one beneficiary. This plan is non-qualified and does not have a minimum funding requirement.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Benefit Obligations and Funded Status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Our benefit obligation and funded status is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80" w:type="dxa"/>
            <w:vAlign w:val="bottom"/>
          </w:tcPr>
          <w:p>
            <w:pPr>
              <w:spacing w:after="0"/>
              <w:rPr>
                <w:sz w:val="18"/>
                <w:szCs w:val="18"/>
                <w:color w:val="auto"/>
              </w:rPr>
            </w:pPr>
          </w:p>
        </w:tc>
        <w:tc>
          <w:tcPr>
            <w:tcW w:w="4080" w:type="dxa"/>
            <w:vAlign w:val="bottom"/>
          </w:tcPr>
          <w:p>
            <w:pPr>
              <w:jc w:val="right"/>
              <w:ind w:right="319"/>
              <w:spacing w:after="0"/>
              <w:rPr>
                <w:sz w:val="20"/>
                <w:szCs w:val="20"/>
                <w:color w:val="auto"/>
              </w:rPr>
            </w:pPr>
            <w:r>
              <w:rPr>
                <w:rFonts w:ascii="Arial" w:cs="Arial" w:eastAsia="Arial" w:hAnsi="Arial"/>
                <w:sz w:val="16"/>
                <w:szCs w:val="16"/>
                <w:b w:val="1"/>
                <w:bCs w:val="1"/>
                <w:color w:val="auto"/>
              </w:rPr>
              <w:t>January 28, 2017</w:t>
            </w:r>
          </w:p>
        </w:tc>
        <w:tc>
          <w:tcPr>
            <w:tcW w:w="1640" w:type="dxa"/>
            <w:vAlign w:val="bottom"/>
          </w:tcPr>
          <w:p>
            <w:pPr>
              <w:jc w:val="right"/>
              <w:ind w:right="39"/>
              <w:spacing w:after="0"/>
              <w:rPr>
                <w:sz w:val="20"/>
                <w:szCs w:val="20"/>
                <w:color w:val="auto"/>
              </w:rPr>
            </w:pPr>
            <w:r>
              <w:rPr>
                <w:rFonts w:ascii="Arial" w:cs="Arial" w:eastAsia="Arial" w:hAnsi="Arial"/>
                <w:sz w:val="16"/>
                <w:szCs w:val="16"/>
                <w:b w:val="1"/>
                <w:bCs w:val="1"/>
                <w:color w:val="auto"/>
              </w:rPr>
              <w:t>January 30, 2016</w:t>
            </w:r>
          </w:p>
        </w:tc>
      </w:tr>
      <w:tr>
        <w:trPr>
          <w:trHeight w:val="33"/>
        </w:trPr>
        <w:tc>
          <w:tcPr>
            <w:tcW w:w="5680" w:type="dxa"/>
            <w:vAlign w:val="bottom"/>
            <w:tcBorders>
              <w:bottom w:val="single" w:sz="8" w:color="auto"/>
            </w:tcBorders>
          </w:tcPr>
          <w:p>
            <w:pPr>
              <w:spacing w:after="0"/>
              <w:rPr>
                <w:sz w:val="2"/>
                <w:szCs w:val="2"/>
                <w:color w:val="auto"/>
              </w:rPr>
            </w:pPr>
          </w:p>
        </w:tc>
        <w:tc>
          <w:tcPr>
            <w:tcW w:w="40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5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Change in benefit obligation:</w:t>
            </w:r>
          </w:p>
        </w:tc>
        <w:tc>
          <w:tcPr>
            <w:tcW w:w="40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37"/>
        </w:trPr>
        <w:tc>
          <w:tcPr>
            <w:tcW w:w="5680" w:type="dxa"/>
            <w:vAlign w:val="bottom"/>
          </w:tcPr>
          <w:p>
            <w:pPr>
              <w:ind w:left="280"/>
              <w:spacing w:after="0"/>
              <w:rPr>
                <w:sz w:val="20"/>
                <w:szCs w:val="20"/>
                <w:color w:val="auto"/>
              </w:rPr>
            </w:pPr>
            <w:r>
              <w:rPr>
                <w:rFonts w:ascii="Arial" w:cs="Arial" w:eastAsia="Arial" w:hAnsi="Arial"/>
                <w:sz w:val="16"/>
                <w:szCs w:val="16"/>
                <w:color w:val="auto"/>
              </w:rPr>
              <w:t>Benefit obligation at beginning of year</w:t>
            </w:r>
          </w:p>
        </w:tc>
        <w:tc>
          <w:tcPr>
            <w:tcW w:w="4080" w:type="dxa"/>
            <w:vAlign w:val="bottom"/>
          </w:tcPr>
          <w:p>
            <w:pPr>
              <w:jc w:val="right"/>
              <w:ind w:right="319"/>
              <w:spacing w:after="0"/>
              <w:rPr>
                <w:sz w:val="20"/>
                <w:szCs w:val="20"/>
                <w:color w:val="auto"/>
              </w:rPr>
            </w:pPr>
            <w:r>
              <w:rPr>
                <w:rFonts w:ascii="Arial" w:cs="Arial" w:eastAsia="Arial" w:hAnsi="Arial"/>
                <w:sz w:val="16"/>
                <w:szCs w:val="16"/>
                <w:b w:val="1"/>
                <w:bCs w:val="1"/>
                <w:color w:val="auto"/>
              </w:rPr>
              <w:t>$181</w:t>
            </w: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$203</w:t>
            </w:r>
          </w:p>
        </w:tc>
      </w:tr>
      <w:tr>
        <w:trPr>
          <w:trHeight w:val="33"/>
        </w:trPr>
        <w:tc>
          <w:tcPr>
            <w:tcW w:w="5680" w:type="dxa"/>
            <w:vAlign w:val="bottom"/>
          </w:tcPr>
          <w:p>
            <w:pPr>
              <w:spacing w:after="0"/>
              <w:rPr>
                <w:sz w:val="2"/>
                <w:szCs w:val="2"/>
                <w:color w:val="auto"/>
              </w:rPr>
            </w:pPr>
          </w:p>
        </w:tc>
        <w:tc>
          <w:tcPr>
            <w:tcW w:w="40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56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Participant service cost</w:t>
            </w:r>
          </w:p>
        </w:tc>
        <w:tc>
          <w:tcPr>
            <w:tcW w:w="408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b w:val="1"/>
                <w:bCs w:val="1"/>
                <w:color w:val="auto"/>
              </w:rPr>
              <w:t>3</w:t>
            </w: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w:t>
            </w:r>
          </w:p>
        </w:tc>
      </w:tr>
      <w:tr>
        <w:trPr>
          <w:trHeight w:val="237"/>
        </w:trPr>
        <w:tc>
          <w:tcPr>
            <w:tcW w:w="5680" w:type="dxa"/>
            <w:vAlign w:val="bottom"/>
          </w:tcPr>
          <w:p>
            <w:pPr>
              <w:ind w:left="500"/>
              <w:spacing w:after="0"/>
              <w:rPr>
                <w:sz w:val="20"/>
                <w:szCs w:val="20"/>
                <w:color w:val="auto"/>
              </w:rPr>
            </w:pPr>
            <w:r>
              <w:rPr>
                <w:rFonts w:ascii="Arial" w:cs="Arial" w:eastAsia="Arial" w:hAnsi="Arial"/>
                <w:sz w:val="16"/>
                <w:szCs w:val="16"/>
                <w:color w:val="auto"/>
              </w:rPr>
              <w:t>Interest cost</w:t>
            </w:r>
          </w:p>
        </w:tc>
        <w:tc>
          <w:tcPr>
            <w:tcW w:w="4080" w:type="dxa"/>
            <w:vAlign w:val="bottom"/>
          </w:tcPr>
          <w:p>
            <w:pPr>
              <w:jc w:val="right"/>
              <w:ind w:right="319"/>
              <w:spacing w:after="0"/>
              <w:rPr>
                <w:sz w:val="20"/>
                <w:szCs w:val="20"/>
                <w:color w:val="auto"/>
              </w:rPr>
            </w:pPr>
            <w:r>
              <w:rPr>
                <w:rFonts w:ascii="Arial" w:cs="Arial" w:eastAsia="Arial" w:hAnsi="Arial"/>
                <w:sz w:val="16"/>
                <w:szCs w:val="16"/>
                <w:b w:val="1"/>
                <w:bCs w:val="1"/>
                <w:color w:val="auto"/>
              </w:rPr>
              <w:t>7</w:t>
            </w: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7</w:t>
            </w:r>
          </w:p>
        </w:tc>
      </w:tr>
      <w:tr>
        <w:trPr>
          <w:trHeight w:val="33"/>
        </w:trPr>
        <w:tc>
          <w:tcPr>
            <w:tcW w:w="5680" w:type="dxa"/>
            <w:vAlign w:val="bottom"/>
          </w:tcPr>
          <w:p>
            <w:pPr>
              <w:spacing w:after="0"/>
              <w:rPr>
                <w:sz w:val="2"/>
                <w:szCs w:val="2"/>
                <w:color w:val="auto"/>
              </w:rPr>
            </w:pPr>
          </w:p>
        </w:tc>
        <w:tc>
          <w:tcPr>
            <w:tcW w:w="40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56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Benefits paid</w:t>
            </w:r>
          </w:p>
        </w:tc>
        <w:tc>
          <w:tcPr>
            <w:tcW w:w="408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b w:val="1"/>
                <w:bCs w:val="1"/>
                <w:color w:val="auto"/>
              </w:rPr>
              <w:t>(7)</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r>
      <w:tr>
        <w:trPr>
          <w:trHeight w:val="237"/>
        </w:trPr>
        <w:tc>
          <w:tcPr>
            <w:tcW w:w="5680" w:type="dxa"/>
            <w:vAlign w:val="bottom"/>
          </w:tcPr>
          <w:p>
            <w:pPr>
              <w:ind w:left="500"/>
              <w:spacing w:after="0"/>
              <w:rPr>
                <w:sz w:val="20"/>
                <w:szCs w:val="20"/>
                <w:color w:val="auto"/>
              </w:rPr>
            </w:pPr>
            <w:r>
              <w:rPr>
                <w:rFonts w:ascii="Arial" w:cs="Arial" w:eastAsia="Arial" w:hAnsi="Arial"/>
                <w:sz w:val="16"/>
                <w:szCs w:val="16"/>
                <w:color w:val="auto"/>
              </w:rPr>
              <w:t>Actuarial loss (gain)</w:t>
            </w:r>
          </w:p>
        </w:tc>
        <w:tc>
          <w:tcPr>
            <w:tcW w:w="4080" w:type="dxa"/>
            <w:vAlign w:val="bottom"/>
          </w:tcPr>
          <w:p>
            <w:pPr>
              <w:jc w:val="right"/>
              <w:ind w:right="319"/>
              <w:spacing w:after="0"/>
              <w:rPr>
                <w:sz w:val="20"/>
                <w:szCs w:val="20"/>
                <w:color w:val="auto"/>
              </w:rPr>
            </w:pPr>
            <w:r>
              <w:rPr>
                <w:rFonts w:ascii="Arial" w:cs="Arial" w:eastAsia="Arial" w:hAnsi="Arial"/>
                <w:sz w:val="16"/>
                <w:szCs w:val="16"/>
                <w:b w:val="1"/>
                <w:bCs w:val="1"/>
                <w:color w:val="auto"/>
              </w:rPr>
              <w:t>4</w:t>
            </w:r>
          </w:p>
        </w:tc>
        <w:tc>
          <w:tcPr>
            <w:tcW w:w="1640" w:type="dxa"/>
            <w:vAlign w:val="bottom"/>
          </w:tcPr>
          <w:p>
            <w:pPr>
              <w:jc w:val="right"/>
              <w:spacing w:after="0"/>
              <w:rPr>
                <w:sz w:val="20"/>
                <w:szCs w:val="20"/>
                <w:color w:val="auto"/>
              </w:rPr>
            </w:pPr>
            <w:r>
              <w:rPr>
                <w:rFonts w:ascii="Arial" w:cs="Arial" w:eastAsia="Arial" w:hAnsi="Arial"/>
                <w:sz w:val="16"/>
                <w:szCs w:val="16"/>
                <w:color w:val="auto"/>
              </w:rPr>
              <w:t>(26)</w:t>
            </w:r>
          </w:p>
        </w:tc>
      </w:tr>
      <w:tr>
        <w:trPr>
          <w:trHeight w:val="33"/>
        </w:trPr>
        <w:tc>
          <w:tcPr>
            <w:tcW w:w="5680" w:type="dxa"/>
            <w:vAlign w:val="bottom"/>
            <w:tcBorders>
              <w:bottom w:val="single" w:sz="8" w:color="auto"/>
            </w:tcBorders>
          </w:tcPr>
          <w:p>
            <w:pPr>
              <w:spacing w:after="0"/>
              <w:rPr>
                <w:sz w:val="2"/>
                <w:szCs w:val="2"/>
                <w:color w:val="auto"/>
              </w:rPr>
            </w:pPr>
          </w:p>
        </w:tc>
        <w:tc>
          <w:tcPr>
            <w:tcW w:w="40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56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b w:val="1"/>
                <w:bCs w:val="1"/>
                <w:color w:val="auto"/>
              </w:rPr>
              <w:t>Benefit obligation at end of year</w:t>
            </w:r>
          </w:p>
        </w:tc>
        <w:tc>
          <w:tcPr>
            <w:tcW w:w="408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b w:val="1"/>
                <w:bCs w:val="1"/>
                <w:color w:val="auto"/>
              </w:rPr>
              <w:t>188</w:t>
            </w: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181</w:t>
            </w:r>
          </w:p>
        </w:tc>
      </w:tr>
      <w:tr>
        <w:trPr>
          <w:trHeight w:val="237"/>
        </w:trPr>
        <w:tc>
          <w:tcPr>
            <w:tcW w:w="5680" w:type="dxa"/>
            <w:vAlign w:val="bottom"/>
          </w:tcPr>
          <w:p>
            <w:pPr>
              <w:ind w:left="40"/>
              <w:spacing w:after="0"/>
              <w:rPr>
                <w:sz w:val="20"/>
                <w:szCs w:val="20"/>
                <w:color w:val="auto"/>
              </w:rPr>
            </w:pPr>
            <w:r>
              <w:rPr>
                <w:rFonts w:ascii="Arial" w:cs="Arial" w:eastAsia="Arial" w:hAnsi="Arial"/>
                <w:sz w:val="16"/>
                <w:szCs w:val="16"/>
                <w:color w:val="auto"/>
              </w:rPr>
              <w:t>Change in plan assets:</w:t>
            </w:r>
          </w:p>
        </w:tc>
        <w:tc>
          <w:tcPr>
            <w:tcW w:w="408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33"/>
        </w:trPr>
        <w:tc>
          <w:tcPr>
            <w:tcW w:w="5680" w:type="dxa"/>
            <w:vAlign w:val="bottom"/>
          </w:tcPr>
          <w:p>
            <w:pPr>
              <w:spacing w:after="0"/>
              <w:rPr>
                <w:sz w:val="2"/>
                <w:szCs w:val="2"/>
                <w:color w:val="auto"/>
              </w:rPr>
            </w:pPr>
          </w:p>
        </w:tc>
        <w:tc>
          <w:tcPr>
            <w:tcW w:w="40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56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Fair value of plan assets at beginning of year</w:t>
            </w:r>
          </w:p>
        </w:tc>
        <w:tc>
          <w:tcPr>
            <w:tcW w:w="408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b w:val="1"/>
                <w:bCs w:val="1"/>
                <w:color w:val="auto"/>
              </w:rPr>
              <w:t>—</w:t>
            </w: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37"/>
        </w:trPr>
        <w:tc>
          <w:tcPr>
            <w:tcW w:w="5680" w:type="dxa"/>
            <w:vAlign w:val="bottom"/>
          </w:tcPr>
          <w:p>
            <w:pPr>
              <w:ind w:left="500"/>
              <w:spacing w:after="0"/>
              <w:rPr>
                <w:sz w:val="20"/>
                <w:szCs w:val="20"/>
                <w:color w:val="auto"/>
              </w:rPr>
            </w:pPr>
            <w:r>
              <w:rPr>
                <w:rFonts w:ascii="Arial" w:cs="Arial" w:eastAsia="Arial" w:hAnsi="Arial"/>
                <w:sz w:val="16"/>
                <w:szCs w:val="16"/>
                <w:color w:val="auto"/>
              </w:rPr>
              <w:t>Employer contribution</w:t>
            </w:r>
          </w:p>
        </w:tc>
        <w:tc>
          <w:tcPr>
            <w:tcW w:w="4080" w:type="dxa"/>
            <w:vAlign w:val="bottom"/>
          </w:tcPr>
          <w:p>
            <w:pPr>
              <w:jc w:val="right"/>
              <w:ind w:right="319"/>
              <w:spacing w:after="0"/>
              <w:rPr>
                <w:sz w:val="20"/>
                <w:szCs w:val="20"/>
                <w:color w:val="auto"/>
              </w:rPr>
            </w:pPr>
            <w:r>
              <w:rPr>
                <w:rFonts w:ascii="Arial" w:cs="Arial" w:eastAsia="Arial" w:hAnsi="Arial"/>
                <w:sz w:val="16"/>
                <w:szCs w:val="16"/>
                <w:b w:val="1"/>
                <w:bCs w:val="1"/>
                <w:color w:val="auto"/>
              </w:rPr>
              <w:t>7</w:t>
            </w: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6</w:t>
            </w:r>
          </w:p>
        </w:tc>
      </w:tr>
      <w:tr>
        <w:trPr>
          <w:trHeight w:val="33"/>
        </w:trPr>
        <w:tc>
          <w:tcPr>
            <w:tcW w:w="5680" w:type="dxa"/>
            <w:vAlign w:val="bottom"/>
          </w:tcPr>
          <w:p>
            <w:pPr>
              <w:spacing w:after="0"/>
              <w:rPr>
                <w:sz w:val="2"/>
                <w:szCs w:val="2"/>
                <w:color w:val="auto"/>
              </w:rPr>
            </w:pPr>
          </w:p>
        </w:tc>
        <w:tc>
          <w:tcPr>
            <w:tcW w:w="40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5"/>
        </w:trPr>
        <w:tc>
          <w:tcPr>
            <w:tcW w:w="56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Benefits paid</w:t>
            </w:r>
          </w:p>
        </w:tc>
        <w:tc>
          <w:tcPr>
            <w:tcW w:w="408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b w:val="1"/>
                <w:bCs w:val="1"/>
                <w:color w:val="auto"/>
              </w:rPr>
              <w:t>(7)</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r>
      <w:tr>
        <w:trPr>
          <w:trHeight w:val="231"/>
        </w:trPr>
        <w:tc>
          <w:tcPr>
            <w:tcW w:w="5680" w:type="dxa"/>
            <w:vAlign w:val="bottom"/>
            <w:tcBorders>
              <w:top w:val="single" w:sz="8" w:color="auto"/>
            </w:tcBorders>
          </w:tcPr>
          <w:p>
            <w:pPr>
              <w:ind w:left="280"/>
              <w:spacing w:after="0"/>
              <w:rPr>
                <w:sz w:val="20"/>
                <w:szCs w:val="20"/>
                <w:color w:val="auto"/>
              </w:rPr>
            </w:pPr>
            <w:r>
              <w:rPr>
                <w:rFonts w:ascii="Arial" w:cs="Arial" w:eastAsia="Arial" w:hAnsi="Arial"/>
                <w:sz w:val="16"/>
                <w:szCs w:val="16"/>
                <w:b w:val="1"/>
                <w:bCs w:val="1"/>
                <w:color w:val="auto"/>
              </w:rPr>
              <w:t>Fair value of plan assets at end of year</w:t>
            </w:r>
          </w:p>
        </w:tc>
        <w:tc>
          <w:tcPr>
            <w:tcW w:w="4080" w:type="dxa"/>
            <w:vAlign w:val="bottom"/>
            <w:tcBorders>
              <w:top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w:t>
            </w:r>
          </w:p>
        </w:tc>
        <w:tc>
          <w:tcPr>
            <w:tcW w:w="16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r>
      <w:tr>
        <w:trPr>
          <w:trHeight w:val="33"/>
        </w:trPr>
        <w:tc>
          <w:tcPr>
            <w:tcW w:w="5680" w:type="dxa"/>
            <w:vAlign w:val="bottom"/>
            <w:tcBorders>
              <w:bottom w:val="single" w:sz="8" w:color="auto"/>
            </w:tcBorders>
          </w:tcPr>
          <w:p>
            <w:pPr>
              <w:spacing w:after="0"/>
              <w:rPr>
                <w:sz w:val="2"/>
                <w:szCs w:val="2"/>
                <w:color w:val="auto"/>
              </w:rPr>
            </w:pPr>
          </w:p>
        </w:tc>
        <w:tc>
          <w:tcPr>
            <w:tcW w:w="40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56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b w:val="1"/>
                <w:bCs w:val="1"/>
                <w:color w:val="auto"/>
              </w:rPr>
              <w:t>Underfunded status at end of year</w:t>
            </w:r>
          </w:p>
        </w:tc>
        <w:tc>
          <w:tcPr>
            <w:tcW w:w="408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b w:val="1"/>
                <w:bCs w:val="1"/>
                <w:color w:val="auto"/>
              </w:rPr>
              <w:t>($188)</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($181)</w:t>
            </w:r>
          </w:p>
        </w:tc>
      </w:tr>
      <w:tr>
        <w:trPr>
          <w:trHeight w:val="20"/>
        </w:trPr>
        <w:tc>
          <w:tcPr>
            <w:tcW w:w="5680" w:type="dxa"/>
            <w:vAlign w:val="bottom"/>
            <w:shd w:val="clear" w:color="auto" w:fill="000000"/>
          </w:tcPr>
          <w:p>
            <w:pPr>
              <w:spacing w:after="0" w:line="20" w:lineRule="exact"/>
              <w:rPr>
                <w:sz w:val="1"/>
                <w:szCs w:val="1"/>
                <w:color w:val="auto"/>
              </w:rPr>
            </w:pPr>
          </w:p>
        </w:tc>
        <w:tc>
          <w:tcPr>
            <w:tcW w:w="408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r>
    </w:tbl>
    <w:p>
      <w:pPr>
        <w:spacing w:after="0" w:line="14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accumulated benefit obligation, which is the present value of benefits, assuming no future compensation changes, was $184 and $177 at the end of 2016 and 2015.</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Amounts recognized as liabilities in the Consolidated Balance Sheets consist of the following:</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540" w:type="dxa"/>
            <w:vAlign w:val="bottom"/>
          </w:tcPr>
          <w:p>
            <w:pPr>
              <w:spacing w:after="0"/>
              <w:rPr>
                <w:sz w:val="18"/>
                <w:szCs w:val="18"/>
                <w:color w:val="auto"/>
              </w:rPr>
            </w:pPr>
          </w:p>
        </w:tc>
        <w:tc>
          <w:tcPr>
            <w:tcW w:w="4200" w:type="dxa"/>
            <w:vAlign w:val="bottom"/>
          </w:tcPr>
          <w:p>
            <w:pPr>
              <w:jc w:val="right"/>
              <w:ind w:right="299"/>
              <w:spacing w:after="0"/>
              <w:rPr>
                <w:sz w:val="20"/>
                <w:szCs w:val="20"/>
                <w:color w:val="auto"/>
              </w:rPr>
            </w:pPr>
            <w:r>
              <w:rPr>
                <w:rFonts w:ascii="Arial" w:cs="Arial" w:eastAsia="Arial" w:hAnsi="Arial"/>
                <w:sz w:val="16"/>
                <w:szCs w:val="16"/>
                <w:b w:val="1"/>
                <w:bCs w:val="1"/>
                <w:color w:val="auto"/>
              </w:rPr>
              <w:t>January 28, 2017</w:t>
            </w:r>
          </w:p>
        </w:tc>
        <w:tc>
          <w:tcPr>
            <w:tcW w:w="1660" w:type="dxa"/>
            <w:vAlign w:val="bottom"/>
          </w:tcPr>
          <w:p>
            <w:pPr>
              <w:jc w:val="right"/>
              <w:ind w:right="39"/>
              <w:spacing w:after="0"/>
              <w:rPr>
                <w:sz w:val="20"/>
                <w:szCs w:val="20"/>
                <w:color w:val="auto"/>
              </w:rPr>
            </w:pPr>
            <w:r>
              <w:rPr>
                <w:rFonts w:ascii="Arial" w:cs="Arial" w:eastAsia="Arial" w:hAnsi="Arial"/>
                <w:sz w:val="16"/>
                <w:szCs w:val="16"/>
                <w:b w:val="1"/>
                <w:bCs w:val="1"/>
                <w:color w:val="auto"/>
              </w:rPr>
              <w:t>January 30, 2016</w:t>
            </w:r>
          </w:p>
        </w:tc>
      </w:tr>
      <w:tr>
        <w:trPr>
          <w:trHeight w:val="33"/>
        </w:trPr>
        <w:tc>
          <w:tcPr>
            <w:tcW w:w="5540" w:type="dxa"/>
            <w:vAlign w:val="bottom"/>
            <w:tcBorders>
              <w:bottom w:val="single" w:sz="8" w:color="auto"/>
            </w:tcBorders>
          </w:tcPr>
          <w:p>
            <w:pPr>
              <w:spacing w:after="0"/>
              <w:rPr>
                <w:sz w:val="2"/>
                <w:szCs w:val="2"/>
                <w:color w:val="auto"/>
              </w:rPr>
            </w:pPr>
          </w:p>
        </w:tc>
        <w:tc>
          <w:tcPr>
            <w:tcW w:w="42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4"/>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Accrued salaries, wages and related benefits</w:t>
            </w:r>
          </w:p>
        </w:tc>
        <w:tc>
          <w:tcPr>
            <w:tcW w:w="420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b w:val="1"/>
                <w:bCs w:val="1"/>
                <w:color w:val="auto"/>
              </w:rPr>
              <w:t>$8</w:t>
            </w:r>
          </w:p>
        </w:tc>
        <w:tc>
          <w:tcPr>
            <w:tcW w:w="1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w:t>
            </w:r>
          </w:p>
        </w:tc>
      </w:tr>
      <w:tr>
        <w:trPr>
          <w:trHeight w:val="237"/>
        </w:trPr>
        <w:tc>
          <w:tcPr>
            <w:tcW w:w="5540" w:type="dxa"/>
            <w:vAlign w:val="bottom"/>
          </w:tcPr>
          <w:p>
            <w:pPr>
              <w:ind w:left="40"/>
              <w:spacing w:after="0"/>
              <w:rPr>
                <w:sz w:val="20"/>
                <w:szCs w:val="20"/>
                <w:color w:val="auto"/>
              </w:rPr>
            </w:pPr>
            <w:r>
              <w:rPr>
                <w:rFonts w:ascii="Arial" w:cs="Arial" w:eastAsia="Arial" w:hAnsi="Arial"/>
                <w:sz w:val="16"/>
                <w:szCs w:val="16"/>
                <w:color w:val="auto"/>
              </w:rPr>
              <w:t>Other noncurrent liabilities</w:t>
            </w:r>
          </w:p>
        </w:tc>
        <w:tc>
          <w:tcPr>
            <w:tcW w:w="4200" w:type="dxa"/>
            <w:vAlign w:val="bottom"/>
          </w:tcPr>
          <w:p>
            <w:pPr>
              <w:jc w:val="right"/>
              <w:ind w:right="299"/>
              <w:spacing w:after="0"/>
              <w:rPr>
                <w:sz w:val="20"/>
                <w:szCs w:val="20"/>
                <w:color w:val="auto"/>
              </w:rPr>
            </w:pPr>
            <w:r>
              <w:rPr>
                <w:rFonts w:ascii="Arial" w:cs="Arial" w:eastAsia="Arial" w:hAnsi="Arial"/>
                <w:sz w:val="16"/>
                <w:szCs w:val="16"/>
                <w:b w:val="1"/>
                <w:bCs w:val="1"/>
                <w:color w:val="auto"/>
              </w:rPr>
              <w:t>180</w:t>
            </w:r>
          </w:p>
        </w:tc>
        <w:tc>
          <w:tcPr>
            <w:tcW w:w="1660" w:type="dxa"/>
            <w:vAlign w:val="bottom"/>
          </w:tcPr>
          <w:p>
            <w:pPr>
              <w:jc w:val="right"/>
              <w:ind w:right="39"/>
              <w:spacing w:after="0"/>
              <w:rPr>
                <w:sz w:val="20"/>
                <w:szCs w:val="20"/>
                <w:color w:val="auto"/>
              </w:rPr>
            </w:pPr>
            <w:r>
              <w:rPr>
                <w:rFonts w:ascii="Arial" w:cs="Arial" w:eastAsia="Arial" w:hAnsi="Arial"/>
                <w:sz w:val="16"/>
                <w:szCs w:val="16"/>
                <w:color w:val="auto"/>
              </w:rPr>
              <w:t>173</w:t>
            </w:r>
          </w:p>
        </w:tc>
      </w:tr>
      <w:tr>
        <w:trPr>
          <w:trHeight w:val="33"/>
        </w:trPr>
        <w:tc>
          <w:tcPr>
            <w:tcW w:w="5540" w:type="dxa"/>
            <w:vAlign w:val="bottom"/>
            <w:tcBorders>
              <w:bottom w:val="single" w:sz="8" w:color="auto"/>
            </w:tcBorders>
          </w:tcPr>
          <w:p>
            <w:pPr>
              <w:spacing w:after="0"/>
              <w:rPr>
                <w:sz w:val="2"/>
                <w:szCs w:val="2"/>
                <w:color w:val="auto"/>
              </w:rPr>
            </w:pPr>
          </w:p>
        </w:tc>
        <w:tc>
          <w:tcPr>
            <w:tcW w:w="42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4"/>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amount recognized</w:t>
            </w:r>
          </w:p>
        </w:tc>
        <w:tc>
          <w:tcPr>
            <w:tcW w:w="420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b w:val="1"/>
                <w:bCs w:val="1"/>
                <w:color w:val="auto"/>
              </w:rPr>
              <w:t>$188</w:t>
            </w:r>
          </w:p>
        </w:tc>
        <w:tc>
          <w:tcPr>
            <w:tcW w:w="1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$181</w:t>
            </w:r>
          </w:p>
        </w:tc>
      </w:tr>
      <w:tr>
        <w:trPr>
          <w:trHeight w:val="20"/>
        </w:trPr>
        <w:tc>
          <w:tcPr>
            <w:tcW w:w="5540" w:type="dxa"/>
            <w:vAlign w:val="bottom"/>
            <w:shd w:val="clear" w:color="auto" w:fill="000000"/>
          </w:tcPr>
          <w:p>
            <w:pPr>
              <w:spacing w:after="0" w:line="20" w:lineRule="exact"/>
              <w:rPr>
                <w:sz w:val="1"/>
                <w:szCs w:val="1"/>
                <w:color w:val="auto"/>
              </w:rPr>
            </w:pPr>
          </w:p>
        </w:tc>
        <w:tc>
          <w:tcPr>
            <w:tcW w:w="420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SERP Expense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SERP expense recognized in the Consolidated Statements of Earnings are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680" w:type="dxa"/>
            <w:vAlign w:val="bottom"/>
          </w:tcPr>
          <w:p>
            <w:pPr>
              <w:ind w:left="40"/>
              <w:spacing w:after="0"/>
              <w:rPr>
                <w:sz w:val="20"/>
                <w:szCs w:val="20"/>
                <w:color w:val="auto"/>
              </w:rPr>
            </w:pPr>
            <w:r>
              <w:rPr>
                <w:rFonts w:ascii="Arial" w:cs="Arial" w:eastAsia="Arial" w:hAnsi="Arial"/>
                <w:sz w:val="16"/>
                <w:szCs w:val="16"/>
                <w:b w:val="1"/>
                <w:bCs w:val="1"/>
                <w:color w:val="auto"/>
              </w:rPr>
              <w:t>Fiscal year</w:t>
            </w:r>
          </w:p>
        </w:tc>
        <w:tc>
          <w:tcPr>
            <w:tcW w:w="3560" w:type="dxa"/>
            <w:vAlign w:val="bottom"/>
          </w:tcPr>
          <w:p>
            <w:pPr>
              <w:jc w:val="right"/>
              <w:ind w:right="719"/>
              <w:spacing w:after="0"/>
              <w:rPr>
                <w:sz w:val="20"/>
                <w:szCs w:val="20"/>
                <w:color w:val="auto"/>
              </w:rPr>
            </w:pPr>
            <w:r>
              <w:rPr>
                <w:rFonts w:ascii="Arial" w:cs="Arial" w:eastAsia="Arial" w:hAnsi="Arial"/>
                <w:sz w:val="16"/>
                <w:szCs w:val="16"/>
                <w:b w:val="1"/>
                <w:bCs w:val="1"/>
                <w:color w:val="auto"/>
              </w:rPr>
              <w:t>2016</w:t>
            </w:r>
          </w:p>
        </w:tc>
        <w:tc>
          <w:tcPr>
            <w:tcW w:w="1920" w:type="dxa"/>
            <w:vAlign w:val="bottom"/>
          </w:tcPr>
          <w:p>
            <w:pPr>
              <w:jc w:val="right"/>
              <w:ind w:right="719"/>
              <w:spacing w:after="0"/>
              <w:rPr>
                <w:sz w:val="20"/>
                <w:szCs w:val="20"/>
                <w:color w:val="auto"/>
              </w:rPr>
            </w:pPr>
            <w:r>
              <w:rPr>
                <w:rFonts w:ascii="Arial" w:cs="Arial" w:eastAsia="Arial" w:hAnsi="Arial"/>
                <w:sz w:val="16"/>
                <w:szCs w:val="16"/>
                <w:b w:val="1"/>
                <w:bCs w:val="1"/>
                <w:color w:val="auto"/>
              </w:rPr>
              <w:t>2015</w:t>
            </w:r>
          </w:p>
        </w:tc>
        <w:tc>
          <w:tcPr>
            <w:tcW w:w="1240" w:type="dxa"/>
            <w:vAlign w:val="bottom"/>
          </w:tcPr>
          <w:p>
            <w:pPr>
              <w:jc w:val="right"/>
              <w:ind w:right="39"/>
              <w:spacing w:after="0"/>
              <w:rPr>
                <w:sz w:val="20"/>
                <w:szCs w:val="20"/>
                <w:color w:val="auto"/>
              </w:rPr>
            </w:pPr>
            <w:r>
              <w:rPr>
                <w:rFonts w:ascii="Arial" w:cs="Arial" w:eastAsia="Arial" w:hAnsi="Arial"/>
                <w:sz w:val="16"/>
                <w:szCs w:val="16"/>
                <w:b w:val="1"/>
                <w:bCs w:val="1"/>
                <w:color w:val="auto"/>
              </w:rPr>
              <w:t>2014</w:t>
            </w:r>
          </w:p>
        </w:tc>
      </w:tr>
      <w:tr>
        <w:trPr>
          <w:trHeight w:val="33"/>
        </w:trPr>
        <w:tc>
          <w:tcPr>
            <w:tcW w:w="4680" w:type="dxa"/>
            <w:vAlign w:val="bottom"/>
            <w:tcBorders>
              <w:bottom w:val="single" w:sz="8" w:color="auto"/>
            </w:tcBorders>
          </w:tcPr>
          <w:p>
            <w:pPr>
              <w:spacing w:after="0"/>
              <w:rPr>
                <w:sz w:val="2"/>
                <w:szCs w:val="2"/>
                <w:color w:val="auto"/>
              </w:rPr>
            </w:pPr>
          </w:p>
        </w:tc>
        <w:tc>
          <w:tcPr>
            <w:tcW w:w="35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Participant service cost</w:t>
            </w:r>
          </w:p>
        </w:tc>
        <w:tc>
          <w:tcPr>
            <w:tcW w:w="3560" w:type="dxa"/>
            <w:vAlign w:val="bottom"/>
            <w:tcBorders>
              <w:bottom w:val="single" w:sz="8" w:color="CCEEFF"/>
            </w:tcBorders>
            <w:shd w:val="clear" w:color="auto" w:fill="CCEEFF"/>
          </w:tcPr>
          <w:p>
            <w:pPr>
              <w:jc w:val="right"/>
              <w:ind w:right="719"/>
              <w:spacing w:after="0"/>
              <w:rPr>
                <w:sz w:val="20"/>
                <w:szCs w:val="20"/>
                <w:color w:val="auto"/>
              </w:rPr>
            </w:pPr>
            <w:r>
              <w:rPr>
                <w:rFonts w:ascii="Arial" w:cs="Arial" w:eastAsia="Arial" w:hAnsi="Arial"/>
                <w:sz w:val="16"/>
                <w:szCs w:val="16"/>
                <w:b w:val="1"/>
                <w:bCs w:val="1"/>
                <w:color w:val="auto"/>
              </w:rPr>
              <w:t>$3</w:t>
            </w:r>
          </w:p>
        </w:tc>
        <w:tc>
          <w:tcPr>
            <w:tcW w:w="1920" w:type="dxa"/>
            <w:vAlign w:val="bottom"/>
            <w:tcBorders>
              <w:bottom w:val="single" w:sz="8" w:color="CCEEFF"/>
            </w:tcBorders>
            <w:shd w:val="clear" w:color="auto" w:fill="CCEEFF"/>
          </w:tcPr>
          <w:p>
            <w:pPr>
              <w:jc w:val="right"/>
              <w:ind w:right="719"/>
              <w:spacing w:after="0"/>
              <w:rPr>
                <w:sz w:val="20"/>
                <w:szCs w:val="20"/>
                <w:color w:val="auto"/>
              </w:rPr>
            </w:pPr>
            <w:r>
              <w:rPr>
                <w:rFonts w:ascii="Arial" w:cs="Arial" w:eastAsia="Arial" w:hAnsi="Arial"/>
                <w:sz w:val="16"/>
                <w:szCs w:val="16"/>
                <w:color w:val="auto"/>
              </w:rPr>
              <w:t>$3</w:t>
            </w: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w:t>
            </w:r>
          </w:p>
        </w:tc>
      </w:tr>
      <w:tr>
        <w:trPr>
          <w:trHeight w:val="237"/>
        </w:trPr>
        <w:tc>
          <w:tcPr>
            <w:tcW w:w="4680" w:type="dxa"/>
            <w:vAlign w:val="bottom"/>
          </w:tcPr>
          <w:p>
            <w:pPr>
              <w:ind w:left="40"/>
              <w:spacing w:after="0"/>
              <w:rPr>
                <w:sz w:val="20"/>
                <w:szCs w:val="20"/>
                <w:color w:val="auto"/>
              </w:rPr>
            </w:pPr>
            <w:r>
              <w:rPr>
                <w:rFonts w:ascii="Arial" w:cs="Arial" w:eastAsia="Arial" w:hAnsi="Arial"/>
                <w:sz w:val="16"/>
                <w:szCs w:val="16"/>
                <w:color w:val="auto"/>
              </w:rPr>
              <w:t>Interest cost</w:t>
            </w:r>
          </w:p>
        </w:tc>
        <w:tc>
          <w:tcPr>
            <w:tcW w:w="3560" w:type="dxa"/>
            <w:vAlign w:val="bottom"/>
          </w:tcPr>
          <w:p>
            <w:pPr>
              <w:jc w:val="right"/>
              <w:ind w:right="719"/>
              <w:spacing w:after="0"/>
              <w:rPr>
                <w:sz w:val="20"/>
                <w:szCs w:val="20"/>
                <w:color w:val="auto"/>
              </w:rPr>
            </w:pPr>
            <w:r>
              <w:rPr>
                <w:rFonts w:ascii="Arial" w:cs="Arial" w:eastAsia="Arial" w:hAnsi="Arial"/>
                <w:sz w:val="16"/>
                <w:szCs w:val="16"/>
                <w:b w:val="1"/>
                <w:bCs w:val="1"/>
                <w:color w:val="auto"/>
              </w:rPr>
              <w:t>7</w:t>
            </w:r>
          </w:p>
        </w:tc>
        <w:tc>
          <w:tcPr>
            <w:tcW w:w="1920" w:type="dxa"/>
            <w:vAlign w:val="bottom"/>
          </w:tcPr>
          <w:p>
            <w:pPr>
              <w:jc w:val="right"/>
              <w:ind w:right="719"/>
              <w:spacing w:after="0"/>
              <w:rPr>
                <w:sz w:val="20"/>
                <w:szCs w:val="20"/>
                <w:color w:val="auto"/>
              </w:rPr>
            </w:pPr>
            <w:r>
              <w:rPr>
                <w:rFonts w:ascii="Arial" w:cs="Arial" w:eastAsia="Arial" w:hAnsi="Arial"/>
                <w:sz w:val="16"/>
                <w:szCs w:val="16"/>
                <w:color w:val="auto"/>
              </w:rPr>
              <w:t>7</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7</w:t>
            </w:r>
          </w:p>
        </w:tc>
      </w:tr>
      <w:tr>
        <w:trPr>
          <w:trHeight w:val="33"/>
        </w:trPr>
        <w:tc>
          <w:tcPr>
            <w:tcW w:w="468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5"/>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Amortization of net loss and other</w:t>
            </w:r>
          </w:p>
        </w:tc>
        <w:tc>
          <w:tcPr>
            <w:tcW w:w="3560" w:type="dxa"/>
            <w:vAlign w:val="bottom"/>
            <w:tcBorders>
              <w:bottom w:val="single" w:sz="8" w:color="CCEEFF"/>
            </w:tcBorders>
            <w:shd w:val="clear" w:color="auto" w:fill="CCEEFF"/>
          </w:tcPr>
          <w:p>
            <w:pPr>
              <w:jc w:val="right"/>
              <w:ind w:right="719"/>
              <w:spacing w:after="0"/>
              <w:rPr>
                <w:sz w:val="20"/>
                <w:szCs w:val="20"/>
                <w:color w:val="auto"/>
              </w:rPr>
            </w:pPr>
            <w:r>
              <w:rPr>
                <w:rFonts w:ascii="Arial" w:cs="Arial" w:eastAsia="Arial" w:hAnsi="Arial"/>
                <w:sz w:val="16"/>
                <w:szCs w:val="16"/>
                <w:b w:val="1"/>
                <w:bCs w:val="1"/>
                <w:color w:val="auto"/>
              </w:rPr>
              <w:t>3</w:t>
            </w:r>
          </w:p>
        </w:tc>
        <w:tc>
          <w:tcPr>
            <w:tcW w:w="1920" w:type="dxa"/>
            <w:vAlign w:val="bottom"/>
            <w:tcBorders>
              <w:bottom w:val="single" w:sz="8" w:color="CCEEFF"/>
            </w:tcBorders>
            <w:shd w:val="clear" w:color="auto" w:fill="CCEEFF"/>
          </w:tcPr>
          <w:p>
            <w:pPr>
              <w:jc w:val="right"/>
              <w:ind w:right="719"/>
              <w:spacing w:after="0"/>
              <w:rPr>
                <w:sz w:val="20"/>
                <w:szCs w:val="20"/>
                <w:color w:val="auto"/>
              </w:rPr>
            </w:pPr>
            <w:r>
              <w:rPr>
                <w:rFonts w:ascii="Arial" w:cs="Arial" w:eastAsia="Arial" w:hAnsi="Arial"/>
                <w:sz w:val="16"/>
                <w:szCs w:val="16"/>
                <w:color w:val="auto"/>
              </w:rPr>
              <w:t>11</w:t>
            </w: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w:t>
            </w:r>
          </w:p>
        </w:tc>
      </w:tr>
      <w:tr>
        <w:trPr>
          <w:trHeight w:val="231"/>
        </w:trPr>
        <w:tc>
          <w:tcPr>
            <w:tcW w:w="468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 SERP expense</w:t>
            </w:r>
          </w:p>
        </w:tc>
        <w:tc>
          <w:tcPr>
            <w:tcW w:w="3560" w:type="dxa"/>
            <w:vAlign w:val="bottom"/>
            <w:tcBorders>
              <w:top w:val="single" w:sz="8" w:color="auto"/>
            </w:tcBorders>
          </w:tcPr>
          <w:p>
            <w:pPr>
              <w:jc w:val="right"/>
              <w:ind w:right="719"/>
              <w:spacing w:after="0"/>
              <w:rPr>
                <w:sz w:val="20"/>
                <w:szCs w:val="20"/>
                <w:color w:val="auto"/>
              </w:rPr>
            </w:pPr>
            <w:r>
              <w:rPr>
                <w:rFonts w:ascii="Arial" w:cs="Arial" w:eastAsia="Arial" w:hAnsi="Arial"/>
                <w:sz w:val="16"/>
                <w:szCs w:val="16"/>
                <w:b w:val="1"/>
                <w:bCs w:val="1"/>
                <w:color w:val="auto"/>
              </w:rPr>
              <w:t>$13</w:t>
            </w:r>
          </w:p>
        </w:tc>
        <w:tc>
          <w:tcPr>
            <w:tcW w:w="1920" w:type="dxa"/>
            <w:vAlign w:val="bottom"/>
            <w:tcBorders>
              <w:top w:val="single" w:sz="8" w:color="auto"/>
            </w:tcBorders>
          </w:tcPr>
          <w:p>
            <w:pPr>
              <w:jc w:val="right"/>
              <w:ind w:right="719"/>
              <w:spacing w:after="0"/>
              <w:rPr>
                <w:sz w:val="20"/>
                <w:szCs w:val="20"/>
                <w:color w:val="auto"/>
              </w:rPr>
            </w:pPr>
            <w:r>
              <w:rPr>
                <w:rFonts w:ascii="Arial" w:cs="Arial" w:eastAsia="Arial" w:hAnsi="Arial"/>
                <w:sz w:val="16"/>
                <w:szCs w:val="16"/>
                <w:color w:val="auto"/>
              </w:rPr>
              <w:t>$21</w:t>
            </w:r>
          </w:p>
        </w:tc>
        <w:tc>
          <w:tcPr>
            <w:tcW w:w="1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$16</w:t>
            </w:r>
          </w:p>
        </w:tc>
      </w:tr>
      <w:tr>
        <w:trPr>
          <w:trHeight w:val="33"/>
        </w:trPr>
        <w:tc>
          <w:tcPr>
            <w:tcW w:w="4680" w:type="dxa"/>
            <w:vAlign w:val="bottom"/>
            <w:tcBorders>
              <w:bottom w:val="single" w:sz="8" w:color="auto"/>
            </w:tcBorders>
          </w:tcPr>
          <w:p>
            <w:pPr>
              <w:spacing w:after="0"/>
              <w:rPr>
                <w:sz w:val="2"/>
                <w:szCs w:val="2"/>
                <w:color w:val="auto"/>
              </w:rPr>
            </w:pPr>
          </w:p>
        </w:tc>
        <w:tc>
          <w:tcPr>
            <w:tcW w:w="35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00"/>
          </w:cols>
          <w:pgMar w:left="240" w:top="126" w:right="259" w:bottom="1440" w:gutter="0" w:footer="0" w:header="0"/>
        </w:sectPr>
      </w:pP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1400"/>
          </w:cols>
          <w:pgMar w:left="240" w:top="126" w:right="259" w:bottom="1440" w:gutter="0" w:footer="0" w:header="0"/>
          <w:type w:val="continuous"/>
        </w:sectPr>
      </w:pPr>
    </w:p>
    <w:bookmarkStart w:id="49" w:name="page50"/>
    <w:bookmarkEnd w:id="49"/>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Nordstrom, Inc.</w:t>
      </w:r>
    </w:p>
    <w:p>
      <w:pPr>
        <w:spacing w:after="0" w:line="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rPr>
          <w:sz w:val="20"/>
          <w:szCs w:val="20"/>
          <w:color w:val="auto"/>
        </w:rPr>
      </w:pPr>
      <w:r>
        <w:rPr>
          <w:rFonts w:ascii="Arial" w:cs="Arial" w:eastAsia="Arial" w:hAnsi="Arial"/>
          <w:sz w:val="18"/>
          <w:szCs w:val="18"/>
          <w:color w:val="auto"/>
        </w:rPr>
        <w:t>Dollar and share amounts in millions except per share, per option and per unit amounts</w:t>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Amounts not yet reflected in SERP expense and included in accumulated other comprehensive loss (pre-tax) consist of the following:</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40" w:type="dxa"/>
            <w:vAlign w:val="bottom"/>
          </w:tcPr>
          <w:p>
            <w:pPr>
              <w:spacing w:after="0"/>
              <w:rPr>
                <w:sz w:val="18"/>
                <w:szCs w:val="18"/>
                <w:color w:val="auto"/>
              </w:rPr>
            </w:pPr>
          </w:p>
        </w:tc>
        <w:tc>
          <w:tcPr>
            <w:tcW w:w="4120" w:type="dxa"/>
            <w:vAlign w:val="bottom"/>
          </w:tcPr>
          <w:p>
            <w:pPr>
              <w:jc w:val="right"/>
              <w:ind w:right="319"/>
              <w:spacing w:after="0"/>
              <w:rPr>
                <w:sz w:val="20"/>
                <w:szCs w:val="20"/>
                <w:color w:val="auto"/>
              </w:rPr>
            </w:pPr>
            <w:r>
              <w:rPr>
                <w:rFonts w:ascii="Arial" w:cs="Arial" w:eastAsia="Arial" w:hAnsi="Arial"/>
                <w:sz w:val="16"/>
                <w:szCs w:val="16"/>
                <w:b w:val="1"/>
                <w:bCs w:val="1"/>
                <w:color w:val="auto"/>
              </w:rPr>
              <w:t>January 28, 2017</w:t>
            </w:r>
          </w:p>
        </w:tc>
        <w:tc>
          <w:tcPr>
            <w:tcW w:w="1640" w:type="dxa"/>
            <w:vAlign w:val="bottom"/>
          </w:tcPr>
          <w:p>
            <w:pPr>
              <w:jc w:val="right"/>
              <w:ind w:right="39"/>
              <w:spacing w:after="0"/>
              <w:rPr>
                <w:sz w:val="20"/>
                <w:szCs w:val="20"/>
                <w:color w:val="auto"/>
              </w:rPr>
            </w:pPr>
            <w:r>
              <w:rPr>
                <w:rFonts w:ascii="Arial" w:cs="Arial" w:eastAsia="Arial" w:hAnsi="Arial"/>
                <w:sz w:val="16"/>
                <w:szCs w:val="16"/>
                <w:b w:val="1"/>
                <w:bCs w:val="1"/>
                <w:color w:val="auto"/>
              </w:rPr>
              <w:t>January 30, 2016</w:t>
            </w:r>
          </w:p>
        </w:tc>
      </w:tr>
      <w:tr>
        <w:trPr>
          <w:trHeight w:val="33"/>
        </w:trPr>
        <w:tc>
          <w:tcPr>
            <w:tcW w:w="5640" w:type="dxa"/>
            <w:vAlign w:val="bottom"/>
            <w:tcBorders>
              <w:bottom w:val="single" w:sz="8" w:color="auto"/>
            </w:tcBorders>
          </w:tcPr>
          <w:p>
            <w:pPr>
              <w:spacing w:after="0"/>
              <w:rPr>
                <w:sz w:val="2"/>
                <w:szCs w:val="2"/>
                <w:color w:val="auto"/>
              </w:rPr>
            </w:pPr>
          </w:p>
        </w:tc>
        <w:tc>
          <w:tcPr>
            <w:tcW w:w="41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5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Accumulated loss</w:t>
            </w:r>
          </w:p>
        </w:tc>
        <w:tc>
          <w:tcPr>
            <w:tcW w:w="412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b w:val="1"/>
                <w:bCs w:val="1"/>
                <w:color w:val="auto"/>
              </w:rPr>
              <w:t>($41)</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w:t>
            </w:r>
          </w:p>
        </w:tc>
      </w:tr>
      <w:tr>
        <w:trPr>
          <w:trHeight w:val="237"/>
        </w:trPr>
        <w:tc>
          <w:tcPr>
            <w:tcW w:w="5640" w:type="dxa"/>
            <w:vAlign w:val="bottom"/>
          </w:tcPr>
          <w:p>
            <w:pPr>
              <w:ind w:left="40"/>
              <w:spacing w:after="0"/>
              <w:rPr>
                <w:sz w:val="20"/>
                <w:szCs w:val="20"/>
                <w:color w:val="auto"/>
              </w:rPr>
            </w:pPr>
            <w:r>
              <w:rPr>
                <w:rFonts w:ascii="Arial" w:cs="Arial" w:eastAsia="Arial" w:hAnsi="Arial"/>
                <w:sz w:val="16"/>
                <w:szCs w:val="16"/>
                <w:color w:val="auto"/>
              </w:rPr>
              <w:t>Prior service credit</w:t>
            </w:r>
          </w:p>
        </w:tc>
        <w:tc>
          <w:tcPr>
            <w:tcW w:w="4120" w:type="dxa"/>
            <w:vAlign w:val="bottom"/>
          </w:tcPr>
          <w:p>
            <w:pPr>
              <w:jc w:val="right"/>
              <w:ind w:right="319"/>
              <w:spacing w:after="0"/>
              <w:rPr>
                <w:sz w:val="20"/>
                <w:szCs w:val="20"/>
                <w:color w:val="auto"/>
              </w:rPr>
            </w:pPr>
            <w:r>
              <w:rPr>
                <w:rFonts w:ascii="Arial" w:cs="Arial" w:eastAsia="Arial" w:hAnsi="Arial"/>
                <w:sz w:val="16"/>
                <w:szCs w:val="16"/>
                <w:b w:val="1"/>
                <w:bCs w:val="1"/>
                <w:color w:val="auto"/>
              </w:rPr>
              <w:t>4</w:t>
            </w: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5</w:t>
            </w:r>
          </w:p>
        </w:tc>
      </w:tr>
      <w:tr>
        <w:trPr>
          <w:trHeight w:val="33"/>
        </w:trPr>
        <w:tc>
          <w:tcPr>
            <w:tcW w:w="5640" w:type="dxa"/>
            <w:vAlign w:val="bottom"/>
            <w:tcBorders>
              <w:bottom w:val="single" w:sz="8" w:color="auto"/>
            </w:tcBorders>
          </w:tcPr>
          <w:p>
            <w:pPr>
              <w:spacing w:after="0"/>
              <w:rPr>
                <w:sz w:val="2"/>
                <w:szCs w:val="2"/>
                <w:color w:val="auto"/>
              </w:rPr>
            </w:pPr>
          </w:p>
        </w:tc>
        <w:tc>
          <w:tcPr>
            <w:tcW w:w="41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5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accumulated other comprehensive loss</w:t>
            </w:r>
          </w:p>
        </w:tc>
        <w:tc>
          <w:tcPr>
            <w:tcW w:w="412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b w:val="1"/>
                <w:bCs w:val="1"/>
                <w:color w:val="auto"/>
              </w:rPr>
              <w:t>($37)</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w:t>
            </w:r>
          </w:p>
        </w:tc>
      </w:tr>
      <w:tr>
        <w:trPr>
          <w:trHeight w:val="20"/>
        </w:trPr>
        <w:tc>
          <w:tcPr>
            <w:tcW w:w="5640" w:type="dxa"/>
            <w:vAlign w:val="bottom"/>
            <w:shd w:val="clear" w:color="auto" w:fill="000000"/>
          </w:tcPr>
          <w:p>
            <w:pPr>
              <w:spacing w:after="0" w:line="20" w:lineRule="exact"/>
              <w:rPr>
                <w:sz w:val="1"/>
                <w:szCs w:val="1"/>
                <w:color w:val="auto"/>
              </w:rPr>
            </w:pPr>
          </w:p>
        </w:tc>
        <w:tc>
          <w:tcPr>
            <w:tcW w:w="412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In 2017, we expect $3 of costs currently in accumulated other comprehensive loss to be recognized as components of SERP expense.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Assumptions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Weighted-average assumptions used to determine our benefit obligation and SERP expense are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40" w:type="dxa"/>
            <w:vAlign w:val="bottom"/>
          </w:tcPr>
          <w:p>
            <w:pPr>
              <w:ind w:left="40"/>
              <w:spacing w:after="0"/>
              <w:rPr>
                <w:sz w:val="20"/>
                <w:szCs w:val="20"/>
                <w:color w:val="auto"/>
              </w:rPr>
            </w:pPr>
            <w:r>
              <w:rPr>
                <w:rFonts w:ascii="Arial" w:cs="Arial" w:eastAsia="Arial" w:hAnsi="Arial"/>
                <w:sz w:val="16"/>
                <w:szCs w:val="16"/>
                <w:b w:val="1"/>
                <w:bCs w:val="1"/>
                <w:color w:val="auto"/>
              </w:rPr>
              <w:t>Fiscal year</w:t>
            </w:r>
          </w:p>
        </w:tc>
        <w:tc>
          <w:tcPr>
            <w:tcW w:w="3060" w:type="dxa"/>
            <w:vAlign w:val="bottom"/>
          </w:tcPr>
          <w:p>
            <w:pPr>
              <w:jc w:val="right"/>
              <w:ind w:right="839"/>
              <w:spacing w:after="0"/>
              <w:rPr>
                <w:sz w:val="20"/>
                <w:szCs w:val="20"/>
                <w:color w:val="auto"/>
              </w:rPr>
            </w:pPr>
            <w:r>
              <w:rPr>
                <w:rFonts w:ascii="Arial" w:cs="Arial" w:eastAsia="Arial" w:hAnsi="Arial"/>
                <w:sz w:val="16"/>
                <w:szCs w:val="16"/>
                <w:b w:val="1"/>
                <w:bCs w:val="1"/>
                <w:color w:val="auto"/>
              </w:rPr>
              <w:t>2016</w:t>
            </w:r>
          </w:p>
        </w:tc>
        <w:tc>
          <w:tcPr>
            <w:tcW w:w="1960" w:type="dxa"/>
            <w:vAlign w:val="bottom"/>
          </w:tcPr>
          <w:p>
            <w:pPr>
              <w:jc w:val="right"/>
              <w:ind w:right="799"/>
              <w:spacing w:after="0"/>
              <w:rPr>
                <w:sz w:val="20"/>
                <w:szCs w:val="20"/>
                <w:color w:val="auto"/>
              </w:rPr>
            </w:pPr>
            <w:r>
              <w:rPr>
                <w:rFonts w:ascii="Arial" w:cs="Arial" w:eastAsia="Arial" w:hAnsi="Arial"/>
                <w:sz w:val="16"/>
                <w:szCs w:val="16"/>
                <w:b w:val="1"/>
                <w:bCs w:val="1"/>
                <w:color w:val="auto"/>
              </w:rPr>
              <w:t>2015</w:t>
            </w:r>
          </w:p>
        </w:tc>
        <w:tc>
          <w:tcPr>
            <w:tcW w:w="1240" w:type="dxa"/>
            <w:vAlign w:val="bottom"/>
          </w:tcPr>
          <w:p>
            <w:pPr>
              <w:jc w:val="right"/>
              <w:ind w:right="79"/>
              <w:spacing w:after="0"/>
              <w:rPr>
                <w:sz w:val="20"/>
                <w:szCs w:val="20"/>
                <w:color w:val="auto"/>
              </w:rPr>
            </w:pPr>
            <w:r>
              <w:rPr>
                <w:rFonts w:ascii="Arial" w:cs="Arial" w:eastAsia="Arial" w:hAnsi="Arial"/>
                <w:sz w:val="16"/>
                <w:szCs w:val="16"/>
                <w:b w:val="1"/>
                <w:bCs w:val="1"/>
                <w:color w:val="auto"/>
              </w:rPr>
              <w:t>2014</w:t>
            </w:r>
          </w:p>
        </w:tc>
      </w:tr>
      <w:tr>
        <w:trPr>
          <w:trHeight w:val="33"/>
        </w:trPr>
        <w:tc>
          <w:tcPr>
            <w:tcW w:w="514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Assumptions used to determine benefit obligation:</w:t>
            </w:r>
          </w:p>
        </w:tc>
        <w:tc>
          <w:tcPr>
            <w:tcW w:w="306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37"/>
        </w:trPr>
        <w:tc>
          <w:tcPr>
            <w:tcW w:w="5140" w:type="dxa"/>
            <w:vAlign w:val="bottom"/>
          </w:tcPr>
          <w:p>
            <w:pPr>
              <w:ind w:left="280"/>
              <w:spacing w:after="0"/>
              <w:rPr>
                <w:sz w:val="20"/>
                <w:szCs w:val="20"/>
                <w:color w:val="auto"/>
              </w:rPr>
            </w:pPr>
            <w:r>
              <w:rPr>
                <w:rFonts w:ascii="Arial" w:cs="Arial" w:eastAsia="Arial" w:hAnsi="Arial"/>
                <w:sz w:val="16"/>
                <w:szCs w:val="16"/>
                <w:color w:val="auto"/>
              </w:rPr>
              <w:t>Discount rate</w:t>
            </w:r>
          </w:p>
        </w:tc>
        <w:tc>
          <w:tcPr>
            <w:tcW w:w="3060" w:type="dxa"/>
            <w:vAlign w:val="bottom"/>
          </w:tcPr>
          <w:p>
            <w:pPr>
              <w:jc w:val="right"/>
              <w:ind w:right="679"/>
              <w:spacing w:after="0"/>
              <w:rPr>
                <w:sz w:val="20"/>
                <w:szCs w:val="20"/>
                <w:color w:val="auto"/>
              </w:rPr>
            </w:pPr>
            <w:r>
              <w:rPr>
                <w:rFonts w:ascii="Arial" w:cs="Arial" w:eastAsia="Arial" w:hAnsi="Arial"/>
                <w:sz w:val="16"/>
                <w:szCs w:val="16"/>
                <w:b w:val="1"/>
                <w:bCs w:val="1"/>
                <w:color w:val="auto"/>
              </w:rPr>
              <w:t>4.31%</w:t>
            </w:r>
          </w:p>
        </w:tc>
        <w:tc>
          <w:tcPr>
            <w:tcW w:w="1960" w:type="dxa"/>
            <w:vAlign w:val="bottom"/>
          </w:tcPr>
          <w:p>
            <w:pPr>
              <w:jc w:val="right"/>
              <w:ind w:right="679"/>
              <w:spacing w:after="0"/>
              <w:rPr>
                <w:sz w:val="20"/>
                <w:szCs w:val="20"/>
                <w:color w:val="auto"/>
              </w:rPr>
            </w:pPr>
            <w:r>
              <w:rPr>
                <w:rFonts w:ascii="Arial" w:cs="Arial" w:eastAsia="Arial" w:hAnsi="Arial"/>
                <w:sz w:val="16"/>
                <w:szCs w:val="16"/>
                <w:color w:val="auto"/>
              </w:rPr>
              <w:t>4.55%</w:t>
            </w:r>
          </w:p>
        </w:tc>
        <w:tc>
          <w:tcPr>
            <w:tcW w:w="1240" w:type="dxa"/>
            <w:vAlign w:val="bottom"/>
          </w:tcPr>
          <w:p>
            <w:pPr>
              <w:jc w:val="right"/>
              <w:spacing w:after="0"/>
              <w:rPr>
                <w:sz w:val="20"/>
                <w:szCs w:val="20"/>
                <w:color w:val="auto"/>
              </w:rPr>
            </w:pPr>
            <w:r>
              <w:rPr>
                <w:rFonts w:ascii="Arial" w:cs="Arial" w:eastAsia="Arial" w:hAnsi="Arial"/>
                <w:sz w:val="16"/>
                <w:szCs w:val="16"/>
                <w:color w:val="auto"/>
              </w:rPr>
              <w:t>3.70%</w:t>
            </w:r>
          </w:p>
        </w:tc>
      </w:tr>
      <w:tr>
        <w:trPr>
          <w:trHeight w:val="33"/>
        </w:trPr>
        <w:tc>
          <w:tcPr>
            <w:tcW w:w="514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5"/>
        </w:trPr>
        <w:tc>
          <w:tcPr>
            <w:tcW w:w="51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Rate of compensation increase</w:t>
            </w:r>
          </w:p>
        </w:tc>
        <w:tc>
          <w:tcPr>
            <w:tcW w:w="3060" w:type="dxa"/>
            <w:vAlign w:val="bottom"/>
            <w:tcBorders>
              <w:bottom w:val="single" w:sz="8" w:color="CCEEFF"/>
            </w:tcBorders>
            <w:shd w:val="clear" w:color="auto" w:fill="CCEEFF"/>
          </w:tcPr>
          <w:p>
            <w:pPr>
              <w:jc w:val="right"/>
              <w:ind w:right="679"/>
              <w:spacing w:after="0"/>
              <w:rPr>
                <w:sz w:val="20"/>
                <w:szCs w:val="20"/>
                <w:color w:val="auto"/>
              </w:rPr>
            </w:pPr>
            <w:r>
              <w:rPr>
                <w:rFonts w:ascii="Arial" w:cs="Arial" w:eastAsia="Arial" w:hAnsi="Arial"/>
                <w:sz w:val="16"/>
                <w:szCs w:val="16"/>
                <w:b w:val="1"/>
                <w:bCs w:val="1"/>
                <w:color w:val="auto"/>
              </w:rPr>
              <w:t>3.00%</w:t>
            </w:r>
          </w:p>
        </w:tc>
        <w:tc>
          <w:tcPr>
            <w:tcW w:w="1960" w:type="dxa"/>
            <w:vAlign w:val="bottom"/>
            <w:tcBorders>
              <w:bottom w:val="single" w:sz="8" w:color="CCEEFF"/>
            </w:tcBorders>
            <w:shd w:val="clear" w:color="auto" w:fill="CCEEFF"/>
          </w:tcPr>
          <w:p>
            <w:pPr>
              <w:jc w:val="right"/>
              <w:ind w:right="679"/>
              <w:spacing w:after="0"/>
              <w:rPr>
                <w:sz w:val="20"/>
                <w:szCs w:val="20"/>
                <w:color w:val="auto"/>
              </w:rPr>
            </w:pPr>
            <w:r>
              <w:rPr>
                <w:rFonts w:ascii="Arial" w:cs="Arial" w:eastAsia="Arial" w:hAnsi="Arial"/>
                <w:sz w:val="16"/>
                <w:szCs w:val="16"/>
                <w:color w:val="auto"/>
              </w:rPr>
              <w:t>3.00%</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3.00%</w:t>
            </w:r>
          </w:p>
        </w:tc>
      </w:tr>
      <w:tr>
        <w:trPr>
          <w:trHeight w:val="231"/>
        </w:trPr>
        <w:tc>
          <w:tcPr>
            <w:tcW w:w="514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Assumptions used to determine SERP expense:</w:t>
            </w:r>
          </w:p>
        </w:tc>
        <w:tc>
          <w:tcPr>
            <w:tcW w:w="3060" w:type="dxa"/>
            <w:vAlign w:val="bottom"/>
            <w:tcBorders>
              <w:top w:val="single" w:sz="8" w:color="auto"/>
            </w:tcBorders>
          </w:tcPr>
          <w:p>
            <w:pPr>
              <w:spacing w:after="0"/>
              <w:rPr>
                <w:sz w:val="20"/>
                <w:szCs w:val="20"/>
                <w:color w:val="auto"/>
              </w:rPr>
            </w:pPr>
          </w:p>
        </w:tc>
        <w:tc>
          <w:tcPr>
            <w:tcW w:w="19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r>
      <w:tr>
        <w:trPr>
          <w:trHeight w:val="33"/>
        </w:trPr>
        <w:tc>
          <w:tcPr>
            <w:tcW w:w="514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Discount rate</w:t>
            </w:r>
          </w:p>
        </w:tc>
        <w:tc>
          <w:tcPr>
            <w:tcW w:w="3060" w:type="dxa"/>
            <w:vAlign w:val="bottom"/>
            <w:tcBorders>
              <w:bottom w:val="single" w:sz="8" w:color="CCEEFF"/>
            </w:tcBorders>
            <w:shd w:val="clear" w:color="auto" w:fill="CCEEFF"/>
          </w:tcPr>
          <w:p>
            <w:pPr>
              <w:jc w:val="right"/>
              <w:ind w:right="679"/>
              <w:spacing w:after="0"/>
              <w:rPr>
                <w:sz w:val="20"/>
                <w:szCs w:val="20"/>
                <w:color w:val="auto"/>
              </w:rPr>
            </w:pPr>
            <w:r>
              <w:rPr>
                <w:rFonts w:ascii="Arial" w:cs="Arial" w:eastAsia="Arial" w:hAnsi="Arial"/>
                <w:sz w:val="16"/>
                <w:szCs w:val="16"/>
                <w:b w:val="1"/>
                <w:bCs w:val="1"/>
                <w:color w:val="auto"/>
              </w:rPr>
              <w:t>4.55%</w:t>
            </w:r>
          </w:p>
        </w:tc>
        <w:tc>
          <w:tcPr>
            <w:tcW w:w="1960" w:type="dxa"/>
            <w:vAlign w:val="bottom"/>
            <w:tcBorders>
              <w:bottom w:val="single" w:sz="8" w:color="CCEEFF"/>
            </w:tcBorders>
            <w:shd w:val="clear" w:color="auto" w:fill="CCEEFF"/>
          </w:tcPr>
          <w:p>
            <w:pPr>
              <w:jc w:val="right"/>
              <w:ind w:right="679"/>
              <w:spacing w:after="0"/>
              <w:rPr>
                <w:sz w:val="20"/>
                <w:szCs w:val="20"/>
                <w:color w:val="auto"/>
              </w:rPr>
            </w:pPr>
            <w:r>
              <w:rPr>
                <w:rFonts w:ascii="Arial" w:cs="Arial" w:eastAsia="Arial" w:hAnsi="Arial"/>
                <w:sz w:val="16"/>
                <w:szCs w:val="16"/>
                <w:color w:val="auto"/>
              </w:rPr>
              <w:t>3.70%</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4.60%</w:t>
            </w:r>
          </w:p>
        </w:tc>
      </w:tr>
      <w:tr>
        <w:trPr>
          <w:trHeight w:val="237"/>
        </w:trPr>
        <w:tc>
          <w:tcPr>
            <w:tcW w:w="5140" w:type="dxa"/>
            <w:vAlign w:val="bottom"/>
          </w:tcPr>
          <w:p>
            <w:pPr>
              <w:ind w:left="280"/>
              <w:spacing w:after="0"/>
              <w:rPr>
                <w:sz w:val="20"/>
                <w:szCs w:val="20"/>
                <w:color w:val="auto"/>
              </w:rPr>
            </w:pPr>
            <w:r>
              <w:rPr>
                <w:rFonts w:ascii="Arial" w:cs="Arial" w:eastAsia="Arial" w:hAnsi="Arial"/>
                <w:sz w:val="16"/>
                <w:szCs w:val="16"/>
                <w:color w:val="auto"/>
              </w:rPr>
              <w:t>Rate of compensation increase</w:t>
            </w:r>
          </w:p>
        </w:tc>
        <w:tc>
          <w:tcPr>
            <w:tcW w:w="3060" w:type="dxa"/>
            <w:vAlign w:val="bottom"/>
          </w:tcPr>
          <w:p>
            <w:pPr>
              <w:jc w:val="right"/>
              <w:ind w:right="679"/>
              <w:spacing w:after="0"/>
              <w:rPr>
                <w:sz w:val="20"/>
                <w:szCs w:val="20"/>
                <w:color w:val="auto"/>
              </w:rPr>
            </w:pPr>
            <w:r>
              <w:rPr>
                <w:rFonts w:ascii="Arial" w:cs="Arial" w:eastAsia="Arial" w:hAnsi="Arial"/>
                <w:sz w:val="16"/>
                <w:szCs w:val="16"/>
                <w:b w:val="1"/>
                <w:bCs w:val="1"/>
                <w:color w:val="auto"/>
              </w:rPr>
              <w:t>3.00%</w:t>
            </w:r>
          </w:p>
        </w:tc>
        <w:tc>
          <w:tcPr>
            <w:tcW w:w="1960" w:type="dxa"/>
            <w:vAlign w:val="bottom"/>
          </w:tcPr>
          <w:p>
            <w:pPr>
              <w:jc w:val="right"/>
              <w:ind w:right="679"/>
              <w:spacing w:after="0"/>
              <w:rPr>
                <w:sz w:val="20"/>
                <w:szCs w:val="20"/>
                <w:color w:val="auto"/>
              </w:rPr>
            </w:pPr>
            <w:r>
              <w:rPr>
                <w:rFonts w:ascii="Arial" w:cs="Arial" w:eastAsia="Arial" w:hAnsi="Arial"/>
                <w:sz w:val="16"/>
                <w:szCs w:val="16"/>
                <w:color w:val="auto"/>
              </w:rPr>
              <w:t>3.00%</w:t>
            </w:r>
          </w:p>
        </w:tc>
        <w:tc>
          <w:tcPr>
            <w:tcW w:w="1240" w:type="dxa"/>
            <w:vAlign w:val="bottom"/>
          </w:tcPr>
          <w:p>
            <w:pPr>
              <w:jc w:val="right"/>
              <w:spacing w:after="0"/>
              <w:rPr>
                <w:sz w:val="20"/>
                <w:szCs w:val="20"/>
                <w:color w:val="auto"/>
              </w:rPr>
            </w:pPr>
            <w:r>
              <w:rPr>
                <w:rFonts w:ascii="Arial" w:cs="Arial" w:eastAsia="Arial" w:hAnsi="Arial"/>
                <w:sz w:val="16"/>
                <w:szCs w:val="16"/>
                <w:color w:val="auto"/>
              </w:rPr>
              <w:t>3.00%</w:t>
            </w:r>
          </w:p>
        </w:tc>
      </w:tr>
      <w:tr>
        <w:trPr>
          <w:trHeight w:val="33"/>
        </w:trPr>
        <w:tc>
          <w:tcPr>
            <w:tcW w:w="514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Benefit Payments and Contributions</w:t>
      </w:r>
    </w:p>
    <w:p>
      <w:pPr>
        <w:spacing w:after="0" w:line="27"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As of January 28, 2017, the expected future benefit payments based upon the assumptions described above and including benefits attributable to estimated future employee service are as follows:</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Fiscal year</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598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2017</w:t>
            </w:r>
          </w:p>
        </w:tc>
        <w:tc>
          <w:tcPr>
            <w:tcW w:w="542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w:t>
            </w:r>
          </w:p>
        </w:tc>
      </w:tr>
      <w:tr>
        <w:trPr>
          <w:trHeight w:val="224"/>
        </w:trPr>
        <w:tc>
          <w:tcPr>
            <w:tcW w:w="5980" w:type="dxa"/>
            <w:vAlign w:val="bottom"/>
          </w:tcPr>
          <w:p>
            <w:pPr>
              <w:ind w:left="40"/>
              <w:spacing w:after="0"/>
              <w:rPr>
                <w:sz w:val="20"/>
                <w:szCs w:val="20"/>
                <w:color w:val="auto"/>
              </w:rPr>
            </w:pPr>
            <w:r>
              <w:rPr>
                <w:rFonts w:ascii="Arial" w:cs="Arial" w:eastAsia="Arial" w:hAnsi="Arial"/>
                <w:sz w:val="16"/>
                <w:szCs w:val="16"/>
                <w:color w:val="auto"/>
              </w:rPr>
              <w:t>2018</w:t>
            </w:r>
          </w:p>
        </w:tc>
        <w:tc>
          <w:tcPr>
            <w:tcW w:w="5420" w:type="dxa"/>
            <w:vAlign w:val="bottom"/>
          </w:tcPr>
          <w:p>
            <w:pPr>
              <w:jc w:val="right"/>
              <w:ind w:right="39"/>
              <w:spacing w:after="0"/>
              <w:rPr>
                <w:sz w:val="20"/>
                <w:szCs w:val="20"/>
                <w:color w:val="auto"/>
              </w:rPr>
            </w:pPr>
            <w:r>
              <w:rPr>
                <w:rFonts w:ascii="Arial" w:cs="Arial" w:eastAsia="Arial" w:hAnsi="Arial"/>
                <w:sz w:val="16"/>
                <w:szCs w:val="16"/>
                <w:color w:val="auto"/>
              </w:rPr>
              <w:t>9</w:t>
            </w:r>
          </w:p>
        </w:tc>
      </w:tr>
      <w:tr>
        <w:trPr>
          <w:trHeight w:val="33"/>
        </w:trPr>
        <w:tc>
          <w:tcPr>
            <w:tcW w:w="5980" w:type="dxa"/>
            <w:vAlign w:val="bottom"/>
          </w:tcPr>
          <w:p>
            <w:pPr>
              <w:spacing w:after="0"/>
              <w:rPr>
                <w:sz w:val="2"/>
                <w:szCs w:val="2"/>
                <w:color w:val="auto"/>
              </w:rPr>
            </w:pPr>
          </w:p>
        </w:tc>
        <w:tc>
          <w:tcPr>
            <w:tcW w:w="5420" w:type="dxa"/>
            <w:vAlign w:val="bottom"/>
          </w:tcPr>
          <w:p>
            <w:pPr>
              <w:spacing w:after="0"/>
              <w:rPr>
                <w:sz w:val="2"/>
                <w:szCs w:val="2"/>
                <w:color w:val="auto"/>
              </w:rPr>
            </w:pPr>
          </w:p>
        </w:tc>
      </w:tr>
      <w:tr>
        <w:trPr>
          <w:trHeight w:val="237"/>
        </w:trPr>
        <w:tc>
          <w:tcPr>
            <w:tcW w:w="5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2019</w:t>
            </w:r>
          </w:p>
        </w:tc>
        <w:tc>
          <w:tcPr>
            <w:tcW w:w="5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w:t>
            </w:r>
          </w:p>
        </w:tc>
      </w:tr>
      <w:tr>
        <w:trPr>
          <w:trHeight w:val="224"/>
        </w:trPr>
        <w:tc>
          <w:tcPr>
            <w:tcW w:w="5980" w:type="dxa"/>
            <w:vAlign w:val="bottom"/>
          </w:tcPr>
          <w:p>
            <w:pPr>
              <w:ind w:left="40"/>
              <w:spacing w:after="0"/>
              <w:rPr>
                <w:sz w:val="20"/>
                <w:szCs w:val="20"/>
                <w:color w:val="auto"/>
              </w:rPr>
            </w:pPr>
            <w:r>
              <w:rPr>
                <w:rFonts w:ascii="Arial" w:cs="Arial" w:eastAsia="Arial" w:hAnsi="Arial"/>
                <w:sz w:val="16"/>
                <w:szCs w:val="16"/>
                <w:color w:val="auto"/>
              </w:rPr>
              <w:t>2020</w:t>
            </w:r>
          </w:p>
        </w:tc>
        <w:tc>
          <w:tcPr>
            <w:tcW w:w="5420" w:type="dxa"/>
            <w:vAlign w:val="bottom"/>
          </w:tcPr>
          <w:p>
            <w:pPr>
              <w:jc w:val="right"/>
              <w:ind w:right="39"/>
              <w:spacing w:after="0"/>
              <w:rPr>
                <w:sz w:val="20"/>
                <w:szCs w:val="20"/>
                <w:color w:val="auto"/>
              </w:rPr>
            </w:pPr>
            <w:r>
              <w:rPr>
                <w:rFonts w:ascii="Arial" w:cs="Arial" w:eastAsia="Arial" w:hAnsi="Arial"/>
                <w:sz w:val="16"/>
                <w:szCs w:val="16"/>
                <w:color w:val="auto"/>
              </w:rPr>
              <w:t>11</w:t>
            </w:r>
          </w:p>
        </w:tc>
      </w:tr>
      <w:tr>
        <w:trPr>
          <w:trHeight w:val="33"/>
        </w:trPr>
        <w:tc>
          <w:tcPr>
            <w:tcW w:w="5980" w:type="dxa"/>
            <w:vAlign w:val="bottom"/>
          </w:tcPr>
          <w:p>
            <w:pPr>
              <w:spacing w:after="0"/>
              <w:rPr>
                <w:sz w:val="2"/>
                <w:szCs w:val="2"/>
                <w:color w:val="auto"/>
              </w:rPr>
            </w:pPr>
          </w:p>
        </w:tc>
        <w:tc>
          <w:tcPr>
            <w:tcW w:w="5420" w:type="dxa"/>
            <w:vAlign w:val="bottom"/>
          </w:tcPr>
          <w:p>
            <w:pPr>
              <w:spacing w:after="0"/>
              <w:rPr>
                <w:sz w:val="2"/>
                <w:szCs w:val="2"/>
                <w:color w:val="auto"/>
              </w:rPr>
            </w:pPr>
          </w:p>
        </w:tc>
      </w:tr>
      <w:tr>
        <w:trPr>
          <w:trHeight w:val="237"/>
        </w:trPr>
        <w:tc>
          <w:tcPr>
            <w:tcW w:w="5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2021</w:t>
            </w:r>
          </w:p>
        </w:tc>
        <w:tc>
          <w:tcPr>
            <w:tcW w:w="5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w:t>
            </w:r>
          </w:p>
        </w:tc>
      </w:tr>
      <w:tr>
        <w:trPr>
          <w:trHeight w:val="224"/>
        </w:trPr>
        <w:tc>
          <w:tcPr>
            <w:tcW w:w="5980" w:type="dxa"/>
            <w:vAlign w:val="bottom"/>
          </w:tcPr>
          <w:p>
            <w:pPr>
              <w:ind w:left="40"/>
              <w:spacing w:after="0"/>
              <w:rPr>
                <w:sz w:val="20"/>
                <w:szCs w:val="20"/>
                <w:color w:val="auto"/>
              </w:rPr>
            </w:pPr>
            <w:r>
              <w:rPr>
                <w:rFonts w:ascii="Arial" w:cs="Arial" w:eastAsia="Arial" w:hAnsi="Arial"/>
                <w:sz w:val="16"/>
                <w:szCs w:val="16"/>
                <w:color w:val="auto"/>
              </w:rPr>
              <w:t>2022 – 2026</w:t>
            </w:r>
          </w:p>
        </w:tc>
        <w:tc>
          <w:tcPr>
            <w:tcW w:w="5420" w:type="dxa"/>
            <w:vAlign w:val="bottom"/>
          </w:tcPr>
          <w:p>
            <w:pPr>
              <w:jc w:val="right"/>
              <w:ind w:right="39"/>
              <w:spacing w:after="0"/>
              <w:rPr>
                <w:sz w:val="20"/>
                <w:szCs w:val="20"/>
                <w:color w:val="auto"/>
              </w:rPr>
            </w:pPr>
            <w:r>
              <w:rPr>
                <w:rFonts w:ascii="Arial" w:cs="Arial" w:eastAsia="Arial" w:hAnsi="Arial"/>
                <w:sz w:val="16"/>
                <w:szCs w:val="16"/>
                <w:color w:val="auto"/>
              </w:rPr>
              <w:t>60</w:t>
            </w:r>
          </w:p>
        </w:tc>
      </w:tr>
      <w:tr>
        <w:trPr>
          <w:trHeight w:val="33"/>
        </w:trPr>
        <w:tc>
          <w:tcPr>
            <w:tcW w:w="5980" w:type="dxa"/>
            <w:vAlign w:val="bottom"/>
            <w:tcBorders>
              <w:bottom w:val="single" w:sz="8" w:color="auto"/>
            </w:tcBorders>
          </w:tcPr>
          <w:p>
            <w:pPr>
              <w:spacing w:after="0"/>
              <w:rPr>
                <w:sz w:val="2"/>
                <w:szCs w:val="2"/>
                <w:color w:val="auto"/>
              </w:rPr>
            </w:pPr>
          </w:p>
        </w:tc>
        <w:tc>
          <w:tcPr>
            <w:tcW w:w="5420" w:type="dxa"/>
            <w:vAlign w:val="bottom"/>
            <w:tcBorders>
              <w:bottom w:val="single" w:sz="8" w:color="auto"/>
            </w:tcBorders>
          </w:tcPr>
          <w:p>
            <w:pPr>
              <w:spacing w:after="0"/>
              <w:rPr>
                <w:sz w:val="2"/>
                <w:szCs w:val="2"/>
                <w:color w:val="auto"/>
              </w:rPr>
            </w:pPr>
          </w:p>
        </w:tc>
      </w:tr>
    </w:tbl>
    <w:p>
      <w:pPr>
        <w:spacing w:after="0" w:line="395" w:lineRule="exact"/>
        <w:rPr>
          <w:sz w:val="20"/>
          <w:szCs w:val="20"/>
          <w:color w:val="auto"/>
        </w:rPr>
      </w:pPr>
    </w:p>
    <w:p>
      <w:pPr>
        <w:jc w:val="right"/>
        <w:spacing w:after="0"/>
        <w:rPr>
          <w:sz w:val="20"/>
          <w:szCs w:val="20"/>
          <w:color w:val="auto"/>
        </w:rPr>
      </w:pPr>
      <w:r>
        <w:rPr>
          <w:rFonts w:ascii="Arial" w:cs="Arial" w:eastAsia="Arial" w:hAnsi="Arial"/>
          <w:sz w:val="13"/>
          <w:szCs w:val="13"/>
          <w:color w:val="auto"/>
        </w:rPr>
        <w:t xml:space="preserve">Nordstrom, Inc. and subsidiaries </w:t>
      </w:r>
      <w:r>
        <w:rPr>
          <w:rFonts w:ascii="Arial" w:cs="Arial" w:eastAsia="Arial" w:hAnsi="Arial"/>
          <w:sz w:val="16"/>
          <w:szCs w:val="16"/>
          <w:color w:val="auto"/>
        </w:rPr>
        <w:t>49</w:t>
      </w:r>
    </w:p>
    <w:p>
      <w:pPr>
        <w:sectPr>
          <w:pgSz w:w="11900" w:h="16838" w:orient="portrait"/>
          <w:cols w:equalWidth="0" w:num="1">
            <w:col w:w="11420"/>
          </w:cols>
          <w:pgMar w:left="240" w:top="126" w:right="239" w:bottom="1440" w:gutter="0" w:footer="0" w:header="0"/>
        </w:sectPr>
      </w:pPr>
    </w:p>
    <w:bookmarkStart w:id="50" w:name="page51"/>
    <w:bookmarkEnd w:id="50"/>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Nordstrom, Inc.</w:t>
      </w:r>
    </w:p>
    <w:p>
      <w:pPr>
        <w:spacing w:after="0" w:line="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rPr>
          <w:sz w:val="20"/>
          <w:szCs w:val="20"/>
          <w:color w:val="auto"/>
        </w:rPr>
      </w:pPr>
      <w:r>
        <w:rPr>
          <w:rFonts w:ascii="Arial" w:cs="Arial" w:eastAsia="Arial" w:hAnsi="Arial"/>
          <w:sz w:val="18"/>
          <w:szCs w:val="18"/>
          <w:color w:val="auto"/>
        </w:rPr>
        <w:t>Dollar and share amounts in millions except per share, per option and per unit amounts</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DEBT AND CREDIT FACILITIES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 summary of our long-term debt, including capital leases, is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740" w:type="dxa"/>
            <w:vAlign w:val="bottom"/>
          </w:tcPr>
          <w:p>
            <w:pPr>
              <w:spacing w:after="0"/>
              <w:rPr>
                <w:sz w:val="18"/>
                <w:szCs w:val="18"/>
                <w:color w:val="auto"/>
              </w:rPr>
            </w:pPr>
          </w:p>
        </w:tc>
        <w:tc>
          <w:tcPr>
            <w:tcW w:w="4020" w:type="dxa"/>
            <w:vAlign w:val="bottom"/>
          </w:tcPr>
          <w:p>
            <w:pPr>
              <w:jc w:val="right"/>
              <w:ind w:right="319"/>
              <w:spacing w:after="0"/>
              <w:rPr>
                <w:sz w:val="20"/>
                <w:szCs w:val="20"/>
                <w:color w:val="auto"/>
              </w:rPr>
            </w:pPr>
            <w:r>
              <w:rPr>
                <w:rFonts w:ascii="Arial" w:cs="Arial" w:eastAsia="Arial" w:hAnsi="Arial"/>
                <w:sz w:val="16"/>
                <w:szCs w:val="16"/>
                <w:b w:val="1"/>
                <w:bCs w:val="1"/>
                <w:color w:val="auto"/>
              </w:rPr>
              <w:t>January 28, 2017</w:t>
            </w:r>
          </w:p>
        </w:tc>
        <w:tc>
          <w:tcPr>
            <w:tcW w:w="1640" w:type="dxa"/>
            <w:vAlign w:val="bottom"/>
          </w:tcPr>
          <w:p>
            <w:pPr>
              <w:jc w:val="right"/>
              <w:ind w:right="39"/>
              <w:spacing w:after="0"/>
              <w:rPr>
                <w:sz w:val="20"/>
                <w:szCs w:val="20"/>
                <w:color w:val="auto"/>
              </w:rPr>
            </w:pPr>
            <w:r>
              <w:rPr>
                <w:rFonts w:ascii="Arial" w:cs="Arial" w:eastAsia="Arial" w:hAnsi="Arial"/>
                <w:sz w:val="16"/>
                <w:szCs w:val="16"/>
                <w:b w:val="1"/>
                <w:bCs w:val="1"/>
                <w:color w:val="auto"/>
              </w:rPr>
              <w:t>January 30, 2016</w:t>
            </w:r>
          </w:p>
        </w:tc>
      </w:tr>
      <w:tr>
        <w:trPr>
          <w:trHeight w:val="33"/>
        </w:trPr>
        <w:tc>
          <w:tcPr>
            <w:tcW w:w="5740" w:type="dxa"/>
            <w:vAlign w:val="bottom"/>
            <w:tcBorders>
              <w:bottom w:val="single" w:sz="8" w:color="auto"/>
            </w:tcBorders>
          </w:tcPr>
          <w:p>
            <w:pPr>
              <w:spacing w:after="0"/>
              <w:rPr>
                <w:sz w:val="2"/>
                <w:szCs w:val="2"/>
                <w:color w:val="auto"/>
              </w:rPr>
            </w:pPr>
          </w:p>
        </w:tc>
        <w:tc>
          <w:tcPr>
            <w:tcW w:w="40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Secured</w:t>
            </w:r>
          </w:p>
        </w:tc>
        <w:tc>
          <w:tcPr>
            <w:tcW w:w="40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37"/>
        </w:trPr>
        <w:tc>
          <w:tcPr>
            <w:tcW w:w="5740" w:type="dxa"/>
            <w:vAlign w:val="bottom"/>
          </w:tcPr>
          <w:p>
            <w:pPr>
              <w:ind w:left="280"/>
              <w:spacing w:after="0"/>
              <w:rPr>
                <w:sz w:val="20"/>
                <w:szCs w:val="20"/>
                <w:color w:val="auto"/>
              </w:rPr>
            </w:pPr>
            <w:r>
              <w:rPr>
                <w:rFonts w:ascii="Arial" w:cs="Arial" w:eastAsia="Arial" w:hAnsi="Arial"/>
                <w:sz w:val="16"/>
                <w:szCs w:val="16"/>
                <w:color w:val="auto"/>
              </w:rPr>
              <w:t>Mortgage payable, 7.68%, due April 2020</w:t>
            </w:r>
          </w:p>
        </w:tc>
        <w:tc>
          <w:tcPr>
            <w:tcW w:w="4020" w:type="dxa"/>
            <w:vAlign w:val="bottom"/>
          </w:tcPr>
          <w:p>
            <w:pPr>
              <w:jc w:val="right"/>
              <w:ind w:right="319"/>
              <w:spacing w:after="0"/>
              <w:rPr>
                <w:sz w:val="20"/>
                <w:szCs w:val="20"/>
                <w:color w:val="auto"/>
              </w:rPr>
            </w:pPr>
            <w:r>
              <w:rPr>
                <w:rFonts w:ascii="Arial" w:cs="Arial" w:eastAsia="Arial" w:hAnsi="Arial"/>
                <w:sz w:val="16"/>
                <w:szCs w:val="16"/>
                <w:b w:val="1"/>
                <w:bCs w:val="1"/>
                <w:color w:val="auto"/>
              </w:rPr>
              <w:t>24</w:t>
            </w: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30</w:t>
            </w:r>
          </w:p>
        </w:tc>
      </w:tr>
      <w:tr>
        <w:trPr>
          <w:trHeight w:val="33"/>
        </w:trPr>
        <w:tc>
          <w:tcPr>
            <w:tcW w:w="5740" w:type="dxa"/>
            <w:vAlign w:val="bottom"/>
          </w:tcPr>
          <w:p>
            <w:pPr>
              <w:spacing w:after="0"/>
              <w:rPr>
                <w:sz w:val="2"/>
                <w:szCs w:val="2"/>
                <w:color w:val="auto"/>
              </w:rPr>
            </w:pPr>
          </w:p>
        </w:tc>
        <w:tc>
          <w:tcPr>
            <w:tcW w:w="40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5"/>
        </w:trPr>
        <w:tc>
          <w:tcPr>
            <w:tcW w:w="5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w:t>
            </w:r>
          </w:p>
        </w:tc>
        <w:tc>
          <w:tcPr>
            <w:tcW w:w="402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b w:val="1"/>
                <w:bCs w:val="1"/>
                <w:color w:val="auto"/>
              </w:rPr>
              <w:t>3</w:t>
            </w: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w:t>
            </w:r>
          </w:p>
        </w:tc>
      </w:tr>
      <w:tr>
        <w:trPr>
          <w:trHeight w:val="231"/>
        </w:trPr>
        <w:tc>
          <w:tcPr>
            <w:tcW w:w="5740" w:type="dxa"/>
            <w:vAlign w:val="bottom"/>
            <w:tcBorders>
              <w:top w:val="single" w:sz="8" w:color="auto"/>
            </w:tcBorders>
          </w:tcPr>
          <w:p>
            <w:pPr>
              <w:ind w:left="80"/>
              <w:spacing w:after="0"/>
              <w:rPr>
                <w:sz w:val="20"/>
                <w:szCs w:val="20"/>
                <w:color w:val="auto"/>
              </w:rPr>
            </w:pPr>
            <w:r>
              <w:rPr>
                <w:rFonts w:ascii="Arial" w:cs="Arial" w:eastAsia="Arial" w:hAnsi="Arial"/>
                <w:sz w:val="16"/>
                <w:szCs w:val="16"/>
                <w:b w:val="1"/>
                <w:bCs w:val="1"/>
                <w:color w:val="auto"/>
              </w:rPr>
              <w:t>Total secured debt</w:t>
            </w:r>
          </w:p>
        </w:tc>
        <w:tc>
          <w:tcPr>
            <w:tcW w:w="4020" w:type="dxa"/>
            <w:vAlign w:val="bottom"/>
            <w:tcBorders>
              <w:top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27</w:t>
            </w:r>
          </w:p>
        </w:tc>
        <w:tc>
          <w:tcPr>
            <w:tcW w:w="16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35</w:t>
            </w:r>
          </w:p>
        </w:tc>
      </w:tr>
      <w:tr>
        <w:trPr>
          <w:trHeight w:val="33"/>
        </w:trPr>
        <w:tc>
          <w:tcPr>
            <w:tcW w:w="5740" w:type="dxa"/>
            <w:vAlign w:val="bottom"/>
            <w:tcBorders>
              <w:bottom w:val="single" w:sz="8" w:color="auto"/>
            </w:tcBorders>
          </w:tcPr>
          <w:p>
            <w:pPr>
              <w:spacing w:after="0"/>
              <w:rPr>
                <w:sz w:val="2"/>
                <w:szCs w:val="2"/>
                <w:color w:val="auto"/>
              </w:rPr>
            </w:pPr>
          </w:p>
        </w:tc>
        <w:tc>
          <w:tcPr>
            <w:tcW w:w="40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Unsecured</w:t>
            </w:r>
          </w:p>
        </w:tc>
        <w:tc>
          <w:tcPr>
            <w:tcW w:w="40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37"/>
        </w:trPr>
        <w:tc>
          <w:tcPr>
            <w:tcW w:w="5740" w:type="dxa"/>
            <w:vAlign w:val="bottom"/>
          </w:tcPr>
          <w:p>
            <w:pPr>
              <w:ind w:left="280"/>
              <w:spacing w:after="0"/>
              <w:rPr>
                <w:sz w:val="20"/>
                <w:szCs w:val="20"/>
                <w:color w:val="auto"/>
              </w:rPr>
            </w:pPr>
            <w:r>
              <w:rPr>
                <w:rFonts w:ascii="Arial" w:cs="Arial" w:eastAsia="Arial" w:hAnsi="Arial"/>
                <w:sz w:val="16"/>
                <w:szCs w:val="16"/>
                <w:color w:val="auto"/>
              </w:rPr>
              <w:t>Net of unamortized discount:</w:t>
            </w:r>
          </w:p>
        </w:tc>
        <w:tc>
          <w:tcPr>
            <w:tcW w:w="402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33"/>
        </w:trPr>
        <w:tc>
          <w:tcPr>
            <w:tcW w:w="5740" w:type="dxa"/>
            <w:vAlign w:val="bottom"/>
          </w:tcPr>
          <w:p>
            <w:pPr>
              <w:spacing w:after="0"/>
              <w:rPr>
                <w:sz w:val="2"/>
                <w:szCs w:val="2"/>
                <w:color w:val="auto"/>
              </w:rPr>
            </w:pPr>
          </w:p>
        </w:tc>
        <w:tc>
          <w:tcPr>
            <w:tcW w:w="40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57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Senior notes, 6.25%, due January 2018</w:t>
            </w:r>
          </w:p>
        </w:tc>
        <w:tc>
          <w:tcPr>
            <w:tcW w:w="402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b w:val="1"/>
                <w:bCs w:val="1"/>
                <w:color w:val="auto"/>
              </w:rPr>
              <w:t>650</w:t>
            </w: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649</w:t>
            </w:r>
          </w:p>
        </w:tc>
      </w:tr>
      <w:tr>
        <w:trPr>
          <w:trHeight w:val="237"/>
        </w:trPr>
        <w:tc>
          <w:tcPr>
            <w:tcW w:w="5740" w:type="dxa"/>
            <w:vAlign w:val="bottom"/>
          </w:tcPr>
          <w:p>
            <w:pPr>
              <w:ind w:left="500"/>
              <w:spacing w:after="0"/>
              <w:rPr>
                <w:sz w:val="20"/>
                <w:szCs w:val="20"/>
                <w:color w:val="auto"/>
              </w:rPr>
            </w:pPr>
            <w:r>
              <w:rPr>
                <w:rFonts w:ascii="Arial" w:cs="Arial" w:eastAsia="Arial" w:hAnsi="Arial"/>
                <w:sz w:val="16"/>
                <w:szCs w:val="16"/>
                <w:color w:val="auto"/>
              </w:rPr>
              <w:t>Senior notes, 4.75%, due May 2020</w:t>
            </w:r>
          </w:p>
        </w:tc>
        <w:tc>
          <w:tcPr>
            <w:tcW w:w="4020" w:type="dxa"/>
            <w:vAlign w:val="bottom"/>
          </w:tcPr>
          <w:p>
            <w:pPr>
              <w:jc w:val="right"/>
              <w:ind w:right="319"/>
              <w:spacing w:after="0"/>
              <w:rPr>
                <w:sz w:val="20"/>
                <w:szCs w:val="20"/>
                <w:color w:val="auto"/>
              </w:rPr>
            </w:pPr>
            <w:r>
              <w:rPr>
                <w:rFonts w:ascii="Arial" w:cs="Arial" w:eastAsia="Arial" w:hAnsi="Arial"/>
                <w:sz w:val="16"/>
                <w:szCs w:val="16"/>
                <w:b w:val="1"/>
                <w:bCs w:val="1"/>
                <w:color w:val="auto"/>
              </w:rPr>
              <w:t>499</w:t>
            </w: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499</w:t>
            </w:r>
          </w:p>
        </w:tc>
      </w:tr>
      <w:tr>
        <w:trPr>
          <w:trHeight w:val="33"/>
        </w:trPr>
        <w:tc>
          <w:tcPr>
            <w:tcW w:w="5740" w:type="dxa"/>
            <w:vAlign w:val="bottom"/>
          </w:tcPr>
          <w:p>
            <w:pPr>
              <w:spacing w:after="0"/>
              <w:rPr>
                <w:sz w:val="2"/>
                <w:szCs w:val="2"/>
                <w:color w:val="auto"/>
              </w:rPr>
            </w:pPr>
          </w:p>
        </w:tc>
        <w:tc>
          <w:tcPr>
            <w:tcW w:w="40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57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Senior notes, 4.00%, due October 2021</w:t>
            </w:r>
          </w:p>
        </w:tc>
        <w:tc>
          <w:tcPr>
            <w:tcW w:w="402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b w:val="1"/>
                <w:bCs w:val="1"/>
                <w:color w:val="auto"/>
              </w:rPr>
              <w:t>500</w:t>
            </w: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500</w:t>
            </w:r>
          </w:p>
        </w:tc>
      </w:tr>
      <w:tr>
        <w:trPr>
          <w:trHeight w:val="237"/>
        </w:trPr>
        <w:tc>
          <w:tcPr>
            <w:tcW w:w="5740" w:type="dxa"/>
            <w:vAlign w:val="bottom"/>
          </w:tcPr>
          <w:p>
            <w:pPr>
              <w:ind w:left="500"/>
              <w:spacing w:after="0"/>
              <w:rPr>
                <w:sz w:val="20"/>
                <w:szCs w:val="20"/>
                <w:color w:val="auto"/>
              </w:rPr>
            </w:pPr>
            <w:r>
              <w:rPr>
                <w:rFonts w:ascii="Arial" w:cs="Arial" w:eastAsia="Arial" w:hAnsi="Arial"/>
                <w:sz w:val="16"/>
                <w:szCs w:val="16"/>
                <w:color w:val="auto"/>
              </w:rPr>
              <w:t>Senior debentures, 6.95%, due March 2028</w:t>
            </w:r>
          </w:p>
        </w:tc>
        <w:tc>
          <w:tcPr>
            <w:tcW w:w="4020" w:type="dxa"/>
            <w:vAlign w:val="bottom"/>
          </w:tcPr>
          <w:p>
            <w:pPr>
              <w:jc w:val="right"/>
              <w:ind w:right="319"/>
              <w:spacing w:after="0"/>
              <w:rPr>
                <w:sz w:val="20"/>
                <w:szCs w:val="20"/>
                <w:color w:val="auto"/>
              </w:rPr>
            </w:pPr>
            <w:r>
              <w:rPr>
                <w:rFonts w:ascii="Arial" w:cs="Arial" w:eastAsia="Arial" w:hAnsi="Arial"/>
                <w:sz w:val="16"/>
                <w:szCs w:val="16"/>
                <w:b w:val="1"/>
                <w:bCs w:val="1"/>
                <w:color w:val="auto"/>
              </w:rPr>
              <w:t>300</w:t>
            </w: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300</w:t>
            </w:r>
          </w:p>
        </w:tc>
      </w:tr>
      <w:tr>
        <w:trPr>
          <w:trHeight w:val="33"/>
        </w:trPr>
        <w:tc>
          <w:tcPr>
            <w:tcW w:w="5740" w:type="dxa"/>
            <w:vAlign w:val="bottom"/>
          </w:tcPr>
          <w:p>
            <w:pPr>
              <w:spacing w:after="0"/>
              <w:rPr>
                <w:sz w:val="2"/>
                <w:szCs w:val="2"/>
                <w:color w:val="auto"/>
              </w:rPr>
            </w:pPr>
          </w:p>
        </w:tc>
        <w:tc>
          <w:tcPr>
            <w:tcW w:w="40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57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Senior notes, 7.00%, due January 2038</w:t>
            </w:r>
          </w:p>
        </w:tc>
        <w:tc>
          <w:tcPr>
            <w:tcW w:w="402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b w:val="1"/>
                <w:bCs w:val="1"/>
                <w:color w:val="auto"/>
              </w:rPr>
              <w:t>146</w:t>
            </w: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146</w:t>
            </w:r>
          </w:p>
        </w:tc>
      </w:tr>
      <w:tr>
        <w:trPr>
          <w:trHeight w:val="237"/>
        </w:trPr>
        <w:tc>
          <w:tcPr>
            <w:tcW w:w="5740" w:type="dxa"/>
            <w:vAlign w:val="bottom"/>
          </w:tcPr>
          <w:p>
            <w:pPr>
              <w:ind w:left="500"/>
              <w:spacing w:after="0"/>
              <w:rPr>
                <w:sz w:val="20"/>
                <w:szCs w:val="20"/>
                <w:color w:val="auto"/>
              </w:rPr>
            </w:pPr>
            <w:r>
              <w:rPr>
                <w:rFonts w:ascii="Arial" w:cs="Arial" w:eastAsia="Arial" w:hAnsi="Arial"/>
                <w:sz w:val="16"/>
                <w:szCs w:val="16"/>
                <w:color w:val="auto"/>
              </w:rPr>
              <w:t>Senior notes, 5.00%, due January 2044</w:t>
            </w:r>
          </w:p>
        </w:tc>
        <w:tc>
          <w:tcPr>
            <w:tcW w:w="4020" w:type="dxa"/>
            <w:vAlign w:val="bottom"/>
          </w:tcPr>
          <w:p>
            <w:pPr>
              <w:jc w:val="right"/>
              <w:ind w:right="319"/>
              <w:spacing w:after="0"/>
              <w:rPr>
                <w:sz w:val="20"/>
                <w:szCs w:val="20"/>
                <w:color w:val="auto"/>
              </w:rPr>
            </w:pPr>
            <w:r>
              <w:rPr>
                <w:rFonts w:ascii="Arial" w:cs="Arial" w:eastAsia="Arial" w:hAnsi="Arial"/>
                <w:sz w:val="16"/>
                <w:szCs w:val="16"/>
                <w:b w:val="1"/>
                <w:bCs w:val="1"/>
                <w:color w:val="auto"/>
              </w:rPr>
              <w:t>602</w:t>
            </w: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600</w:t>
            </w:r>
          </w:p>
        </w:tc>
      </w:tr>
      <w:tr>
        <w:trPr>
          <w:trHeight w:val="33"/>
        </w:trPr>
        <w:tc>
          <w:tcPr>
            <w:tcW w:w="5740" w:type="dxa"/>
            <w:vAlign w:val="bottom"/>
          </w:tcPr>
          <w:p>
            <w:pPr>
              <w:spacing w:after="0"/>
              <w:rPr>
                <w:sz w:val="2"/>
                <w:szCs w:val="2"/>
                <w:color w:val="auto"/>
              </w:rPr>
            </w:pPr>
          </w:p>
        </w:tc>
        <w:tc>
          <w:tcPr>
            <w:tcW w:w="40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5"/>
        </w:trPr>
        <w:tc>
          <w:tcPr>
            <w:tcW w:w="5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w:t>
            </w:r>
          </w:p>
        </w:tc>
        <w:tc>
          <w:tcPr>
            <w:tcW w:w="402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b w:val="1"/>
                <w:bCs w:val="1"/>
                <w:color w:val="auto"/>
              </w:rPr>
              <w:t>50</w:t>
            </w: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76</w:t>
            </w:r>
          </w:p>
        </w:tc>
      </w:tr>
      <w:tr>
        <w:trPr>
          <w:trHeight w:val="231"/>
        </w:trPr>
        <w:tc>
          <w:tcPr>
            <w:tcW w:w="5740" w:type="dxa"/>
            <w:vAlign w:val="bottom"/>
            <w:tcBorders>
              <w:top w:val="single" w:sz="8" w:color="auto"/>
            </w:tcBorders>
          </w:tcPr>
          <w:p>
            <w:pPr>
              <w:ind w:left="80"/>
              <w:spacing w:after="0"/>
              <w:rPr>
                <w:sz w:val="20"/>
                <w:szCs w:val="20"/>
                <w:color w:val="auto"/>
              </w:rPr>
            </w:pPr>
            <w:r>
              <w:rPr>
                <w:rFonts w:ascii="Arial" w:cs="Arial" w:eastAsia="Arial" w:hAnsi="Arial"/>
                <w:sz w:val="16"/>
                <w:szCs w:val="16"/>
                <w:b w:val="1"/>
                <w:bCs w:val="1"/>
                <w:color w:val="auto"/>
              </w:rPr>
              <w:t>Total unsecured debt</w:t>
            </w:r>
          </w:p>
        </w:tc>
        <w:tc>
          <w:tcPr>
            <w:tcW w:w="4020" w:type="dxa"/>
            <w:vAlign w:val="bottom"/>
            <w:tcBorders>
              <w:top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2,747</w:t>
            </w:r>
          </w:p>
        </w:tc>
        <w:tc>
          <w:tcPr>
            <w:tcW w:w="16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2,770</w:t>
            </w:r>
          </w:p>
        </w:tc>
      </w:tr>
      <w:tr>
        <w:trPr>
          <w:trHeight w:val="33"/>
        </w:trPr>
        <w:tc>
          <w:tcPr>
            <w:tcW w:w="5740" w:type="dxa"/>
            <w:vAlign w:val="bottom"/>
            <w:tcBorders>
              <w:bottom w:val="single" w:sz="8" w:color="auto"/>
            </w:tcBorders>
          </w:tcPr>
          <w:p>
            <w:pPr>
              <w:spacing w:after="0"/>
              <w:rPr>
                <w:sz w:val="2"/>
                <w:szCs w:val="2"/>
                <w:color w:val="auto"/>
              </w:rPr>
            </w:pPr>
          </w:p>
        </w:tc>
        <w:tc>
          <w:tcPr>
            <w:tcW w:w="40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91"/>
        </w:trPr>
        <w:tc>
          <w:tcPr>
            <w:tcW w:w="5740" w:type="dxa"/>
            <w:vAlign w:val="bottom"/>
            <w:shd w:val="clear" w:color="auto" w:fill="CCEEFF"/>
          </w:tcPr>
          <w:p>
            <w:pPr>
              <w:spacing w:after="0"/>
              <w:rPr>
                <w:sz w:val="24"/>
                <w:szCs w:val="24"/>
                <w:color w:val="auto"/>
              </w:rPr>
            </w:pPr>
          </w:p>
        </w:tc>
        <w:tc>
          <w:tcPr>
            <w:tcW w:w="4020" w:type="dxa"/>
            <w:vAlign w:val="bottom"/>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r>
      <w:tr>
        <w:trPr>
          <w:trHeight w:val="237"/>
        </w:trPr>
        <w:tc>
          <w:tcPr>
            <w:tcW w:w="5740" w:type="dxa"/>
            <w:vAlign w:val="bottom"/>
          </w:tcPr>
          <w:p>
            <w:pPr>
              <w:ind w:left="40"/>
              <w:spacing w:after="0"/>
              <w:rPr>
                <w:sz w:val="20"/>
                <w:szCs w:val="20"/>
                <w:color w:val="auto"/>
              </w:rPr>
            </w:pPr>
            <w:r>
              <w:rPr>
                <w:rFonts w:ascii="Arial" w:cs="Arial" w:eastAsia="Arial" w:hAnsi="Arial"/>
                <w:sz w:val="16"/>
                <w:szCs w:val="16"/>
                <w:color w:val="auto"/>
              </w:rPr>
              <w:t>Total long-term debt</w:t>
            </w:r>
          </w:p>
        </w:tc>
        <w:tc>
          <w:tcPr>
            <w:tcW w:w="4020" w:type="dxa"/>
            <w:vAlign w:val="bottom"/>
          </w:tcPr>
          <w:p>
            <w:pPr>
              <w:jc w:val="right"/>
              <w:ind w:right="319"/>
              <w:spacing w:after="0"/>
              <w:rPr>
                <w:sz w:val="20"/>
                <w:szCs w:val="20"/>
                <w:color w:val="auto"/>
              </w:rPr>
            </w:pPr>
            <w:r>
              <w:rPr>
                <w:rFonts w:ascii="Arial" w:cs="Arial" w:eastAsia="Arial" w:hAnsi="Arial"/>
                <w:sz w:val="16"/>
                <w:szCs w:val="16"/>
                <w:b w:val="1"/>
                <w:bCs w:val="1"/>
                <w:color w:val="auto"/>
              </w:rPr>
              <w:t>2,774</w:t>
            </w: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2,805</w:t>
            </w:r>
          </w:p>
        </w:tc>
      </w:tr>
      <w:tr>
        <w:trPr>
          <w:trHeight w:val="33"/>
        </w:trPr>
        <w:tc>
          <w:tcPr>
            <w:tcW w:w="5740" w:type="dxa"/>
            <w:vAlign w:val="bottom"/>
          </w:tcPr>
          <w:p>
            <w:pPr>
              <w:spacing w:after="0"/>
              <w:rPr>
                <w:sz w:val="2"/>
                <w:szCs w:val="2"/>
                <w:color w:val="auto"/>
              </w:rPr>
            </w:pPr>
          </w:p>
        </w:tc>
        <w:tc>
          <w:tcPr>
            <w:tcW w:w="40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5"/>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current portion</w:t>
            </w:r>
          </w:p>
        </w:tc>
        <w:tc>
          <w:tcPr>
            <w:tcW w:w="402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b w:val="1"/>
                <w:bCs w:val="1"/>
                <w:color w:val="auto"/>
              </w:rPr>
              <w:t>(11)</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r>
      <w:tr>
        <w:trPr>
          <w:trHeight w:val="231"/>
        </w:trPr>
        <w:tc>
          <w:tcPr>
            <w:tcW w:w="574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 due beyond one year</w:t>
            </w:r>
          </w:p>
        </w:tc>
        <w:tc>
          <w:tcPr>
            <w:tcW w:w="4020" w:type="dxa"/>
            <w:vAlign w:val="bottom"/>
            <w:tcBorders>
              <w:top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$2,763</w:t>
            </w:r>
          </w:p>
        </w:tc>
        <w:tc>
          <w:tcPr>
            <w:tcW w:w="16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$2,795</w:t>
            </w:r>
          </w:p>
        </w:tc>
      </w:tr>
      <w:tr>
        <w:trPr>
          <w:trHeight w:val="33"/>
        </w:trPr>
        <w:tc>
          <w:tcPr>
            <w:tcW w:w="5740" w:type="dxa"/>
            <w:vAlign w:val="bottom"/>
            <w:tcBorders>
              <w:bottom w:val="single" w:sz="8" w:color="auto"/>
            </w:tcBorders>
          </w:tcPr>
          <w:p>
            <w:pPr>
              <w:spacing w:after="0"/>
              <w:rPr>
                <w:sz w:val="2"/>
                <w:szCs w:val="2"/>
                <w:color w:val="auto"/>
              </w:rPr>
            </w:pPr>
          </w:p>
        </w:tc>
        <w:tc>
          <w:tcPr>
            <w:tcW w:w="40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Our mortgage payable is secured by an office building that had a net book value of $59 at the end of 2016. Other secured debt as of January 28, 2017 and January 30, 2016 consisted primarily of capital lease obligations.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Required principal payments on long-term debt, excluding capital lease obligations, are as follows:</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Fiscal year</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582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2017</w:t>
            </w:r>
          </w:p>
        </w:tc>
        <w:tc>
          <w:tcPr>
            <w:tcW w:w="558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w:t>
            </w:r>
          </w:p>
        </w:tc>
      </w:tr>
      <w:tr>
        <w:trPr>
          <w:trHeight w:val="224"/>
        </w:trPr>
        <w:tc>
          <w:tcPr>
            <w:tcW w:w="5820" w:type="dxa"/>
            <w:vAlign w:val="bottom"/>
          </w:tcPr>
          <w:p>
            <w:pPr>
              <w:ind w:left="40"/>
              <w:spacing w:after="0"/>
              <w:rPr>
                <w:sz w:val="20"/>
                <w:szCs w:val="20"/>
                <w:color w:val="auto"/>
              </w:rPr>
            </w:pPr>
            <w:r>
              <w:rPr>
                <w:rFonts w:ascii="Arial" w:cs="Arial" w:eastAsia="Arial" w:hAnsi="Arial"/>
                <w:sz w:val="16"/>
                <w:szCs w:val="16"/>
                <w:color w:val="auto"/>
              </w:rPr>
              <w:t>2018</w:t>
            </w:r>
          </w:p>
        </w:tc>
        <w:tc>
          <w:tcPr>
            <w:tcW w:w="5580" w:type="dxa"/>
            <w:vAlign w:val="bottom"/>
          </w:tcPr>
          <w:p>
            <w:pPr>
              <w:jc w:val="right"/>
              <w:ind w:right="39"/>
              <w:spacing w:after="0"/>
              <w:rPr>
                <w:sz w:val="20"/>
                <w:szCs w:val="20"/>
                <w:color w:val="auto"/>
              </w:rPr>
            </w:pPr>
            <w:r>
              <w:rPr>
                <w:rFonts w:ascii="Arial" w:cs="Arial" w:eastAsia="Arial" w:hAnsi="Arial"/>
                <w:sz w:val="16"/>
                <w:szCs w:val="16"/>
                <w:color w:val="auto"/>
              </w:rPr>
              <w:t>56</w:t>
            </w:r>
          </w:p>
        </w:tc>
      </w:tr>
      <w:tr>
        <w:trPr>
          <w:trHeight w:val="33"/>
        </w:trPr>
        <w:tc>
          <w:tcPr>
            <w:tcW w:w="5820" w:type="dxa"/>
            <w:vAlign w:val="bottom"/>
          </w:tcPr>
          <w:p>
            <w:pPr>
              <w:spacing w:after="0"/>
              <w:rPr>
                <w:sz w:val="2"/>
                <w:szCs w:val="2"/>
                <w:color w:val="auto"/>
              </w:rPr>
            </w:pPr>
          </w:p>
        </w:tc>
        <w:tc>
          <w:tcPr>
            <w:tcW w:w="5580" w:type="dxa"/>
            <w:vAlign w:val="bottom"/>
          </w:tcPr>
          <w:p>
            <w:pPr>
              <w:spacing w:after="0"/>
              <w:rPr>
                <w:sz w:val="2"/>
                <w:szCs w:val="2"/>
                <w:color w:val="auto"/>
              </w:rPr>
            </w:pPr>
          </w:p>
        </w:tc>
      </w:tr>
      <w:tr>
        <w:trPr>
          <w:trHeight w:val="237"/>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2019</w:t>
            </w:r>
          </w:p>
        </w:tc>
        <w:tc>
          <w:tcPr>
            <w:tcW w:w="5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w:t>
            </w:r>
          </w:p>
        </w:tc>
      </w:tr>
      <w:tr>
        <w:trPr>
          <w:trHeight w:val="224"/>
        </w:trPr>
        <w:tc>
          <w:tcPr>
            <w:tcW w:w="5820" w:type="dxa"/>
            <w:vAlign w:val="bottom"/>
          </w:tcPr>
          <w:p>
            <w:pPr>
              <w:ind w:left="40"/>
              <w:spacing w:after="0"/>
              <w:rPr>
                <w:sz w:val="20"/>
                <w:szCs w:val="20"/>
                <w:color w:val="auto"/>
              </w:rPr>
            </w:pPr>
            <w:r>
              <w:rPr>
                <w:rFonts w:ascii="Arial" w:cs="Arial" w:eastAsia="Arial" w:hAnsi="Arial"/>
                <w:sz w:val="16"/>
                <w:szCs w:val="16"/>
                <w:color w:val="auto"/>
              </w:rPr>
              <w:t>2020</w:t>
            </w:r>
          </w:p>
        </w:tc>
        <w:tc>
          <w:tcPr>
            <w:tcW w:w="5580" w:type="dxa"/>
            <w:vAlign w:val="bottom"/>
          </w:tcPr>
          <w:p>
            <w:pPr>
              <w:jc w:val="right"/>
              <w:ind w:right="39"/>
              <w:spacing w:after="0"/>
              <w:rPr>
                <w:sz w:val="20"/>
                <w:szCs w:val="20"/>
                <w:color w:val="auto"/>
              </w:rPr>
            </w:pPr>
            <w:r>
              <w:rPr>
                <w:rFonts w:ascii="Arial" w:cs="Arial" w:eastAsia="Arial" w:hAnsi="Arial"/>
                <w:sz w:val="16"/>
                <w:szCs w:val="16"/>
                <w:color w:val="auto"/>
              </w:rPr>
              <w:t>502</w:t>
            </w:r>
          </w:p>
        </w:tc>
      </w:tr>
      <w:tr>
        <w:trPr>
          <w:trHeight w:val="33"/>
        </w:trPr>
        <w:tc>
          <w:tcPr>
            <w:tcW w:w="5820" w:type="dxa"/>
            <w:vAlign w:val="bottom"/>
          </w:tcPr>
          <w:p>
            <w:pPr>
              <w:spacing w:after="0"/>
              <w:rPr>
                <w:sz w:val="2"/>
                <w:szCs w:val="2"/>
                <w:color w:val="auto"/>
              </w:rPr>
            </w:pPr>
          </w:p>
        </w:tc>
        <w:tc>
          <w:tcPr>
            <w:tcW w:w="5580" w:type="dxa"/>
            <w:vAlign w:val="bottom"/>
          </w:tcPr>
          <w:p>
            <w:pPr>
              <w:spacing w:after="0"/>
              <w:rPr>
                <w:sz w:val="2"/>
                <w:szCs w:val="2"/>
                <w:color w:val="auto"/>
              </w:rPr>
            </w:pPr>
          </w:p>
        </w:tc>
      </w:tr>
      <w:tr>
        <w:trPr>
          <w:trHeight w:val="237"/>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2021</w:t>
            </w:r>
          </w:p>
        </w:tc>
        <w:tc>
          <w:tcPr>
            <w:tcW w:w="5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500</w:t>
            </w:r>
          </w:p>
        </w:tc>
      </w:tr>
      <w:tr>
        <w:trPr>
          <w:trHeight w:val="224"/>
        </w:trPr>
        <w:tc>
          <w:tcPr>
            <w:tcW w:w="5820" w:type="dxa"/>
            <w:vAlign w:val="bottom"/>
          </w:tcPr>
          <w:p>
            <w:pPr>
              <w:ind w:left="40"/>
              <w:spacing w:after="0"/>
              <w:rPr>
                <w:sz w:val="20"/>
                <w:szCs w:val="20"/>
                <w:color w:val="auto"/>
              </w:rPr>
            </w:pPr>
            <w:r>
              <w:rPr>
                <w:rFonts w:ascii="Arial" w:cs="Arial" w:eastAsia="Arial" w:hAnsi="Arial"/>
                <w:sz w:val="16"/>
                <w:szCs w:val="16"/>
                <w:color w:val="auto"/>
              </w:rPr>
              <w:t>Thereafter</w:t>
            </w:r>
          </w:p>
        </w:tc>
        <w:tc>
          <w:tcPr>
            <w:tcW w:w="5580" w:type="dxa"/>
            <w:vAlign w:val="bottom"/>
          </w:tcPr>
          <w:p>
            <w:pPr>
              <w:jc w:val="right"/>
              <w:ind w:right="39"/>
              <w:spacing w:after="0"/>
              <w:rPr>
                <w:sz w:val="20"/>
                <w:szCs w:val="20"/>
                <w:color w:val="auto"/>
              </w:rPr>
            </w:pPr>
            <w:r>
              <w:rPr>
                <w:rFonts w:ascii="Arial" w:cs="Arial" w:eastAsia="Arial" w:hAnsi="Arial"/>
                <w:sz w:val="16"/>
                <w:szCs w:val="16"/>
                <w:color w:val="auto"/>
              </w:rPr>
              <w:t>1,764</w:t>
            </w:r>
          </w:p>
        </w:tc>
      </w:tr>
      <w:tr>
        <w:trPr>
          <w:trHeight w:val="33"/>
        </w:trPr>
        <w:tc>
          <w:tcPr>
            <w:tcW w:w="5820" w:type="dxa"/>
            <w:vAlign w:val="bottom"/>
            <w:tcBorders>
              <w:bottom w:val="single" w:sz="8" w:color="auto"/>
            </w:tcBorders>
          </w:tcPr>
          <w:p>
            <w:pPr>
              <w:spacing w:after="0"/>
              <w:rPr>
                <w:sz w:val="2"/>
                <w:szCs w:val="2"/>
                <w:color w:val="auto"/>
              </w:rPr>
            </w:pPr>
          </w:p>
        </w:tc>
        <w:tc>
          <w:tcPr>
            <w:tcW w:w="558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On March 9, 2017, we issued $350 aggregate principal amount of 4.00% senior unsecured notes due March 2027 and $300 aggregate principal amount of 5.00% senior unsecured notes due January 2044 (the “2044 Notes”). The 2044 Notes will be a further issuance of, and will be fully fungible, rank equally in right of payment and form a single series with, our outstanding 5.00% senior unsecured notes due 2044. We intend to use the proceeds to prepay the outstanding principal and interest of our $650 senior unsecured notes due January 2018 (“2018 Notes”). On March 7, 2017 we provided a Notice of Redemption to the holders of the 2018 Notes to pay the outstanding principal and interest on April 6, 2017. The 2018 Notes are classified as long-term on our Consolidated Balance Sheet as of January 28, 2017.</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50</w:t>
      </w:r>
    </w:p>
    <w:p>
      <w:pPr>
        <w:sectPr>
          <w:pgSz w:w="11900" w:h="16838" w:orient="portrait"/>
          <w:cols w:equalWidth="0" w:num="1">
            <w:col w:w="11400"/>
          </w:cols>
          <w:pgMar w:left="240" w:top="126" w:right="259" w:bottom="1440" w:gutter="0" w:footer="0" w:header="0"/>
        </w:sectPr>
      </w:pPr>
    </w:p>
    <w:bookmarkStart w:id="51" w:name="page52"/>
    <w:bookmarkEnd w:id="51"/>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Nordstrom, Inc.</w:t>
      </w:r>
    </w:p>
    <w:p>
      <w:pPr>
        <w:spacing w:after="0" w:line="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rPr>
          <w:sz w:val="20"/>
          <w:szCs w:val="20"/>
          <w:color w:val="auto"/>
        </w:rPr>
      </w:pPr>
      <w:r>
        <w:rPr>
          <w:rFonts w:ascii="Arial" w:cs="Arial" w:eastAsia="Arial" w:hAnsi="Arial"/>
          <w:sz w:val="18"/>
          <w:szCs w:val="18"/>
          <w:color w:val="auto"/>
        </w:rPr>
        <w:t>Dollar and share amounts in millions except per share, per option and per unit amounts</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interest expense, net are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300" w:type="dxa"/>
            <w:vAlign w:val="bottom"/>
          </w:tcPr>
          <w:p>
            <w:pPr>
              <w:ind w:left="40"/>
              <w:spacing w:after="0"/>
              <w:rPr>
                <w:sz w:val="20"/>
                <w:szCs w:val="20"/>
                <w:color w:val="auto"/>
              </w:rPr>
            </w:pPr>
            <w:r>
              <w:rPr>
                <w:rFonts w:ascii="Arial" w:cs="Arial" w:eastAsia="Arial" w:hAnsi="Arial"/>
                <w:sz w:val="16"/>
                <w:szCs w:val="16"/>
                <w:b w:val="1"/>
                <w:bCs w:val="1"/>
                <w:color w:val="auto"/>
              </w:rPr>
              <w:t>Fiscal year</w:t>
            </w:r>
          </w:p>
        </w:tc>
        <w:tc>
          <w:tcPr>
            <w:tcW w:w="2960" w:type="dxa"/>
            <w:vAlign w:val="bottom"/>
          </w:tcPr>
          <w:p>
            <w:pPr>
              <w:jc w:val="right"/>
              <w:ind w:right="739"/>
              <w:spacing w:after="0"/>
              <w:rPr>
                <w:sz w:val="20"/>
                <w:szCs w:val="20"/>
                <w:color w:val="auto"/>
              </w:rPr>
            </w:pPr>
            <w:r>
              <w:rPr>
                <w:rFonts w:ascii="Arial" w:cs="Arial" w:eastAsia="Arial" w:hAnsi="Arial"/>
                <w:sz w:val="16"/>
                <w:szCs w:val="16"/>
                <w:b w:val="1"/>
                <w:bCs w:val="1"/>
                <w:color w:val="auto"/>
              </w:rPr>
              <w:t>2016</w:t>
            </w:r>
          </w:p>
        </w:tc>
        <w:tc>
          <w:tcPr>
            <w:tcW w:w="1940" w:type="dxa"/>
            <w:vAlign w:val="bottom"/>
          </w:tcPr>
          <w:p>
            <w:pPr>
              <w:jc w:val="right"/>
              <w:ind w:right="759"/>
              <w:spacing w:after="0"/>
              <w:rPr>
                <w:sz w:val="20"/>
                <w:szCs w:val="20"/>
                <w:color w:val="auto"/>
              </w:rPr>
            </w:pPr>
            <w:r>
              <w:rPr>
                <w:rFonts w:ascii="Arial" w:cs="Arial" w:eastAsia="Arial" w:hAnsi="Arial"/>
                <w:sz w:val="16"/>
                <w:szCs w:val="16"/>
                <w:b w:val="1"/>
                <w:bCs w:val="1"/>
                <w:color w:val="auto"/>
              </w:rPr>
              <w:t>2015</w:t>
            </w:r>
          </w:p>
        </w:tc>
        <w:tc>
          <w:tcPr>
            <w:tcW w:w="1200" w:type="dxa"/>
            <w:vAlign w:val="bottom"/>
          </w:tcPr>
          <w:p>
            <w:pPr>
              <w:jc w:val="right"/>
              <w:ind w:right="39"/>
              <w:spacing w:after="0"/>
              <w:rPr>
                <w:sz w:val="20"/>
                <w:szCs w:val="20"/>
                <w:color w:val="auto"/>
              </w:rPr>
            </w:pPr>
            <w:r>
              <w:rPr>
                <w:rFonts w:ascii="Arial" w:cs="Arial" w:eastAsia="Arial" w:hAnsi="Arial"/>
                <w:sz w:val="16"/>
                <w:szCs w:val="16"/>
                <w:b w:val="1"/>
                <w:bCs w:val="1"/>
                <w:color w:val="auto"/>
              </w:rPr>
              <w:t>2014</w:t>
            </w:r>
          </w:p>
        </w:tc>
      </w:tr>
      <w:tr>
        <w:trPr>
          <w:trHeight w:val="33"/>
        </w:trPr>
        <w:tc>
          <w:tcPr>
            <w:tcW w:w="530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on long-term debt and short-term borrowings</w:t>
            </w:r>
          </w:p>
        </w:tc>
        <w:tc>
          <w:tcPr>
            <w:tcW w:w="296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b w:val="1"/>
                <w:bCs w:val="1"/>
                <w:color w:val="auto"/>
              </w:rPr>
              <w:t>$147</w:t>
            </w:r>
          </w:p>
        </w:tc>
        <w:tc>
          <w:tcPr>
            <w:tcW w:w="194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color w:val="auto"/>
              </w:rPr>
              <w:t>$153</w:t>
            </w: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$156</w:t>
            </w:r>
          </w:p>
        </w:tc>
      </w:tr>
      <w:tr>
        <w:trPr>
          <w:trHeight w:val="237"/>
        </w:trPr>
        <w:tc>
          <w:tcPr>
            <w:tcW w:w="5300" w:type="dxa"/>
            <w:vAlign w:val="bottom"/>
          </w:tcPr>
          <w:p>
            <w:pPr>
              <w:ind w:left="40"/>
              <w:spacing w:after="0"/>
              <w:rPr>
                <w:sz w:val="20"/>
                <w:szCs w:val="20"/>
                <w:color w:val="auto"/>
              </w:rPr>
            </w:pPr>
            <w:r>
              <w:rPr>
                <w:rFonts w:ascii="Arial" w:cs="Arial" w:eastAsia="Arial" w:hAnsi="Arial"/>
                <w:sz w:val="16"/>
                <w:szCs w:val="16"/>
                <w:color w:val="auto"/>
              </w:rPr>
              <w:t>Less:</w:t>
            </w:r>
          </w:p>
        </w:tc>
        <w:tc>
          <w:tcPr>
            <w:tcW w:w="29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33"/>
        </w:trPr>
        <w:tc>
          <w:tcPr>
            <w:tcW w:w="530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Interest income</w:t>
            </w:r>
          </w:p>
        </w:tc>
        <w:tc>
          <w:tcPr>
            <w:tcW w:w="296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6"/>
                <w:szCs w:val="16"/>
                <w:b w:val="1"/>
                <w:bCs w:val="1"/>
                <w:color w:val="auto"/>
              </w:rPr>
              <w:t>(1)</w:t>
            </w:r>
          </w:p>
        </w:tc>
        <w:tc>
          <w:tcPr>
            <w:tcW w:w="194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37"/>
        </w:trPr>
        <w:tc>
          <w:tcPr>
            <w:tcW w:w="5300" w:type="dxa"/>
            <w:vAlign w:val="bottom"/>
          </w:tcPr>
          <w:p>
            <w:pPr>
              <w:ind w:left="280"/>
              <w:spacing w:after="0"/>
              <w:rPr>
                <w:sz w:val="20"/>
                <w:szCs w:val="20"/>
                <w:color w:val="auto"/>
              </w:rPr>
            </w:pPr>
            <w:r>
              <w:rPr>
                <w:rFonts w:ascii="Arial" w:cs="Arial" w:eastAsia="Arial" w:hAnsi="Arial"/>
                <w:sz w:val="16"/>
                <w:szCs w:val="16"/>
                <w:color w:val="auto"/>
              </w:rPr>
              <w:t>Capitalized interest</w:t>
            </w:r>
          </w:p>
        </w:tc>
        <w:tc>
          <w:tcPr>
            <w:tcW w:w="2960" w:type="dxa"/>
            <w:vAlign w:val="bottom"/>
          </w:tcPr>
          <w:p>
            <w:pPr>
              <w:jc w:val="right"/>
              <w:ind w:right="699"/>
              <w:spacing w:after="0"/>
              <w:rPr>
                <w:sz w:val="20"/>
                <w:szCs w:val="20"/>
                <w:color w:val="auto"/>
              </w:rPr>
            </w:pPr>
            <w:r>
              <w:rPr>
                <w:rFonts w:ascii="Arial" w:cs="Arial" w:eastAsia="Arial" w:hAnsi="Arial"/>
                <w:sz w:val="16"/>
                <w:szCs w:val="16"/>
                <w:b w:val="1"/>
                <w:bCs w:val="1"/>
                <w:color w:val="auto"/>
              </w:rPr>
              <w:t>(25)</w:t>
            </w:r>
          </w:p>
        </w:tc>
        <w:tc>
          <w:tcPr>
            <w:tcW w:w="1940" w:type="dxa"/>
            <w:vAlign w:val="bottom"/>
          </w:tcPr>
          <w:p>
            <w:pPr>
              <w:jc w:val="right"/>
              <w:ind w:right="699"/>
              <w:spacing w:after="0"/>
              <w:rPr>
                <w:sz w:val="20"/>
                <w:szCs w:val="20"/>
                <w:color w:val="auto"/>
              </w:rPr>
            </w:pPr>
            <w:r>
              <w:rPr>
                <w:rFonts w:ascii="Arial" w:cs="Arial" w:eastAsia="Arial" w:hAnsi="Arial"/>
                <w:sz w:val="16"/>
                <w:szCs w:val="16"/>
                <w:color w:val="auto"/>
              </w:rPr>
              <w:t>(28)</w:t>
            </w:r>
          </w:p>
        </w:tc>
        <w:tc>
          <w:tcPr>
            <w:tcW w:w="1200" w:type="dxa"/>
            <w:vAlign w:val="bottom"/>
          </w:tcPr>
          <w:p>
            <w:pPr>
              <w:jc w:val="right"/>
              <w:spacing w:after="0"/>
              <w:rPr>
                <w:sz w:val="20"/>
                <w:szCs w:val="20"/>
                <w:color w:val="auto"/>
              </w:rPr>
            </w:pPr>
            <w:r>
              <w:rPr>
                <w:rFonts w:ascii="Arial" w:cs="Arial" w:eastAsia="Arial" w:hAnsi="Arial"/>
                <w:sz w:val="16"/>
                <w:szCs w:val="16"/>
                <w:color w:val="auto"/>
              </w:rPr>
              <w:t>(17)</w:t>
            </w:r>
          </w:p>
        </w:tc>
      </w:tr>
      <w:tr>
        <w:trPr>
          <w:trHeight w:val="33"/>
        </w:trPr>
        <w:tc>
          <w:tcPr>
            <w:tcW w:w="530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Interest expense, net</w:t>
            </w:r>
          </w:p>
        </w:tc>
        <w:tc>
          <w:tcPr>
            <w:tcW w:w="296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b w:val="1"/>
                <w:bCs w:val="1"/>
                <w:color w:val="auto"/>
              </w:rPr>
              <w:t>$121</w:t>
            </w:r>
          </w:p>
        </w:tc>
        <w:tc>
          <w:tcPr>
            <w:tcW w:w="194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color w:val="auto"/>
              </w:rPr>
              <w:t>$125</w:t>
            </w: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$138</w:t>
            </w:r>
          </w:p>
        </w:tc>
      </w:tr>
      <w:tr>
        <w:trPr>
          <w:trHeight w:val="20"/>
        </w:trPr>
        <w:tc>
          <w:tcPr>
            <w:tcW w:w="5300" w:type="dxa"/>
            <w:vAlign w:val="bottom"/>
            <w:shd w:val="clear" w:color="auto" w:fill="000000"/>
          </w:tcPr>
          <w:p>
            <w:pPr>
              <w:spacing w:after="0" w:line="20" w:lineRule="exact"/>
              <w:rPr>
                <w:sz w:val="1"/>
                <w:szCs w:val="1"/>
                <w:color w:val="auto"/>
              </w:rPr>
            </w:pPr>
          </w:p>
        </w:tc>
        <w:tc>
          <w:tcPr>
            <w:tcW w:w="2960" w:type="dxa"/>
            <w:vAlign w:val="bottom"/>
            <w:shd w:val="clear" w:color="auto" w:fill="000000"/>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Facilities</w:t>
      </w:r>
    </w:p>
    <w:p>
      <w:pPr>
        <w:spacing w:after="0" w:line="27" w:lineRule="exact"/>
        <w:rPr>
          <w:sz w:val="20"/>
          <w:szCs w:val="20"/>
          <w:color w:val="auto"/>
        </w:rPr>
      </w:pPr>
    </w:p>
    <w:p>
      <w:pPr>
        <w:jc w:val="both"/>
        <w:ind w:right="200"/>
        <w:spacing w:after="0" w:line="254" w:lineRule="auto"/>
        <w:rPr>
          <w:sz w:val="20"/>
          <w:szCs w:val="20"/>
          <w:color w:val="auto"/>
        </w:rPr>
      </w:pPr>
      <w:r>
        <w:rPr>
          <w:rFonts w:ascii="Arial" w:cs="Arial" w:eastAsia="Arial" w:hAnsi="Arial"/>
          <w:sz w:val="18"/>
          <w:szCs w:val="18"/>
          <w:color w:val="auto"/>
        </w:rPr>
        <w:t>As of January 28, 2017, we had total short-term borrowing capacity of $800 under our senior unsecured revolving credit facility (“revolver”) that expires in April 2020. Under the terms of our revolver, we pay a variable rate of interest and a commitment fee based on our debt rating. The revolver is available for working capital, capital expenditures and general corporate purposes. We have the option to increase the revolving commitment by up to $200, to a total of $1,000, provided that we obtain written consent from the lenders.</w:t>
      </w:r>
    </w:p>
    <w:p>
      <w:pPr>
        <w:spacing w:after="0" w:line="136" w:lineRule="exact"/>
        <w:rPr>
          <w:sz w:val="20"/>
          <w:szCs w:val="20"/>
          <w:color w:val="auto"/>
        </w:rPr>
      </w:pPr>
    </w:p>
    <w:p>
      <w:pPr>
        <w:jc w:val="both"/>
        <w:ind w:right="80"/>
        <w:spacing w:after="0" w:line="308" w:lineRule="auto"/>
        <w:rPr>
          <w:sz w:val="20"/>
          <w:szCs w:val="20"/>
          <w:color w:val="auto"/>
        </w:rPr>
      </w:pPr>
      <w:r>
        <w:rPr>
          <w:rFonts w:ascii="Arial" w:cs="Arial" w:eastAsia="Arial" w:hAnsi="Arial"/>
          <w:sz w:val="17"/>
          <w:szCs w:val="17"/>
          <w:color w:val="auto"/>
        </w:rPr>
        <w:t>The revolver requires that we maintain an adjusted debt to earnings before interest, income taxes, depreciation, amortization and rent (“EBITDAR”) leverage ratio of no more than four times. As of January 28, 2017 and January 30, 2016, we were in compliance with this covenant.</w:t>
      </w:r>
    </w:p>
    <w:p>
      <w:pPr>
        <w:spacing w:after="0" w:line="93" w:lineRule="exact"/>
        <w:rPr>
          <w:sz w:val="20"/>
          <w:szCs w:val="20"/>
          <w:color w:val="auto"/>
        </w:rPr>
      </w:pPr>
    </w:p>
    <w:p>
      <w:pPr>
        <w:jc w:val="both"/>
        <w:ind w:right="80"/>
        <w:spacing w:after="0" w:line="312" w:lineRule="auto"/>
        <w:rPr>
          <w:sz w:val="20"/>
          <w:szCs w:val="20"/>
          <w:color w:val="auto"/>
        </w:rPr>
      </w:pPr>
      <w:r>
        <w:rPr>
          <w:rFonts w:ascii="Arial" w:cs="Arial" w:eastAsia="Arial" w:hAnsi="Arial"/>
          <w:sz w:val="16"/>
          <w:szCs w:val="16"/>
          <w:color w:val="auto"/>
        </w:rPr>
        <w:t>Our $800 commercial paper program allows us to use the proceeds to fund operating cash requirements. Under the terms of the commercial paper agreement, we pay a rate of interest based on, among other factors, the maturity of the issuance and market conditions. The issuance of commercial paper has the effect, while it is outstanding, of reducing available liquidity under the revolver by an amount equal to the principal amount of commercial paper.</w:t>
      </w:r>
    </w:p>
    <w:p>
      <w:pPr>
        <w:spacing w:after="0" w:line="9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As of January 28, 2017 and January 30, 2016, we had no issuances outstanding under our commercial paper program and no borrowings outstanding under our revolver.</w:t>
      </w:r>
    </w:p>
    <w:p>
      <w:pPr>
        <w:spacing w:after="0" w:line="116"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Our wholly owned subsidiary in Puerto Rico maintains a $52 unsecured borrowing facility to support our expansion into that market. The facility expires in November 2018 and borrowings on this facility incur interest based upon the LIBOR plus 1.275% per annum and also incurs a fee based on our unused commitment. As of January 28, 2017 and January 30, 2016, we had $50 and $52 outstanding on this facility which is included as a component in other unsecured debt.</w:t>
      </w:r>
    </w:p>
    <w:p>
      <w:pPr>
        <w:spacing w:after="0" w:line="381" w:lineRule="exact"/>
        <w:rPr>
          <w:sz w:val="20"/>
          <w:szCs w:val="20"/>
          <w:color w:val="auto"/>
        </w:rPr>
      </w:pPr>
    </w:p>
    <w:p>
      <w:pPr>
        <w:jc w:val="right"/>
        <w:spacing w:after="0"/>
        <w:rPr>
          <w:sz w:val="20"/>
          <w:szCs w:val="20"/>
          <w:color w:val="auto"/>
        </w:rPr>
      </w:pPr>
      <w:r>
        <w:rPr>
          <w:rFonts w:ascii="Arial" w:cs="Arial" w:eastAsia="Arial" w:hAnsi="Arial"/>
          <w:sz w:val="13"/>
          <w:szCs w:val="13"/>
          <w:color w:val="auto"/>
        </w:rPr>
        <w:t xml:space="preserve">Nordstrom, Inc. and subsidiaries </w:t>
      </w:r>
      <w:r>
        <w:rPr>
          <w:rFonts w:ascii="Arial" w:cs="Arial" w:eastAsia="Arial" w:hAnsi="Arial"/>
          <w:sz w:val="16"/>
          <w:szCs w:val="16"/>
          <w:color w:val="auto"/>
        </w:rPr>
        <w:t>51</w:t>
      </w:r>
    </w:p>
    <w:p>
      <w:pPr>
        <w:sectPr>
          <w:pgSz w:w="11900" w:h="16838" w:orient="portrait"/>
          <w:cols w:equalWidth="0" w:num="1">
            <w:col w:w="11420"/>
          </w:cols>
          <w:pgMar w:left="240" w:top="126" w:right="239" w:bottom="1440" w:gutter="0" w:footer="0" w:header="0"/>
        </w:sectPr>
      </w:pPr>
    </w:p>
    <w:bookmarkStart w:id="52" w:name="page53"/>
    <w:bookmarkEnd w:id="52"/>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Nordstrom, Inc.</w:t>
      </w:r>
    </w:p>
    <w:p>
      <w:pPr>
        <w:spacing w:after="0" w:line="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rPr>
          <w:sz w:val="20"/>
          <w:szCs w:val="20"/>
          <w:color w:val="auto"/>
        </w:rPr>
      </w:pPr>
      <w:r>
        <w:rPr>
          <w:rFonts w:ascii="Arial" w:cs="Arial" w:eastAsia="Arial" w:hAnsi="Arial"/>
          <w:sz w:val="18"/>
          <w:szCs w:val="18"/>
          <w:color w:val="auto"/>
        </w:rPr>
        <w:t>Dollar and share amounts in millions except per share, per option and per unit amounts</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FAIR VALUE MEASUREMENTS</w:t>
      </w:r>
    </w:p>
    <w:p>
      <w:pPr>
        <w:spacing w:after="0" w:line="27"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We disclose our financial assets and liabilities that are measured at fair value in our Consolidated Balance Sheets by level within the fair value hierarchy as defined by applicable accounting standards:</w:t>
      </w:r>
    </w:p>
    <w:p>
      <w:pPr>
        <w:spacing w:after="0" w:line="13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Level 1: Quoted market prices in active markets for identical assets or liabilities</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Level 2: Other observable market-based inputs or unobservable inputs that are corroborated by market data</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Level 3: Unobservable inputs that cannot be corroborated by market data that reflect the reporting entity’s own assumptions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Instruments Measured at Fair Value on a Recurring Basis</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We recorded a beneficial interest asset when we completed the sale of a substantial majority of our U.S. Visa and private label credit card portfolio (see Note</w:t>
      </w:r>
    </w:p>
    <w:p>
      <w:pPr>
        <w:spacing w:after="0" w:line="32" w:lineRule="exact"/>
        <w:rPr>
          <w:sz w:val="20"/>
          <w:szCs w:val="20"/>
          <w:color w:val="auto"/>
        </w:rPr>
      </w:pPr>
    </w:p>
    <w:p>
      <w:pPr>
        <w:ind w:right="180" w:firstLine="8"/>
        <w:spacing w:after="0" w:line="295" w:lineRule="auto"/>
        <w:tabs>
          <w:tab w:leader="none" w:pos="185" w:val="left"/>
        </w:tabs>
        <w:numPr>
          <w:ilvl w:val="0"/>
          <w:numId w:val="36"/>
        </w:numPr>
        <w:rPr>
          <w:rFonts w:ascii="Arial" w:cs="Arial" w:eastAsia="Arial" w:hAnsi="Arial"/>
          <w:sz w:val="16"/>
          <w:szCs w:val="16"/>
          <w:color w:val="auto"/>
        </w:rPr>
      </w:pPr>
      <w:r>
        <w:rPr>
          <w:rFonts w:ascii="Arial" w:cs="Arial" w:eastAsia="Arial" w:hAnsi="Arial"/>
          <w:sz w:val="16"/>
          <w:szCs w:val="16"/>
          <w:color w:val="auto"/>
        </w:rPr>
        <w:t>Credit Card Receivable Transaction). We determined the fair value of the beneficial interest asset based on a discounted cash flow model using Level 3 inputs of the fair value hierarchy. Inputs and assumptions include the discount rate, payment rate, credit loss rate and revenues and expenses associated with the program agreement. Given our review of market participant capital structures in the banking and credit card industries and our historical and expected portfolio performance, we used the following ranges of input assumptions to determine the fair value as of January 28, 2017 and January 30, 2016:</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560" w:type="dxa"/>
            <w:vAlign w:val="bottom"/>
          </w:tcPr>
          <w:p>
            <w:pPr>
              <w:spacing w:after="0"/>
              <w:rPr>
                <w:sz w:val="18"/>
                <w:szCs w:val="18"/>
                <w:color w:val="auto"/>
              </w:rPr>
            </w:pPr>
          </w:p>
        </w:tc>
        <w:tc>
          <w:tcPr>
            <w:tcW w:w="2400" w:type="dxa"/>
            <w:vAlign w:val="bottom"/>
          </w:tcPr>
          <w:p>
            <w:pPr>
              <w:jc w:val="right"/>
              <w:ind w:right="19"/>
              <w:spacing w:after="0"/>
              <w:rPr>
                <w:sz w:val="20"/>
                <w:szCs w:val="20"/>
                <w:color w:val="auto"/>
              </w:rPr>
            </w:pPr>
            <w:r>
              <w:rPr>
                <w:rFonts w:ascii="Arial" w:cs="Arial" w:eastAsia="Arial" w:hAnsi="Arial"/>
                <w:sz w:val="16"/>
                <w:szCs w:val="16"/>
                <w:b w:val="1"/>
                <w:bCs w:val="1"/>
                <w:color w:val="auto"/>
              </w:rPr>
              <w:t>January 28, 2017</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60" w:type="dxa"/>
            <w:vAlign w:val="bottom"/>
          </w:tcPr>
          <w:p>
            <w:pPr>
              <w:jc w:val="right"/>
              <w:spacing w:after="0"/>
              <w:rPr>
                <w:sz w:val="20"/>
                <w:szCs w:val="20"/>
                <w:color w:val="auto"/>
              </w:rPr>
            </w:pPr>
            <w:r>
              <w:rPr>
                <w:rFonts w:ascii="Arial" w:cs="Arial" w:eastAsia="Arial" w:hAnsi="Arial"/>
                <w:sz w:val="16"/>
                <w:szCs w:val="16"/>
                <w:b w:val="1"/>
                <w:bCs w:val="1"/>
                <w:color w:val="auto"/>
              </w:rPr>
              <w:t>January 30, 2016</w:t>
            </w:r>
          </w:p>
        </w:tc>
        <w:tc>
          <w:tcPr>
            <w:tcW w:w="980" w:type="dxa"/>
            <w:vAlign w:val="bottom"/>
          </w:tcPr>
          <w:p>
            <w:pPr>
              <w:spacing w:after="0"/>
              <w:rPr>
                <w:sz w:val="18"/>
                <w:szCs w:val="18"/>
                <w:color w:val="auto"/>
              </w:rPr>
            </w:pPr>
          </w:p>
        </w:tc>
      </w:tr>
      <w:tr>
        <w:trPr>
          <w:trHeight w:val="33"/>
        </w:trPr>
        <w:tc>
          <w:tcPr>
            <w:tcW w:w="4560" w:type="dxa"/>
            <w:vAlign w:val="bottom"/>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1"/>
        </w:trPr>
        <w:tc>
          <w:tcPr>
            <w:tcW w:w="4560" w:type="dxa"/>
            <w:vAlign w:val="bottom"/>
          </w:tcPr>
          <w:p>
            <w:pPr>
              <w:spacing w:after="0"/>
              <w:rPr>
                <w:sz w:val="20"/>
                <w:szCs w:val="20"/>
                <w:color w:val="auto"/>
              </w:rPr>
            </w:pPr>
          </w:p>
        </w:tc>
        <w:tc>
          <w:tcPr>
            <w:tcW w:w="2400" w:type="dxa"/>
            <w:vAlign w:val="bottom"/>
          </w:tcPr>
          <w:p>
            <w:pPr>
              <w:jc w:val="right"/>
              <w:ind w:right="859"/>
              <w:spacing w:after="0"/>
              <w:rPr>
                <w:sz w:val="20"/>
                <w:szCs w:val="20"/>
                <w:color w:val="auto"/>
              </w:rPr>
            </w:pPr>
            <w:r>
              <w:rPr>
                <w:rFonts w:ascii="Arial" w:cs="Arial" w:eastAsia="Arial" w:hAnsi="Arial"/>
                <w:sz w:val="16"/>
                <w:szCs w:val="16"/>
                <w:b w:val="1"/>
                <w:bCs w:val="1"/>
                <w:color w:val="auto"/>
              </w:rPr>
              <w:t>Minimum</w:t>
            </w:r>
          </w:p>
        </w:tc>
        <w:tc>
          <w:tcPr>
            <w:tcW w:w="1120" w:type="dxa"/>
            <w:vAlign w:val="bottom"/>
            <w:gridSpan w:val="2"/>
          </w:tcPr>
          <w:p>
            <w:pPr>
              <w:ind w:left="100"/>
              <w:spacing w:after="0"/>
              <w:rPr>
                <w:sz w:val="20"/>
                <w:szCs w:val="20"/>
                <w:color w:val="auto"/>
              </w:rPr>
            </w:pPr>
            <w:r>
              <w:rPr>
                <w:rFonts w:ascii="Arial" w:cs="Arial" w:eastAsia="Arial" w:hAnsi="Arial"/>
                <w:sz w:val="16"/>
                <w:szCs w:val="16"/>
                <w:b w:val="1"/>
                <w:bCs w:val="1"/>
                <w:color w:val="auto"/>
              </w:rPr>
              <w:t>Maximum</w:t>
            </w:r>
          </w:p>
        </w:tc>
        <w:tc>
          <w:tcPr>
            <w:tcW w:w="2360" w:type="dxa"/>
            <w:vAlign w:val="bottom"/>
          </w:tcPr>
          <w:p>
            <w:pPr>
              <w:jc w:val="right"/>
              <w:ind w:right="839"/>
              <w:spacing w:after="0"/>
              <w:rPr>
                <w:sz w:val="20"/>
                <w:szCs w:val="20"/>
                <w:color w:val="auto"/>
              </w:rPr>
            </w:pPr>
            <w:r>
              <w:rPr>
                <w:rFonts w:ascii="Arial" w:cs="Arial" w:eastAsia="Arial" w:hAnsi="Arial"/>
                <w:sz w:val="16"/>
                <w:szCs w:val="16"/>
                <w:b w:val="1"/>
                <w:bCs w:val="1"/>
                <w:color w:val="auto"/>
              </w:rPr>
              <w:t>Minimum</w:t>
            </w: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Maximum</w:t>
            </w:r>
          </w:p>
        </w:tc>
      </w:tr>
      <w:tr>
        <w:trPr>
          <w:trHeight w:val="33"/>
        </w:trPr>
        <w:tc>
          <w:tcPr>
            <w:tcW w:w="456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Discount rate</w:t>
            </w:r>
          </w:p>
        </w:tc>
        <w:tc>
          <w:tcPr>
            <w:tcW w:w="240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6"/>
                <w:szCs w:val="16"/>
                <w:b w:val="1"/>
                <w:bCs w:val="1"/>
                <w:color w:val="auto"/>
              </w:rPr>
              <w:t>12%</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236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6"/>
                <w:szCs w:val="16"/>
                <w:color w:val="auto"/>
              </w:rPr>
              <w:t>12%</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w:t>
            </w:r>
          </w:p>
        </w:tc>
      </w:tr>
      <w:tr>
        <w:trPr>
          <w:trHeight w:val="237"/>
        </w:trPr>
        <w:tc>
          <w:tcPr>
            <w:tcW w:w="4560" w:type="dxa"/>
            <w:vAlign w:val="bottom"/>
          </w:tcPr>
          <w:p>
            <w:pPr>
              <w:ind w:left="40"/>
              <w:spacing w:after="0"/>
              <w:rPr>
                <w:sz w:val="20"/>
                <w:szCs w:val="20"/>
                <w:color w:val="auto"/>
              </w:rPr>
            </w:pPr>
            <w:r>
              <w:rPr>
                <w:rFonts w:ascii="Arial" w:cs="Arial" w:eastAsia="Arial" w:hAnsi="Arial"/>
                <w:sz w:val="16"/>
                <w:szCs w:val="16"/>
                <w:color w:val="auto"/>
              </w:rPr>
              <w:t>Monthly payment rate</w:t>
            </w:r>
          </w:p>
        </w:tc>
        <w:tc>
          <w:tcPr>
            <w:tcW w:w="2400" w:type="dxa"/>
            <w:vAlign w:val="bottom"/>
          </w:tcPr>
          <w:p>
            <w:pPr>
              <w:jc w:val="right"/>
              <w:ind w:right="699"/>
              <w:spacing w:after="0"/>
              <w:rPr>
                <w:sz w:val="20"/>
                <w:szCs w:val="20"/>
                <w:color w:val="auto"/>
              </w:rPr>
            </w:pPr>
            <w:r>
              <w:rPr>
                <w:rFonts w:ascii="Arial" w:cs="Arial" w:eastAsia="Arial" w:hAnsi="Arial"/>
                <w:sz w:val="16"/>
                <w:szCs w:val="16"/>
                <w:b w:val="1"/>
                <w:bCs w:val="1"/>
                <w:color w:val="auto"/>
              </w:rPr>
              <w:t>6%</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10%</w:t>
            </w:r>
          </w:p>
        </w:tc>
        <w:tc>
          <w:tcPr>
            <w:tcW w:w="120" w:type="dxa"/>
            <w:vAlign w:val="bottom"/>
          </w:tcPr>
          <w:p>
            <w:pPr>
              <w:spacing w:after="0"/>
              <w:rPr>
                <w:sz w:val="20"/>
                <w:szCs w:val="20"/>
                <w:color w:val="auto"/>
              </w:rPr>
            </w:pPr>
          </w:p>
        </w:tc>
        <w:tc>
          <w:tcPr>
            <w:tcW w:w="2360" w:type="dxa"/>
            <w:vAlign w:val="bottom"/>
          </w:tcPr>
          <w:p>
            <w:pPr>
              <w:jc w:val="right"/>
              <w:ind w:right="699"/>
              <w:spacing w:after="0"/>
              <w:rPr>
                <w:sz w:val="20"/>
                <w:szCs w:val="20"/>
                <w:color w:val="auto"/>
              </w:rPr>
            </w:pPr>
            <w:r>
              <w:rPr>
                <w:rFonts w:ascii="Arial" w:cs="Arial" w:eastAsia="Arial" w:hAnsi="Arial"/>
                <w:sz w:val="16"/>
                <w:szCs w:val="16"/>
                <w:color w:val="auto"/>
              </w:rPr>
              <w:t>6%</w:t>
            </w:r>
          </w:p>
        </w:tc>
        <w:tc>
          <w:tcPr>
            <w:tcW w:w="98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33"/>
        </w:trPr>
        <w:tc>
          <w:tcPr>
            <w:tcW w:w="456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Annual credit loss rate</w:t>
            </w:r>
          </w:p>
        </w:tc>
        <w:tc>
          <w:tcPr>
            <w:tcW w:w="240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6"/>
                <w:szCs w:val="16"/>
                <w:b w:val="1"/>
                <w:bCs w:val="1"/>
                <w:color w:val="auto"/>
              </w:rPr>
              <w:t>3%</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236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6"/>
                <w:szCs w:val="16"/>
                <w:color w:val="auto"/>
              </w:rPr>
              <w:t>2%</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r>
      <w:tr>
        <w:trPr>
          <w:trHeight w:val="237"/>
        </w:trPr>
        <w:tc>
          <w:tcPr>
            <w:tcW w:w="4560" w:type="dxa"/>
            <w:vAlign w:val="bottom"/>
          </w:tcPr>
          <w:p>
            <w:pPr>
              <w:ind w:left="40"/>
              <w:spacing w:after="0"/>
              <w:rPr>
                <w:sz w:val="20"/>
                <w:szCs w:val="20"/>
                <w:color w:val="auto"/>
              </w:rPr>
            </w:pPr>
            <w:r>
              <w:rPr>
                <w:rFonts w:ascii="Arial" w:cs="Arial" w:eastAsia="Arial" w:hAnsi="Arial"/>
                <w:sz w:val="16"/>
                <w:szCs w:val="16"/>
                <w:color w:val="auto"/>
              </w:rPr>
              <w:t>Annual revenues as a percent to credit card receivables</w:t>
            </w:r>
          </w:p>
        </w:tc>
        <w:tc>
          <w:tcPr>
            <w:tcW w:w="2400" w:type="dxa"/>
            <w:vAlign w:val="bottom"/>
          </w:tcPr>
          <w:p>
            <w:pPr>
              <w:jc w:val="right"/>
              <w:ind w:right="699"/>
              <w:spacing w:after="0"/>
              <w:rPr>
                <w:sz w:val="20"/>
                <w:szCs w:val="20"/>
                <w:color w:val="auto"/>
              </w:rPr>
            </w:pPr>
            <w:r>
              <w:rPr>
                <w:rFonts w:ascii="Arial" w:cs="Arial" w:eastAsia="Arial" w:hAnsi="Arial"/>
                <w:sz w:val="16"/>
                <w:szCs w:val="16"/>
                <w:b w:val="1"/>
                <w:bCs w:val="1"/>
                <w:color w:val="auto"/>
              </w:rPr>
              <w:t>15%</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18%</w:t>
            </w:r>
          </w:p>
        </w:tc>
        <w:tc>
          <w:tcPr>
            <w:tcW w:w="120" w:type="dxa"/>
            <w:vAlign w:val="bottom"/>
          </w:tcPr>
          <w:p>
            <w:pPr>
              <w:spacing w:after="0"/>
              <w:rPr>
                <w:sz w:val="20"/>
                <w:szCs w:val="20"/>
                <w:color w:val="auto"/>
              </w:rPr>
            </w:pPr>
          </w:p>
        </w:tc>
        <w:tc>
          <w:tcPr>
            <w:tcW w:w="2360" w:type="dxa"/>
            <w:vAlign w:val="bottom"/>
          </w:tcPr>
          <w:p>
            <w:pPr>
              <w:jc w:val="right"/>
              <w:ind w:right="699"/>
              <w:spacing w:after="0"/>
              <w:rPr>
                <w:sz w:val="20"/>
                <w:szCs w:val="20"/>
                <w:color w:val="auto"/>
              </w:rPr>
            </w:pPr>
            <w:r>
              <w:rPr>
                <w:rFonts w:ascii="Arial" w:cs="Arial" w:eastAsia="Arial" w:hAnsi="Arial"/>
                <w:sz w:val="16"/>
                <w:szCs w:val="16"/>
                <w:color w:val="auto"/>
              </w:rPr>
              <w:t>10%</w:t>
            </w:r>
          </w:p>
        </w:tc>
        <w:tc>
          <w:tcPr>
            <w:tcW w:w="98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33"/>
        </w:trPr>
        <w:tc>
          <w:tcPr>
            <w:tcW w:w="456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Annual expenses as a percent to credit card receivables</w:t>
            </w:r>
          </w:p>
        </w:tc>
        <w:tc>
          <w:tcPr>
            <w:tcW w:w="240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6"/>
                <w:szCs w:val="16"/>
                <w:b w:val="1"/>
                <w:bCs w:val="1"/>
                <w:color w:val="auto"/>
              </w:rPr>
              <w:t>5%</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236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6"/>
                <w:szCs w:val="16"/>
                <w:color w:val="auto"/>
              </w:rPr>
              <w:t>4%</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w:t>
            </w:r>
          </w:p>
        </w:tc>
      </w:tr>
      <w:tr>
        <w:trPr>
          <w:trHeight w:val="20"/>
        </w:trPr>
        <w:tc>
          <w:tcPr>
            <w:tcW w:w="4560" w:type="dxa"/>
            <w:vAlign w:val="bottom"/>
            <w:shd w:val="clear" w:color="auto" w:fill="000000"/>
          </w:tcPr>
          <w:p>
            <w:pPr>
              <w:spacing w:after="0" w:line="20" w:lineRule="exact"/>
              <w:rPr>
                <w:sz w:val="1"/>
                <w:szCs w:val="1"/>
                <w:color w:val="auto"/>
              </w:rPr>
            </w:pPr>
          </w:p>
        </w:tc>
        <w:tc>
          <w:tcPr>
            <w:tcW w:w="24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3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r>
    </w:tbl>
    <w:p>
      <w:pPr>
        <w:spacing w:after="0" w:line="148"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We recognized $26 and $25 of amortization expense in 2016 and 2015 on the beneficial interest asset, which had a fair value of $11 and $37 at January 28, 2017 and January 30, 2016, respectively. Amortization primarily reflects payments received on the receivables sold and is recorded in credit card revenues, net.</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Instruments Not Measured at Fair Value</w:t>
      </w:r>
    </w:p>
    <w:p>
      <w:pPr>
        <w:spacing w:after="0" w:line="27"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Financial instruments not measured at fair value on a recurring basis include cash and cash equivalents, accounts receivable, accounts payable and certificates of deposit, which approximate fair value due to their short-term nature, and long-term debt.</w:t>
      </w:r>
    </w:p>
    <w:p>
      <w:pPr>
        <w:spacing w:after="0" w:line="130" w:lineRule="exact"/>
        <w:rPr>
          <w:sz w:val="20"/>
          <w:szCs w:val="20"/>
          <w:color w:val="auto"/>
        </w:rPr>
      </w:pPr>
    </w:p>
    <w:p>
      <w:pPr>
        <w:ind w:right="440"/>
        <w:spacing w:after="0" w:line="342" w:lineRule="auto"/>
        <w:rPr>
          <w:sz w:val="20"/>
          <w:szCs w:val="20"/>
          <w:color w:val="auto"/>
        </w:rPr>
      </w:pPr>
      <w:r>
        <w:rPr>
          <w:rFonts w:ascii="Arial" w:cs="Arial" w:eastAsia="Arial" w:hAnsi="Arial"/>
          <w:sz w:val="16"/>
          <w:szCs w:val="16"/>
          <w:color w:val="auto"/>
        </w:rPr>
        <w:t>We estimate the fair value of long-term debt using quoted market prices of the same or similar issues and, as such, this is considered a Level 2 fair value measurement. The following table summarizes the carrying value and fair value estimate of our long-term debt, including current maturities: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200" w:type="dxa"/>
            <w:vAlign w:val="bottom"/>
          </w:tcPr>
          <w:p>
            <w:pPr>
              <w:spacing w:after="0"/>
              <w:rPr>
                <w:sz w:val="18"/>
                <w:szCs w:val="18"/>
                <w:color w:val="auto"/>
              </w:rPr>
            </w:pPr>
          </w:p>
        </w:tc>
        <w:tc>
          <w:tcPr>
            <w:tcW w:w="4560" w:type="dxa"/>
            <w:vAlign w:val="bottom"/>
          </w:tcPr>
          <w:p>
            <w:pPr>
              <w:jc w:val="right"/>
              <w:ind w:right="279"/>
              <w:spacing w:after="0"/>
              <w:rPr>
                <w:sz w:val="20"/>
                <w:szCs w:val="20"/>
                <w:color w:val="auto"/>
              </w:rPr>
            </w:pPr>
            <w:r>
              <w:rPr>
                <w:rFonts w:ascii="Arial" w:cs="Arial" w:eastAsia="Arial" w:hAnsi="Arial"/>
                <w:sz w:val="16"/>
                <w:szCs w:val="16"/>
                <w:b w:val="1"/>
                <w:bCs w:val="1"/>
                <w:color w:val="auto"/>
              </w:rPr>
              <w:t>January 28, 2017</w:t>
            </w:r>
          </w:p>
        </w:tc>
        <w:tc>
          <w:tcPr>
            <w:tcW w:w="1660" w:type="dxa"/>
            <w:vAlign w:val="bottom"/>
          </w:tcPr>
          <w:p>
            <w:pPr>
              <w:jc w:val="right"/>
              <w:ind w:right="19"/>
              <w:spacing w:after="0"/>
              <w:rPr>
                <w:sz w:val="20"/>
                <w:szCs w:val="20"/>
                <w:color w:val="auto"/>
              </w:rPr>
            </w:pPr>
            <w:r>
              <w:rPr>
                <w:rFonts w:ascii="Arial" w:cs="Arial" w:eastAsia="Arial" w:hAnsi="Arial"/>
                <w:sz w:val="16"/>
                <w:szCs w:val="16"/>
                <w:b w:val="1"/>
                <w:bCs w:val="1"/>
                <w:color w:val="auto"/>
              </w:rPr>
              <w:t>January 30, 2016</w:t>
            </w:r>
          </w:p>
        </w:tc>
      </w:tr>
      <w:tr>
        <w:trPr>
          <w:trHeight w:val="33"/>
        </w:trPr>
        <w:tc>
          <w:tcPr>
            <w:tcW w:w="5200" w:type="dxa"/>
            <w:vAlign w:val="bottom"/>
            <w:tcBorders>
              <w:bottom w:val="single" w:sz="8" w:color="auto"/>
            </w:tcBorders>
          </w:tcPr>
          <w:p>
            <w:pPr>
              <w:spacing w:after="0"/>
              <w:rPr>
                <w:sz w:val="2"/>
                <w:szCs w:val="2"/>
                <w:color w:val="auto"/>
              </w:rPr>
            </w:pPr>
          </w:p>
        </w:tc>
        <w:tc>
          <w:tcPr>
            <w:tcW w:w="45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4"/>
        </w:trPr>
        <w:tc>
          <w:tcPr>
            <w:tcW w:w="5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Carrying value of long-term debt</w:t>
            </w:r>
          </w:p>
        </w:tc>
        <w:tc>
          <w:tcPr>
            <w:tcW w:w="45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b w:val="1"/>
                <w:bCs w:val="1"/>
                <w:color w:val="auto"/>
              </w:rPr>
              <w:t>$2,774</w:t>
            </w: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$2,805</w:t>
            </w:r>
          </w:p>
        </w:tc>
      </w:tr>
      <w:tr>
        <w:trPr>
          <w:trHeight w:val="237"/>
        </w:trPr>
        <w:tc>
          <w:tcPr>
            <w:tcW w:w="5200" w:type="dxa"/>
            <w:vAlign w:val="bottom"/>
          </w:tcPr>
          <w:p>
            <w:pPr>
              <w:ind w:left="40"/>
              <w:spacing w:after="0"/>
              <w:rPr>
                <w:sz w:val="20"/>
                <w:szCs w:val="20"/>
                <w:color w:val="auto"/>
              </w:rPr>
            </w:pPr>
            <w:r>
              <w:rPr>
                <w:rFonts w:ascii="Arial" w:cs="Arial" w:eastAsia="Arial" w:hAnsi="Arial"/>
                <w:sz w:val="16"/>
                <w:szCs w:val="16"/>
                <w:color w:val="auto"/>
              </w:rPr>
              <w:t>Fair value of long-term debt</w:t>
            </w:r>
          </w:p>
        </w:tc>
        <w:tc>
          <w:tcPr>
            <w:tcW w:w="4560" w:type="dxa"/>
            <w:vAlign w:val="bottom"/>
          </w:tcPr>
          <w:p>
            <w:pPr>
              <w:jc w:val="right"/>
              <w:ind w:right="279"/>
              <w:spacing w:after="0"/>
              <w:rPr>
                <w:sz w:val="20"/>
                <w:szCs w:val="20"/>
                <w:color w:val="auto"/>
              </w:rPr>
            </w:pPr>
            <w:r>
              <w:rPr>
                <w:rFonts w:ascii="Arial" w:cs="Arial" w:eastAsia="Arial" w:hAnsi="Arial"/>
                <w:sz w:val="16"/>
                <w:szCs w:val="16"/>
                <w:b w:val="1"/>
                <w:bCs w:val="1"/>
                <w:color w:val="auto"/>
              </w:rPr>
              <w:t>2,949</w:t>
            </w:r>
          </w:p>
        </w:tc>
        <w:tc>
          <w:tcPr>
            <w:tcW w:w="1660" w:type="dxa"/>
            <w:vAlign w:val="bottom"/>
          </w:tcPr>
          <w:p>
            <w:pPr>
              <w:jc w:val="right"/>
              <w:ind w:right="19"/>
              <w:spacing w:after="0"/>
              <w:rPr>
                <w:sz w:val="20"/>
                <w:szCs w:val="20"/>
                <w:color w:val="auto"/>
              </w:rPr>
            </w:pPr>
            <w:r>
              <w:rPr>
                <w:rFonts w:ascii="Arial" w:cs="Arial" w:eastAsia="Arial" w:hAnsi="Arial"/>
                <w:sz w:val="16"/>
                <w:szCs w:val="16"/>
                <w:color w:val="auto"/>
              </w:rPr>
              <w:t>3,077</w:t>
            </w:r>
          </w:p>
        </w:tc>
      </w:tr>
      <w:tr>
        <w:trPr>
          <w:trHeight w:val="33"/>
        </w:trPr>
        <w:tc>
          <w:tcPr>
            <w:tcW w:w="5200" w:type="dxa"/>
            <w:vAlign w:val="bottom"/>
            <w:tcBorders>
              <w:bottom w:val="single" w:sz="8" w:color="auto"/>
            </w:tcBorders>
          </w:tcPr>
          <w:p>
            <w:pPr>
              <w:spacing w:after="0"/>
              <w:rPr>
                <w:sz w:val="2"/>
                <w:szCs w:val="2"/>
                <w:color w:val="auto"/>
              </w:rPr>
            </w:pPr>
          </w:p>
        </w:tc>
        <w:tc>
          <w:tcPr>
            <w:tcW w:w="45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Non-financial Assets Measured at Fair Value on a Nonrecurring Basis</w:t>
      </w:r>
    </w:p>
    <w:p>
      <w:pPr>
        <w:spacing w:after="0" w:line="2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also measure certain non-financial assets at fair value on a nonrecurring basis, primarily goodwill, investment in contract asset and long-lived tangible and intangible assets, in connection with periodic evaluations for potential impairment. We estimate the fair value of these assets using primarily unobservable inputs and, as such, these are considered Level 3 fair value measurements.</w:t>
      </w:r>
    </w:p>
    <w:p>
      <w:pPr>
        <w:spacing w:after="0" w:line="136"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In 2014, we acquired 100% of the outstanding equity of Trunk Club for a net purchase price of $280, which was settled in Nordstrom common stock, and the following year we settled $23 of an indemnity holdback through Nordstrom common stock. In connection with the acquisition, we recorded $261 of goodwill. In the third quarter of 2016, the long-term operating plan for Trunk Club was updated to reflect current expectations for future growth and profitability, which were lower than previous expectations. Due to lowered expectations, we tested Trunk Club goodwill for impairment one quarter prior to the annual evaluation. Step 1 test results indicated that the estimated fair value of the reporting unit was less than the carrying value.</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color w:val="auto"/>
        </w:rPr>
        <w:t>52</w:t>
      </w:r>
    </w:p>
    <w:p>
      <w:pPr>
        <w:sectPr>
          <w:pgSz w:w="11900" w:h="16838" w:orient="portrait"/>
          <w:cols w:equalWidth="0" w:num="1">
            <w:col w:w="11420"/>
          </w:cols>
          <w:pgMar w:left="240" w:top="126" w:right="239" w:bottom="1440" w:gutter="0" w:footer="0" w:header="0"/>
        </w:sectPr>
      </w:pPr>
    </w:p>
    <w:bookmarkStart w:id="53" w:name="page54"/>
    <w:bookmarkEnd w:id="53"/>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Nordstrom, Inc.</w:t>
      </w:r>
    </w:p>
    <w:p>
      <w:pPr>
        <w:spacing w:after="0" w:line="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rPr>
          <w:sz w:val="20"/>
          <w:szCs w:val="20"/>
          <w:color w:val="auto"/>
        </w:rPr>
      </w:pPr>
      <w:r>
        <w:rPr>
          <w:rFonts w:ascii="Arial" w:cs="Arial" w:eastAsia="Arial" w:hAnsi="Arial"/>
          <w:sz w:val="18"/>
          <w:szCs w:val="18"/>
          <w:color w:val="auto"/>
        </w:rPr>
        <w:t>Dollar and share amounts in millions except per share, per option and per unit amounts</w:t>
      </w:r>
    </w:p>
    <w:p>
      <w:pPr>
        <w:spacing w:after="0" w:line="200" w:lineRule="exact"/>
        <w:rPr>
          <w:sz w:val="20"/>
          <w:szCs w:val="20"/>
          <w:color w:val="auto"/>
        </w:rPr>
      </w:pPr>
    </w:p>
    <w:p>
      <w:pPr>
        <w:spacing w:after="0" w:line="38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our Step 2 analysis, we used a combination of the expected present value of future cash flows (income approach) and comparable public companies (market approach) to determine the fair value of the reporting unit. These approaches use primarily unobservable inputs, including discount, sales growth and profit margin rates, which are considered Level 3 fair value measurements. The fair value analysis took into account recent and expected operating performance as well as the overall decline in the retail industry. Within our Retail Segment, we recognized a goodwill impairment charge of $197, reducing Trunk Club goodwill to $64 from $261 as of January 30, 2016.</w:t>
      </w:r>
    </w:p>
    <w:p>
      <w:pPr>
        <w:spacing w:after="0" w:line="134"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In 2015, we recorded asset impairment charges of $59, which are included in our Retail Business selling, general and administrative expenses. We did not record any material impairment losses in 2014. For additional information related to goodwill, intangible assets, long-lived assets and impairments, see Note 1: Nature of Operations and Summary of Significant Accounting Policies.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LEASES</w:t>
      </w:r>
    </w:p>
    <w:p>
      <w:pPr>
        <w:spacing w:after="0" w:line="27" w:lineRule="exact"/>
        <w:rPr>
          <w:sz w:val="20"/>
          <w:szCs w:val="20"/>
          <w:color w:val="auto"/>
        </w:rPr>
      </w:pPr>
    </w:p>
    <w:p>
      <w:pPr>
        <w:ind w:right="40"/>
        <w:spacing w:after="0" w:line="292" w:lineRule="auto"/>
        <w:rPr>
          <w:sz w:val="20"/>
          <w:szCs w:val="20"/>
          <w:color w:val="auto"/>
        </w:rPr>
      </w:pPr>
      <w:r>
        <w:rPr>
          <w:rFonts w:ascii="Arial" w:cs="Arial" w:eastAsia="Arial" w:hAnsi="Arial"/>
          <w:sz w:val="16"/>
          <w:szCs w:val="16"/>
          <w:color w:val="auto"/>
        </w:rPr>
        <w:t>We lease the land or the land and buildings at many of our stores. Additionally, we lease office facilities, warehouses and equipment. Most of these leases are classified as operating leases and they expire at various dates through 2080. The majority of our fixed, non-cancellable lease terms are 15 to 30 years for Nordstrom full-line stores and 10 to 15 years for Nordstrom Rack stores. Many of our leases include options that allow us to extend the lease term beyond the initial commitment period, subject to terms agreed to at lease inception. Most of our leases also provide for payment of operating expenses, such as common area charges, real estate taxes and other executory costs, and some leases require additional payments based on sales, referred to as “percentage rent.”</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auto"/>
        </w:rPr>
        <w:t>Future minimum lease payments as of January 28, 2017 are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800" w:type="dxa"/>
            <w:vAlign w:val="bottom"/>
          </w:tcPr>
          <w:p>
            <w:pPr>
              <w:ind w:left="40"/>
              <w:spacing w:after="0"/>
              <w:rPr>
                <w:sz w:val="20"/>
                <w:szCs w:val="20"/>
                <w:color w:val="auto"/>
              </w:rPr>
            </w:pPr>
            <w:r>
              <w:rPr>
                <w:rFonts w:ascii="Arial" w:cs="Arial" w:eastAsia="Arial" w:hAnsi="Arial"/>
                <w:sz w:val="16"/>
                <w:szCs w:val="16"/>
                <w:b w:val="1"/>
                <w:bCs w:val="1"/>
                <w:color w:val="auto"/>
              </w:rPr>
              <w:t>Fiscal year</w:t>
            </w:r>
          </w:p>
        </w:tc>
        <w:tc>
          <w:tcPr>
            <w:tcW w:w="3680" w:type="dxa"/>
            <w:vAlign w:val="bottom"/>
          </w:tcPr>
          <w:p>
            <w:pPr>
              <w:jc w:val="right"/>
              <w:ind w:right="39"/>
              <w:spacing w:after="0"/>
              <w:rPr>
                <w:sz w:val="20"/>
                <w:szCs w:val="20"/>
                <w:color w:val="auto"/>
              </w:rPr>
            </w:pPr>
            <w:r>
              <w:rPr>
                <w:rFonts w:ascii="Arial" w:cs="Arial" w:eastAsia="Arial" w:hAnsi="Arial"/>
                <w:sz w:val="16"/>
                <w:szCs w:val="16"/>
                <w:b w:val="1"/>
                <w:bCs w:val="1"/>
                <w:color w:val="auto"/>
              </w:rPr>
              <w:t>Capital leases</w:t>
            </w:r>
          </w:p>
        </w:tc>
        <w:tc>
          <w:tcPr>
            <w:tcW w:w="1920" w:type="dxa"/>
            <w:vAlign w:val="bottom"/>
          </w:tcPr>
          <w:p>
            <w:pPr>
              <w:jc w:val="right"/>
              <w:ind w:right="39"/>
              <w:spacing w:after="0"/>
              <w:rPr>
                <w:sz w:val="20"/>
                <w:szCs w:val="20"/>
                <w:color w:val="auto"/>
              </w:rPr>
            </w:pPr>
            <w:r>
              <w:rPr>
                <w:rFonts w:ascii="Arial" w:cs="Arial" w:eastAsia="Arial" w:hAnsi="Arial"/>
                <w:sz w:val="16"/>
                <w:szCs w:val="16"/>
                <w:b w:val="1"/>
                <w:bCs w:val="1"/>
                <w:color w:val="auto"/>
              </w:rPr>
              <w:t>Operating leases</w:t>
            </w:r>
          </w:p>
        </w:tc>
      </w:tr>
      <w:tr>
        <w:trPr>
          <w:trHeight w:val="33"/>
        </w:trPr>
        <w:tc>
          <w:tcPr>
            <w:tcW w:w="5800" w:type="dxa"/>
            <w:vAlign w:val="bottom"/>
            <w:tcBorders>
              <w:bottom w:val="single" w:sz="8" w:color="auto"/>
            </w:tcBorders>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44"/>
        </w:trPr>
        <w:tc>
          <w:tcPr>
            <w:tcW w:w="5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2017</w:t>
            </w:r>
          </w:p>
        </w:tc>
        <w:tc>
          <w:tcPr>
            <w:tcW w:w="3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$277</w:t>
            </w:r>
          </w:p>
        </w:tc>
      </w:tr>
      <w:tr>
        <w:trPr>
          <w:trHeight w:val="237"/>
        </w:trPr>
        <w:tc>
          <w:tcPr>
            <w:tcW w:w="5800" w:type="dxa"/>
            <w:vAlign w:val="bottom"/>
          </w:tcPr>
          <w:p>
            <w:pPr>
              <w:ind w:left="40"/>
              <w:spacing w:after="0"/>
              <w:rPr>
                <w:sz w:val="20"/>
                <w:szCs w:val="20"/>
                <w:color w:val="auto"/>
              </w:rPr>
            </w:pPr>
            <w:r>
              <w:rPr>
                <w:rFonts w:ascii="Arial" w:cs="Arial" w:eastAsia="Arial" w:hAnsi="Arial"/>
                <w:sz w:val="16"/>
                <w:szCs w:val="16"/>
                <w:color w:val="auto"/>
              </w:rPr>
              <w:t>2018</w:t>
            </w:r>
          </w:p>
        </w:tc>
        <w:tc>
          <w:tcPr>
            <w:tcW w:w="368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920" w:type="dxa"/>
            <w:vAlign w:val="bottom"/>
          </w:tcPr>
          <w:p>
            <w:pPr>
              <w:jc w:val="right"/>
              <w:ind w:right="39"/>
              <w:spacing w:after="0"/>
              <w:rPr>
                <w:sz w:val="20"/>
                <w:szCs w:val="20"/>
                <w:color w:val="auto"/>
              </w:rPr>
            </w:pPr>
            <w:r>
              <w:rPr>
                <w:rFonts w:ascii="Arial" w:cs="Arial" w:eastAsia="Arial" w:hAnsi="Arial"/>
                <w:sz w:val="16"/>
                <w:szCs w:val="16"/>
                <w:color w:val="auto"/>
              </w:rPr>
              <w:t>302</w:t>
            </w:r>
          </w:p>
        </w:tc>
      </w:tr>
      <w:tr>
        <w:trPr>
          <w:trHeight w:val="33"/>
        </w:trPr>
        <w:tc>
          <w:tcPr>
            <w:tcW w:w="5800" w:type="dxa"/>
            <w:vAlign w:val="bottom"/>
          </w:tcPr>
          <w:p>
            <w:pPr>
              <w:spacing w:after="0"/>
              <w:rPr>
                <w:sz w:val="2"/>
                <w:szCs w:val="2"/>
                <w:color w:val="auto"/>
              </w:rPr>
            </w:pPr>
          </w:p>
        </w:tc>
        <w:tc>
          <w:tcPr>
            <w:tcW w:w="368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5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2019</w:t>
            </w:r>
          </w:p>
        </w:tc>
        <w:tc>
          <w:tcPr>
            <w:tcW w:w="3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299</w:t>
            </w:r>
          </w:p>
        </w:tc>
      </w:tr>
      <w:tr>
        <w:trPr>
          <w:trHeight w:val="237"/>
        </w:trPr>
        <w:tc>
          <w:tcPr>
            <w:tcW w:w="5800" w:type="dxa"/>
            <w:vAlign w:val="bottom"/>
          </w:tcPr>
          <w:p>
            <w:pPr>
              <w:ind w:left="40"/>
              <w:spacing w:after="0"/>
              <w:rPr>
                <w:sz w:val="20"/>
                <w:szCs w:val="20"/>
                <w:color w:val="auto"/>
              </w:rPr>
            </w:pPr>
            <w:r>
              <w:rPr>
                <w:rFonts w:ascii="Arial" w:cs="Arial" w:eastAsia="Arial" w:hAnsi="Arial"/>
                <w:sz w:val="16"/>
                <w:szCs w:val="16"/>
                <w:color w:val="auto"/>
              </w:rPr>
              <w:t>2020</w:t>
            </w:r>
          </w:p>
        </w:tc>
        <w:tc>
          <w:tcPr>
            <w:tcW w:w="36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920" w:type="dxa"/>
            <w:vAlign w:val="bottom"/>
          </w:tcPr>
          <w:p>
            <w:pPr>
              <w:jc w:val="right"/>
              <w:ind w:right="39"/>
              <w:spacing w:after="0"/>
              <w:rPr>
                <w:sz w:val="20"/>
                <w:szCs w:val="20"/>
                <w:color w:val="auto"/>
              </w:rPr>
            </w:pPr>
            <w:r>
              <w:rPr>
                <w:rFonts w:ascii="Arial" w:cs="Arial" w:eastAsia="Arial" w:hAnsi="Arial"/>
                <w:sz w:val="16"/>
                <w:szCs w:val="16"/>
                <w:color w:val="auto"/>
              </w:rPr>
              <w:t>280</w:t>
            </w:r>
          </w:p>
        </w:tc>
      </w:tr>
      <w:tr>
        <w:trPr>
          <w:trHeight w:val="33"/>
        </w:trPr>
        <w:tc>
          <w:tcPr>
            <w:tcW w:w="5800" w:type="dxa"/>
            <w:vAlign w:val="bottom"/>
          </w:tcPr>
          <w:p>
            <w:pPr>
              <w:spacing w:after="0"/>
              <w:rPr>
                <w:sz w:val="2"/>
                <w:szCs w:val="2"/>
                <w:color w:val="auto"/>
              </w:rPr>
            </w:pPr>
          </w:p>
        </w:tc>
        <w:tc>
          <w:tcPr>
            <w:tcW w:w="368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5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2021</w:t>
            </w:r>
          </w:p>
        </w:tc>
        <w:tc>
          <w:tcPr>
            <w:tcW w:w="3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256</w:t>
            </w:r>
          </w:p>
        </w:tc>
      </w:tr>
      <w:tr>
        <w:trPr>
          <w:trHeight w:val="237"/>
        </w:trPr>
        <w:tc>
          <w:tcPr>
            <w:tcW w:w="5800" w:type="dxa"/>
            <w:vAlign w:val="bottom"/>
          </w:tcPr>
          <w:p>
            <w:pPr>
              <w:ind w:left="40"/>
              <w:spacing w:after="0"/>
              <w:rPr>
                <w:sz w:val="20"/>
                <w:szCs w:val="20"/>
                <w:color w:val="auto"/>
              </w:rPr>
            </w:pPr>
            <w:r>
              <w:rPr>
                <w:rFonts w:ascii="Arial" w:cs="Arial" w:eastAsia="Arial" w:hAnsi="Arial"/>
                <w:sz w:val="16"/>
                <w:szCs w:val="16"/>
                <w:color w:val="auto"/>
              </w:rPr>
              <w:t>Thereafter</w:t>
            </w:r>
          </w:p>
        </w:tc>
        <w:tc>
          <w:tcPr>
            <w:tcW w:w="36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920" w:type="dxa"/>
            <w:vAlign w:val="bottom"/>
          </w:tcPr>
          <w:p>
            <w:pPr>
              <w:jc w:val="right"/>
              <w:ind w:right="39"/>
              <w:spacing w:after="0"/>
              <w:rPr>
                <w:sz w:val="20"/>
                <w:szCs w:val="20"/>
                <w:color w:val="auto"/>
              </w:rPr>
            </w:pPr>
            <w:r>
              <w:rPr>
                <w:rFonts w:ascii="Arial" w:cs="Arial" w:eastAsia="Arial" w:hAnsi="Arial"/>
                <w:sz w:val="16"/>
                <w:szCs w:val="16"/>
                <w:color w:val="auto"/>
              </w:rPr>
              <w:t>1,435</w:t>
            </w:r>
          </w:p>
        </w:tc>
      </w:tr>
      <w:tr>
        <w:trPr>
          <w:trHeight w:val="33"/>
        </w:trPr>
        <w:tc>
          <w:tcPr>
            <w:tcW w:w="5800" w:type="dxa"/>
            <w:vAlign w:val="bottom"/>
            <w:tcBorders>
              <w:bottom w:val="single" w:sz="8" w:color="auto"/>
            </w:tcBorders>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44"/>
        </w:trPr>
        <w:tc>
          <w:tcPr>
            <w:tcW w:w="5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minimum lease payments</w:t>
            </w:r>
          </w:p>
        </w:tc>
        <w:tc>
          <w:tcPr>
            <w:tcW w:w="3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w:t>
            </w:r>
          </w:p>
        </w:tc>
        <w:tc>
          <w:tcPr>
            <w:tcW w:w="1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$2,849</w:t>
            </w:r>
          </w:p>
        </w:tc>
      </w:tr>
      <w:tr>
        <w:trPr>
          <w:trHeight w:val="237"/>
        </w:trPr>
        <w:tc>
          <w:tcPr>
            <w:tcW w:w="5800" w:type="dxa"/>
            <w:vAlign w:val="bottom"/>
          </w:tcPr>
          <w:p>
            <w:pPr>
              <w:ind w:left="40"/>
              <w:spacing w:after="0"/>
              <w:rPr>
                <w:sz w:val="20"/>
                <w:szCs w:val="20"/>
                <w:color w:val="auto"/>
              </w:rPr>
            </w:pPr>
            <w:r>
              <w:rPr>
                <w:rFonts w:ascii="Arial" w:cs="Arial" w:eastAsia="Arial" w:hAnsi="Arial"/>
                <w:sz w:val="16"/>
                <w:szCs w:val="16"/>
                <w:color w:val="auto"/>
              </w:rPr>
              <w:t>Less: amount representing interest</w:t>
            </w:r>
          </w:p>
        </w:tc>
        <w:tc>
          <w:tcPr>
            <w:tcW w:w="36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920" w:type="dxa"/>
            <w:vAlign w:val="bottom"/>
          </w:tcPr>
          <w:p>
            <w:pPr>
              <w:spacing w:after="0"/>
              <w:rPr>
                <w:sz w:val="20"/>
                <w:szCs w:val="20"/>
                <w:color w:val="auto"/>
              </w:rPr>
            </w:pPr>
          </w:p>
        </w:tc>
      </w:tr>
      <w:tr>
        <w:trPr>
          <w:trHeight w:val="33"/>
        </w:trPr>
        <w:tc>
          <w:tcPr>
            <w:tcW w:w="5800" w:type="dxa"/>
            <w:vAlign w:val="bottom"/>
            <w:tcBorders>
              <w:bottom w:val="single" w:sz="8" w:color="auto"/>
            </w:tcBorders>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c>
          <w:tcPr>
            <w:tcW w:w="1920" w:type="dxa"/>
            <w:vAlign w:val="bottom"/>
            <w:tcBorders>
              <w:bottom w:val="single" w:sz="8" w:color="CCEEFF"/>
            </w:tcBorders>
          </w:tcPr>
          <w:p>
            <w:pPr>
              <w:spacing w:after="0"/>
              <w:rPr>
                <w:sz w:val="2"/>
                <w:szCs w:val="2"/>
                <w:color w:val="auto"/>
              </w:rPr>
            </w:pPr>
          </w:p>
        </w:tc>
      </w:tr>
      <w:tr>
        <w:trPr>
          <w:trHeight w:val="244"/>
        </w:trPr>
        <w:tc>
          <w:tcPr>
            <w:tcW w:w="5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Present value of net minimum lease payments</w:t>
            </w:r>
          </w:p>
        </w:tc>
        <w:tc>
          <w:tcPr>
            <w:tcW w:w="3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w:t>
            </w:r>
          </w:p>
        </w:tc>
        <w:tc>
          <w:tcPr>
            <w:tcW w:w="1920" w:type="dxa"/>
            <w:vAlign w:val="bottom"/>
            <w:tcBorders>
              <w:bottom w:val="single" w:sz="8" w:color="CCEEFF"/>
            </w:tcBorders>
            <w:shd w:val="clear" w:color="auto" w:fill="CCEEFF"/>
          </w:tcPr>
          <w:p>
            <w:pPr>
              <w:spacing w:after="0"/>
              <w:rPr>
                <w:sz w:val="21"/>
                <w:szCs w:val="21"/>
                <w:color w:val="auto"/>
              </w:rPr>
            </w:pPr>
          </w:p>
        </w:tc>
      </w:tr>
      <w:tr>
        <w:trPr>
          <w:trHeight w:val="20"/>
        </w:trPr>
        <w:tc>
          <w:tcPr>
            <w:tcW w:w="5800" w:type="dxa"/>
            <w:vAlign w:val="bottom"/>
            <w:shd w:val="clear" w:color="auto" w:fill="000000"/>
          </w:tcPr>
          <w:p>
            <w:pPr>
              <w:spacing w:after="0" w:line="20" w:lineRule="exact"/>
              <w:rPr>
                <w:sz w:val="1"/>
                <w:szCs w:val="1"/>
                <w:color w:val="auto"/>
              </w:rPr>
            </w:pPr>
          </w:p>
        </w:tc>
        <w:tc>
          <w:tcPr>
            <w:tcW w:w="3680" w:type="dxa"/>
            <w:vAlign w:val="bottom"/>
            <w:shd w:val="clear" w:color="auto" w:fill="000000"/>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Rent expense for 2016, 2015 and 2014 was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860" w:type="dxa"/>
            <w:vAlign w:val="bottom"/>
          </w:tcPr>
          <w:p>
            <w:pPr>
              <w:ind w:left="40"/>
              <w:spacing w:after="0"/>
              <w:rPr>
                <w:sz w:val="20"/>
                <w:szCs w:val="20"/>
                <w:color w:val="auto"/>
              </w:rPr>
            </w:pPr>
            <w:r>
              <w:rPr>
                <w:rFonts w:ascii="Arial" w:cs="Arial" w:eastAsia="Arial" w:hAnsi="Arial"/>
                <w:sz w:val="16"/>
                <w:szCs w:val="16"/>
                <w:b w:val="1"/>
                <w:bCs w:val="1"/>
                <w:color w:val="auto"/>
              </w:rPr>
              <w:t>Fiscal year</w:t>
            </w:r>
          </w:p>
        </w:tc>
        <w:tc>
          <w:tcPr>
            <w:tcW w:w="3400" w:type="dxa"/>
            <w:vAlign w:val="bottom"/>
          </w:tcPr>
          <w:p>
            <w:pPr>
              <w:jc w:val="right"/>
              <w:ind w:right="739"/>
              <w:spacing w:after="0"/>
              <w:rPr>
                <w:sz w:val="20"/>
                <w:szCs w:val="20"/>
                <w:color w:val="auto"/>
              </w:rPr>
            </w:pPr>
            <w:r>
              <w:rPr>
                <w:rFonts w:ascii="Arial" w:cs="Arial" w:eastAsia="Arial" w:hAnsi="Arial"/>
                <w:sz w:val="16"/>
                <w:szCs w:val="16"/>
                <w:b w:val="1"/>
                <w:bCs w:val="1"/>
                <w:color w:val="auto"/>
              </w:rPr>
              <w:t>2016</w:t>
            </w:r>
          </w:p>
        </w:tc>
        <w:tc>
          <w:tcPr>
            <w:tcW w:w="1940" w:type="dxa"/>
            <w:vAlign w:val="bottom"/>
          </w:tcPr>
          <w:p>
            <w:pPr>
              <w:jc w:val="right"/>
              <w:ind w:right="759"/>
              <w:spacing w:after="0"/>
              <w:rPr>
                <w:sz w:val="20"/>
                <w:szCs w:val="20"/>
                <w:color w:val="auto"/>
              </w:rPr>
            </w:pPr>
            <w:r>
              <w:rPr>
                <w:rFonts w:ascii="Arial" w:cs="Arial" w:eastAsia="Arial" w:hAnsi="Arial"/>
                <w:sz w:val="16"/>
                <w:szCs w:val="16"/>
                <w:b w:val="1"/>
                <w:bCs w:val="1"/>
                <w:color w:val="auto"/>
              </w:rPr>
              <w:t>2015</w:t>
            </w:r>
          </w:p>
        </w:tc>
        <w:tc>
          <w:tcPr>
            <w:tcW w:w="1200" w:type="dxa"/>
            <w:vAlign w:val="bottom"/>
          </w:tcPr>
          <w:p>
            <w:pPr>
              <w:jc w:val="right"/>
              <w:ind w:right="39"/>
              <w:spacing w:after="0"/>
              <w:rPr>
                <w:sz w:val="20"/>
                <w:szCs w:val="20"/>
                <w:color w:val="auto"/>
              </w:rPr>
            </w:pPr>
            <w:r>
              <w:rPr>
                <w:rFonts w:ascii="Arial" w:cs="Arial" w:eastAsia="Arial" w:hAnsi="Arial"/>
                <w:sz w:val="16"/>
                <w:szCs w:val="16"/>
                <w:b w:val="1"/>
                <w:bCs w:val="1"/>
                <w:color w:val="auto"/>
              </w:rPr>
              <w:t>2014</w:t>
            </w:r>
          </w:p>
        </w:tc>
      </w:tr>
      <w:tr>
        <w:trPr>
          <w:trHeight w:val="33"/>
        </w:trPr>
        <w:tc>
          <w:tcPr>
            <w:tcW w:w="4860" w:type="dxa"/>
            <w:vAlign w:val="bottom"/>
            <w:tcBorders>
              <w:bottom w:val="single" w:sz="8" w:color="auto"/>
            </w:tcBorders>
          </w:tcPr>
          <w:p>
            <w:pPr>
              <w:spacing w:after="0"/>
              <w:rPr>
                <w:sz w:val="2"/>
                <w:szCs w:val="2"/>
                <w:color w:val="auto"/>
              </w:rPr>
            </w:pPr>
          </w:p>
        </w:tc>
        <w:tc>
          <w:tcPr>
            <w:tcW w:w="34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Minimum rent:</w:t>
            </w:r>
          </w:p>
        </w:tc>
        <w:tc>
          <w:tcPr>
            <w:tcW w:w="34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37"/>
        </w:trPr>
        <w:tc>
          <w:tcPr>
            <w:tcW w:w="4860" w:type="dxa"/>
            <w:vAlign w:val="bottom"/>
          </w:tcPr>
          <w:p>
            <w:pPr>
              <w:ind w:left="280"/>
              <w:spacing w:after="0"/>
              <w:rPr>
                <w:sz w:val="20"/>
                <w:szCs w:val="20"/>
                <w:color w:val="auto"/>
              </w:rPr>
            </w:pPr>
            <w:r>
              <w:rPr>
                <w:rFonts w:ascii="Arial" w:cs="Arial" w:eastAsia="Arial" w:hAnsi="Arial"/>
                <w:sz w:val="16"/>
                <w:szCs w:val="16"/>
                <w:color w:val="auto"/>
              </w:rPr>
              <w:t>Store locations</w:t>
            </w:r>
          </w:p>
        </w:tc>
        <w:tc>
          <w:tcPr>
            <w:tcW w:w="3400" w:type="dxa"/>
            <w:vAlign w:val="bottom"/>
          </w:tcPr>
          <w:p>
            <w:pPr>
              <w:jc w:val="right"/>
              <w:ind w:right="739"/>
              <w:spacing w:after="0"/>
              <w:rPr>
                <w:sz w:val="20"/>
                <w:szCs w:val="20"/>
                <w:color w:val="auto"/>
              </w:rPr>
            </w:pPr>
            <w:r>
              <w:rPr>
                <w:rFonts w:ascii="Arial" w:cs="Arial" w:eastAsia="Arial" w:hAnsi="Arial"/>
                <w:sz w:val="16"/>
                <w:szCs w:val="16"/>
                <w:b w:val="1"/>
                <w:bCs w:val="1"/>
                <w:color w:val="auto"/>
              </w:rPr>
              <w:t>$230</w:t>
            </w:r>
          </w:p>
        </w:tc>
        <w:tc>
          <w:tcPr>
            <w:tcW w:w="1940" w:type="dxa"/>
            <w:vAlign w:val="bottom"/>
          </w:tcPr>
          <w:p>
            <w:pPr>
              <w:jc w:val="right"/>
              <w:ind w:right="759"/>
              <w:spacing w:after="0"/>
              <w:rPr>
                <w:sz w:val="20"/>
                <w:szCs w:val="20"/>
                <w:color w:val="auto"/>
              </w:rPr>
            </w:pPr>
            <w:r>
              <w:rPr>
                <w:rFonts w:ascii="Arial" w:cs="Arial" w:eastAsia="Arial" w:hAnsi="Arial"/>
                <w:sz w:val="16"/>
                <w:szCs w:val="16"/>
                <w:color w:val="auto"/>
              </w:rPr>
              <w:t>$204</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$170</w:t>
            </w:r>
          </w:p>
        </w:tc>
      </w:tr>
      <w:tr>
        <w:trPr>
          <w:trHeight w:val="33"/>
        </w:trPr>
        <w:tc>
          <w:tcPr>
            <w:tcW w:w="4860" w:type="dxa"/>
            <w:vAlign w:val="bottom"/>
          </w:tcPr>
          <w:p>
            <w:pPr>
              <w:spacing w:after="0"/>
              <w:rPr>
                <w:sz w:val="2"/>
                <w:szCs w:val="2"/>
                <w:color w:val="auto"/>
              </w:rPr>
            </w:pPr>
          </w:p>
        </w:tc>
        <w:tc>
          <w:tcPr>
            <w:tcW w:w="34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Offices, warehouses and equipment</w:t>
            </w:r>
          </w:p>
        </w:tc>
        <w:tc>
          <w:tcPr>
            <w:tcW w:w="340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b w:val="1"/>
                <w:bCs w:val="1"/>
                <w:color w:val="auto"/>
              </w:rPr>
              <w:t>40</w:t>
            </w:r>
          </w:p>
        </w:tc>
        <w:tc>
          <w:tcPr>
            <w:tcW w:w="194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color w:val="auto"/>
              </w:rPr>
              <w:t>41</w:t>
            </w: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w:t>
            </w:r>
          </w:p>
        </w:tc>
      </w:tr>
      <w:tr>
        <w:trPr>
          <w:trHeight w:val="237"/>
        </w:trPr>
        <w:tc>
          <w:tcPr>
            <w:tcW w:w="4860" w:type="dxa"/>
            <w:vAlign w:val="bottom"/>
          </w:tcPr>
          <w:p>
            <w:pPr>
              <w:ind w:left="40"/>
              <w:spacing w:after="0"/>
              <w:rPr>
                <w:sz w:val="20"/>
                <w:szCs w:val="20"/>
                <w:color w:val="auto"/>
              </w:rPr>
            </w:pPr>
            <w:r>
              <w:rPr>
                <w:rFonts w:ascii="Arial" w:cs="Arial" w:eastAsia="Arial" w:hAnsi="Arial"/>
                <w:sz w:val="16"/>
                <w:szCs w:val="16"/>
                <w:color w:val="auto"/>
              </w:rPr>
              <w:t>Percentage rent</w:t>
            </w:r>
          </w:p>
        </w:tc>
        <w:tc>
          <w:tcPr>
            <w:tcW w:w="3400" w:type="dxa"/>
            <w:vAlign w:val="bottom"/>
          </w:tcPr>
          <w:p>
            <w:pPr>
              <w:jc w:val="right"/>
              <w:ind w:right="739"/>
              <w:spacing w:after="0"/>
              <w:rPr>
                <w:sz w:val="20"/>
                <w:szCs w:val="20"/>
                <w:color w:val="auto"/>
              </w:rPr>
            </w:pPr>
            <w:r>
              <w:rPr>
                <w:rFonts w:ascii="Arial" w:cs="Arial" w:eastAsia="Arial" w:hAnsi="Arial"/>
                <w:sz w:val="16"/>
                <w:szCs w:val="16"/>
                <w:b w:val="1"/>
                <w:bCs w:val="1"/>
                <w:color w:val="auto"/>
              </w:rPr>
              <w:t>12</w:t>
            </w:r>
          </w:p>
        </w:tc>
        <w:tc>
          <w:tcPr>
            <w:tcW w:w="1940" w:type="dxa"/>
            <w:vAlign w:val="bottom"/>
          </w:tcPr>
          <w:p>
            <w:pPr>
              <w:jc w:val="right"/>
              <w:ind w:right="759"/>
              <w:spacing w:after="0"/>
              <w:rPr>
                <w:sz w:val="20"/>
                <w:szCs w:val="20"/>
                <w:color w:val="auto"/>
              </w:rPr>
            </w:pPr>
            <w:r>
              <w:rPr>
                <w:rFonts w:ascii="Arial" w:cs="Arial" w:eastAsia="Arial" w:hAnsi="Arial"/>
                <w:sz w:val="16"/>
                <w:szCs w:val="16"/>
                <w:color w:val="auto"/>
              </w:rPr>
              <w:t>13</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14</w:t>
            </w:r>
          </w:p>
        </w:tc>
      </w:tr>
      <w:tr>
        <w:trPr>
          <w:trHeight w:val="33"/>
        </w:trPr>
        <w:tc>
          <w:tcPr>
            <w:tcW w:w="4860" w:type="dxa"/>
            <w:vAlign w:val="bottom"/>
          </w:tcPr>
          <w:p>
            <w:pPr>
              <w:spacing w:after="0"/>
              <w:rPr>
                <w:sz w:val="2"/>
                <w:szCs w:val="2"/>
                <w:color w:val="auto"/>
              </w:rPr>
            </w:pPr>
          </w:p>
        </w:tc>
        <w:tc>
          <w:tcPr>
            <w:tcW w:w="34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5"/>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Property incentives</w:t>
            </w:r>
          </w:p>
        </w:tc>
        <w:tc>
          <w:tcPr>
            <w:tcW w:w="340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6"/>
                <w:szCs w:val="16"/>
                <w:b w:val="1"/>
                <w:bCs w:val="1"/>
                <w:color w:val="auto"/>
              </w:rPr>
              <w:t>(80)</w:t>
            </w:r>
          </w:p>
        </w:tc>
        <w:tc>
          <w:tcPr>
            <w:tcW w:w="194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6"/>
                <w:szCs w:val="16"/>
                <w:color w:val="auto"/>
              </w:rPr>
              <w:t>(82)</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w:t>
            </w:r>
          </w:p>
        </w:tc>
      </w:tr>
      <w:tr>
        <w:trPr>
          <w:trHeight w:val="231"/>
        </w:trPr>
        <w:tc>
          <w:tcPr>
            <w:tcW w:w="486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 rent expense</w:t>
            </w:r>
          </w:p>
        </w:tc>
        <w:tc>
          <w:tcPr>
            <w:tcW w:w="3400" w:type="dxa"/>
            <w:vAlign w:val="bottom"/>
            <w:tcBorders>
              <w:top w:val="single" w:sz="8" w:color="auto"/>
            </w:tcBorders>
          </w:tcPr>
          <w:p>
            <w:pPr>
              <w:jc w:val="right"/>
              <w:ind w:right="739"/>
              <w:spacing w:after="0"/>
              <w:rPr>
                <w:sz w:val="20"/>
                <w:szCs w:val="20"/>
                <w:color w:val="auto"/>
              </w:rPr>
            </w:pPr>
            <w:r>
              <w:rPr>
                <w:rFonts w:ascii="Arial" w:cs="Arial" w:eastAsia="Arial" w:hAnsi="Arial"/>
                <w:sz w:val="16"/>
                <w:szCs w:val="16"/>
                <w:b w:val="1"/>
                <w:bCs w:val="1"/>
                <w:color w:val="auto"/>
              </w:rPr>
              <w:t>$202</w:t>
            </w:r>
          </w:p>
        </w:tc>
        <w:tc>
          <w:tcPr>
            <w:tcW w:w="1940" w:type="dxa"/>
            <w:vAlign w:val="bottom"/>
            <w:tcBorders>
              <w:top w:val="single" w:sz="8" w:color="auto"/>
            </w:tcBorders>
          </w:tcPr>
          <w:p>
            <w:pPr>
              <w:jc w:val="right"/>
              <w:ind w:right="759"/>
              <w:spacing w:after="0"/>
              <w:rPr>
                <w:sz w:val="20"/>
                <w:szCs w:val="20"/>
                <w:color w:val="auto"/>
              </w:rPr>
            </w:pPr>
            <w:r>
              <w:rPr>
                <w:rFonts w:ascii="Arial" w:cs="Arial" w:eastAsia="Arial" w:hAnsi="Arial"/>
                <w:sz w:val="16"/>
                <w:szCs w:val="16"/>
                <w:color w:val="auto"/>
              </w:rPr>
              <w:t>$176</w:t>
            </w:r>
          </w:p>
        </w:tc>
        <w:tc>
          <w:tcPr>
            <w:tcW w:w="12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$137</w:t>
            </w:r>
          </w:p>
        </w:tc>
      </w:tr>
      <w:tr>
        <w:trPr>
          <w:trHeight w:val="33"/>
        </w:trPr>
        <w:tc>
          <w:tcPr>
            <w:tcW w:w="4860" w:type="dxa"/>
            <w:vAlign w:val="bottom"/>
            <w:tcBorders>
              <w:bottom w:val="single" w:sz="8" w:color="auto"/>
            </w:tcBorders>
          </w:tcPr>
          <w:p>
            <w:pPr>
              <w:spacing w:after="0"/>
              <w:rPr>
                <w:sz w:val="2"/>
                <w:szCs w:val="2"/>
                <w:color w:val="auto"/>
              </w:rPr>
            </w:pPr>
          </w:p>
        </w:tc>
        <w:tc>
          <w:tcPr>
            <w:tcW w:w="34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jc w:val="both"/>
        <w:ind w:right="100"/>
        <w:spacing w:after="0" w:line="277" w:lineRule="auto"/>
        <w:rPr>
          <w:sz w:val="20"/>
          <w:szCs w:val="20"/>
          <w:color w:val="auto"/>
        </w:rPr>
      </w:pPr>
      <w:r>
        <w:rPr>
          <w:rFonts w:ascii="Arial" w:cs="Arial" w:eastAsia="Arial" w:hAnsi="Arial"/>
          <w:sz w:val="18"/>
          <w:szCs w:val="18"/>
          <w:color w:val="auto"/>
        </w:rPr>
        <w:t>The rent expense above does not include common area charges, real estate taxes and other executory costs, which were $112 in 2016, $97 in 2015 and $88 in 2014.</w:t>
      </w:r>
    </w:p>
    <w:p>
      <w:pPr>
        <w:spacing w:after="0" w:line="364" w:lineRule="exact"/>
        <w:rPr>
          <w:sz w:val="20"/>
          <w:szCs w:val="20"/>
          <w:color w:val="auto"/>
        </w:rPr>
      </w:pPr>
    </w:p>
    <w:p>
      <w:pPr>
        <w:jc w:val="right"/>
        <w:spacing w:after="0"/>
        <w:rPr>
          <w:sz w:val="20"/>
          <w:szCs w:val="20"/>
          <w:color w:val="auto"/>
        </w:rPr>
      </w:pPr>
      <w:r>
        <w:rPr>
          <w:rFonts w:ascii="Arial" w:cs="Arial" w:eastAsia="Arial" w:hAnsi="Arial"/>
          <w:sz w:val="13"/>
          <w:szCs w:val="13"/>
          <w:color w:val="auto"/>
        </w:rPr>
        <w:t xml:space="preserve">Nordstrom, Inc. and subsidiaries </w:t>
      </w:r>
      <w:r>
        <w:rPr>
          <w:rFonts w:ascii="Arial" w:cs="Arial" w:eastAsia="Arial" w:hAnsi="Arial"/>
          <w:sz w:val="16"/>
          <w:szCs w:val="16"/>
          <w:color w:val="auto"/>
        </w:rPr>
        <w:t>53</w:t>
      </w:r>
    </w:p>
    <w:p>
      <w:pPr>
        <w:sectPr>
          <w:pgSz w:w="11900" w:h="16838" w:orient="portrait"/>
          <w:cols w:equalWidth="0" w:num="1">
            <w:col w:w="11420"/>
          </w:cols>
          <w:pgMar w:left="240" w:top="126" w:right="239" w:bottom="1440" w:gutter="0" w:footer="0" w:header="0"/>
        </w:sectPr>
      </w:pPr>
    </w:p>
    <w:bookmarkStart w:id="54" w:name="page55"/>
    <w:bookmarkEnd w:id="54"/>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Nordstrom, Inc.</w:t>
      </w:r>
    </w:p>
    <w:p>
      <w:pPr>
        <w:spacing w:after="0" w:line="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rPr>
          <w:sz w:val="20"/>
          <w:szCs w:val="20"/>
          <w:color w:val="auto"/>
        </w:rPr>
      </w:pPr>
      <w:r>
        <w:rPr>
          <w:rFonts w:ascii="Arial" w:cs="Arial" w:eastAsia="Arial" w:hAnsi="Arial"/>
          <w:sz w:val="18"/>
          <w:szCs w:val="18"/>
          <w:color w:val="auto"/>
        </w:rPr>
        <w:t>Dollar and share amounts in millions except per share, per option and per unit amounts</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COMMITMENTS AND CONTINGENCIES</w:t>
      </w:r>
    </w:p>
    <w:p>
      <w:pPr>
        <w:spacing w:after="0" w:line="27" w:lineRule="exact"/>
        <w:rPr>
          <w:sz w:val="20"/>
          <w:szCs w:val="20"/>
          <w:color w:val="auto"/>
        </w:rPr>
      </w:pPr>
    </w:p>
    <w:p>
      <w:pPr>
        <w:ind w:right="80"/>
        <w:spacing w:after="0" w:line="290" w:lineRule="auto"/>
        <w:rPr>
          <w:sz w:val="20"/>
          <w:szCs w:val="20"/>
          <w:color w:val="auto"/>
        </w:rPr>
      </w:pPr>
      <w:r>
        <w:rPr>
          <w:rFonts w:ascii="Arial" w:cs="Arial" w:eastAsia="Arial" w:hAnsi="Arial"/>
          <w:sz w:val="17"/>
          <w:szCs w:val="17"/>
          <w:color w:val="auto"/>
        </w:rPr>
        <w:t>Our estimated total purchase obligations, capital expenditure contractual commitments and inventory purchase orders were $1,661 as of January 28, 2017. In connection with the purchase of foreign merchandise, we have outstanding trade letters of credit totaling $1 as of January 28, 2017.</w:t>
      </w:r>
    </w:p>
    <w:p>
      <w:pPr>
        <w:spacing w:after="0" w:line="108"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Plans for our Manhattan full-line store, which we currently expect to open in 2019, ultimately include owning a condominium interest in a mixed-use tower and leasing certain nearby properties. As of January 28, 2017, we had approximately $249 of fee interest in land, which is expected to convert to the condominium interest once the store is constructed. We have committed to make future installment payments based on the developer meeting pre-established construction and development milestones. In the event that this project is not completed, the opening may be delayed and we may be subject to future losses or capital commitments in order to complete construction or to monetize our investment in the land.</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SHAREHOLDERS’ EQUITY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activity related to our share repurchase programs in 2014, 2015 and 2016:</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24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2120" w:type="dxa"/>
            <w:vAlign w:val="bottom"/>
          </w:tcPr>
          <w:p>
            <w:pPr>
              <w:jc w:val="right"/>
              <w:ind w:right="599"/>
              <w:spacing w:after="0"/>
              <w:rPr>
                <w:sz w:val="20"/>
                <w:szCs w:val="20"/>
                <w:color w:val="auto"/>
              </w:rPr>
            </w:pPr>
            <w:r>
              <w:rPr>
                <w:rFonts w:ascii="Arial" w:cs="Arial" w:eastAsia="Arial" w:hAnsi="Arial"/>
                <w:sz w:val="16"/>
                <w:szCs w:val="16"/>
                <w:b w:val="1"/>
                <w:bCs w:val="1"/>
                <w:color w:val="auto"/>
              </w:rPr>
              <w:t>Average price</w:t>
            </w:r>
          </w:p>
        </w:tc>
        <w:tc>
          <w:tcPr>
            <w:tcW w:w="1360" w:type="dxa"/>
            <w:vAlign w:val="bottom"/>
          </w:tcPr>
          <w:p>
            <w:pPr>
              <w:spacing w:after="0"/>
              <w:rPr>
                <w:sz w:val="17"/>
                <w:szCs w:val="17"/>
                <w:color w:val="auto"/>
              </w:rPr>
            </w:pPr>
          </w:p>
        </w:tc>
      </w:tr>
      <w:tr>
        <w:trPr>
          <w:trHeight w:val="210"/>
        </w:trPr>
        <w:tc>
          <w:tcPr>
            <w:tcW w:w="5240" w:type="dxa"/>
            <w:vAlign w:val="bottom"/>
          </w:tcPr>
          <w:p>
            <w:pPr>
              <w:spacing w:after="0"/>
              <w:rPr>
                <w:sz w:val="18"/>
                <w:szCs w:val="18"/>
                <w:color w:val="auto"/>
              </w:rPr>
            </w:pPr>
          </w:p>
        </w:tc>
        <w:tc>
          <w:tcPr>
            <w:tcW w:w="2680" w:type="dxa"/>
            <w:vAlign w:val="bottom"/>
          </w:tcPr>
          <w:p>
            <w:pPr>
              <w:jc w:val="right"/>
              <w:ind w:right="419"/>
              <w:spacing w:after="0"/>
              <w:rPr>
                <w:sz w:val="20"/>
                <w:szCs w:val="20"/>
                <w:color w:val="auto"/>
              </w:rPr>
            </w:pPr>
            <w:r>
              <w:rPr>
                <w:rFonts w:ascii="Arial" w:cs="Arial" w:eastAsia="Arial" w:hAnsi="Arial"/>
                <w:sz w:val="16"/>
                <w:szCs w:val="16"/>
                <w:b w:val="1"/>
                <w:bCs w:val="1"/>
                <w:color w:val="auto"/>
              </w:rPr>
              <w:t>Shares</w:t>
            </w:r>
          </w:p>
        </w:tc>
        <w:tc>
          <w:tcPr>
            <w:tcW w:w="2120" w:type="dxa"/>
            <w:vAlign w:val="bottom"/>
          </w:tcPr>
          <w:p>
            <w:pPr>
              <w:jc w:val="right"/>
              <w:ind w:right="599"/>
              <w:spacing w:after="0"/>
              <w:rPr>
                <w:sz w:val="20"/>
                <w:szCs w:val="20"/>
                <w:color w:val="auto"/>
              </w:rPr>
            </w:pPr>
            <w:r>
              <w:rPr>
                <w:rFonts w:ascii="Arial" w:cs="Arial" w:eastAsia="Arial" w:hAnsi="Arial"/>
                <w:sz w:val="16"/>
                <w:szCs w:val="16"/>
                <w:b w:val="1"/>
                <w:bCs w:val="1"/>
                <w:color w:val="auto"/>
              </w:rPr>
              <w:t>per share</w:t>
            </w:r>
          </w:p>
        </w:tc>
        <w:tc>
          <w:tcPr>
            <w:tcW w:w="1360" w:type="dxa"/>
            <w:vAlign w:val="bottom"/>
          </w:tcPr>
          <w:p>
            <w:pPr>
              <w:jc w:val="right"/>
              <w:ind w:right="39"/>
              <w:spacing w:after="0"/>
              <w:rPr>
                <w:sz w:val="20"/>
                <w:szCs w:val="20"/>
                <w:color w:val="auto"/>
              </w:rPr>
            </w:pPr>
            <w:r>
              <w:rPr>
                <w:rFonts w:ascii="Arial" w:cs="Arial" w:eastAsia="Arial" w:hAnsi="Arial"/>
                <w:sz w:val="16"/>
                <w:szCs w:val="16"/>
                <w:b w:val="1"/>
                <w:bCs w:val="1"/>
                <w:color w:val="auto"/>
              </w:rPr>
              <w:t>Amount</w:t>
            </w:r>
          </w:p>
        </w:tc>
      </w:tr>
      <w:tr>
        <w:trPr>
          <w:trHeight w:val="33"/>
        </w:trPr>
        <w:tc>
          <w:tcPr>
            <w:tcW w:w="524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Capacity at February 1, 2014</w:t>
            </w:r>
          </w:p>
        </w:tc>
        <w:tc>
          <w:tcPr>
            <w:tcW w:w="268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$670</w:t>
            </w:r>
          </w:p>
        </w:tc>
      </w:tr>
      <w:tr>
        <w:trPr>
          <w:trHeight w:val="237"/>
        </w:trPr>
        <w:tc>
          <w:tcPr>
            <w:tcW w:w="5240" w:type="dxa"/>
            <w:vAlign w:val="bottom"/>
          </w:tcPr>
          <w:p>
            <w:pPr>
              <w:ind w:left="40"/>
              <w:spacing w:after="0"/>
              <w:rPr>
                <w:sz w:val="20"/>
                <w:szCs w:val="20"/>
                <w:color w:val="auto"/>
              </w:rPr>
            </w:pPr>
            <w:r>
              <w:rPr>
                <w:rFonts w:ascii="Arial" w:cs="Arial" w:eastAsia="Arial" w:hAnsi="Arial"/>
                <w:sz w:val="16"/>
                <w:szCs w:val="16"/>
                <w:color w:val="auto"/>
              </w:rPr>
              <w:t>September 2014 authorization (ended March 1, 2016)</w:t>
            </w:r>
          </w:p>
        </w:tc>
        <w:tc>
          <w:tcPr>
            <w:tcW w:w="26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1,000</w:t>
            </w:r>
          </w:p>
        </w:tc>
      </w:tr>
      <w:tr>
        <w:trPr>
          <w:trHeight w:val="33"/>
        </w:trPr>
        <w:tc>
          <w:tcPr>
            <w:tcW w:w="5240" w:type="dxa"/>
            <w:vAlign w:val="bottom"/>
          </w:tcPr>
          <w:p>
            <w:pPr>
              <w:spacing w:after="0"/>
              <w:rPr>
                <w:sz w:val="2"/>
                <w:szCs w:val="2"/>
                <w:color w:val="auto"/>
              </w:rPr>
            </w:pPr>
          </w:p>
        </w:tc>
        <w:tc>
          <w:tcPr>
            <w:tcW w:w="26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5"/>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Shares repurchased</w:t>
            </w:r>
          </w:p>
        </w:tc>
        <w:tc>
          <w:tcPr>
            <w:tcW w:w="268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color w:val="auto"/>
              </w:rPr>
              <w:t>8.9</w:t>
            </w:r>
          </w:p>
        </w:tc>
        <w:tc>
          <w:tcPr>
            <w:tcW w:w="2120" w:type="dxa"/>
            <w:vAlign w:val="bottom"/>
            <w:tcBorders>
              <w:bottom w:val="single" w:sz="8" w:color="CCEEFF"/>
            </w:tcBorders>
            <w:shd w:val="clear" w:color="auto" w:fill="CCEEFF"/>
          </w:tcPr>
          <w:p>
            <w:pPr>
              <w:jc w:val="right"/>
              <w:ind w:right="599"/>
              <w:spacing w:after="0"/>
              <w:rPr>
                <w:sz w:val="20"/>
                <w:szCs w:val="20"/>
                <w:color w:val="auto"/>
              </w:rPr>
            </w:pPr>
            <w:r>
              <w:rPr>
                <w:rFonts w:ascii="Arial" w:cs="Arial" w:eastAsia="Arial" w:hAnsi="Arial"/>
                <w:sz w:val="16"/>
                <w:szCs w:val="16"/>
                <w:color w:val="auto"/>
              </w:rPr>
              <w:t>$66</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(595)</w:t>
            </w:r>
          </w:p>
        </w:tc>
      </w:tr>
      <w:tr>
        <w:trPr>
          <w:trHeight w:val="231"/>
        </w:trPr>
        <w:tc>
          <w:tcPr>
            <w:tcW w:w="524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Capacity at January 31, 2015</w:t>
            </w:r>
          </w:p>
        </w:tc>
        <w:tc>
          <w:tcPr>
            <w:tcW w:w="2680" w:type="dxa"/>
            <w:vAlign w:val="bottom"/>
            <w:tcBorders>
              <w:top w:val="single" w:sz="8" w:color="auto"/>
            </w:tcBorders>
          </w:tcPr>
          <w:p>
            <w:pPr>
              <w:spacing w:after="0"/>
              <w:rPr>
                <w:sz w:val="20"/>
                <w:szCs w:val="20"/>
                <w:color w:val="auto"/>
              </w:rPr>
            </w:pPr>
          </w:p>
        </w:tc>
        <w:tc>
          <w:tcPr>
            <w:tcW w:w="21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1,075</w:t>
            </w:r>
          </w:p>
        </w:tc>
      </w:tr>
      <w:tr>
        <w:trPr>
          <w:trHeight w:val="33"/>
        </w:trPr>
        <w:tc>
          <w:tcPr>
            <w:tcW w:w="5240" w:type="dxa"/>
            <w:vAlign w:val="bottom"/>
          </w:tcPr>
          <w:p>
            <w:pPr>
              <w:spacing w:after="0"/>
              <w:rPr>
                <w:sz w:val="2"/>
                <w:szCs w:val="2"/>
                <w:color w:val="auto"/>
              </w:rPr>
            </w:pPr>
          </w:p>
        </w:tc>
        <w:tc>
          <w:tcPr>
            <w:tcW w:w="26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October 2015 authorization (ended March 1, 2017)</w:t>
            </w:r>
          </w:p>
        </w:tc>
        <w:tc>
          <w:tcPr>
            <w:tcW w:w="268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1,000</w:t>
            </w:r>
          </w:p>
        </w:tc>
      </w:tr>
      <w:tr>
        <w:trPr>
          <w:trHeight w:val="237"/>
        </w:trPr>
        <w:tc>
          <w:tcPr>
            <w:tcW w:w="5240" w:type="dxa"/>
            <w:vAlign w:val="bottom"/>
          </w:tcPr>
          <w:p>
            <w:pPr>
              <w:ind w:left="40"/>
              <w:spacing w:after="0"/>
              <w:rPr>
                <w:sz w:val="20"/>
                <w:szCs w:val="20"/>
                <w:color w:val="auto"/>
              </w:rPr>
            </w:pPr>
            <w:r>
              <w:rPr>
                <w:rFonts w:ascii="Arial" w:cs="Arial" w:eastAsia="Arial" w:hAnsi="Arial"/>
                <w:sz w:val="16"/>
                <w:szCs w:val="16"/>
                <w:color w:val="auto"/>
              </w:rPr>
              <w:t>Shares repurchased</w:t>
            </w:r>
          </w:p>
        </w:tc>
        <w:tc>
          <w:tcPr>
            <w:tcW w:w="2680" w:type="dxa"/>
            <w:vAlign w:val="bottom"/>
          </w:tcPr>
          <w:p>
            <w:pPr>
              <w:jc w:val="right"/>
              <w:ind w:right="419"/>
              <w:spacing w:after="0"/>
              <w:rPr>
                <w:sz w:val="20"/>
                <w:szCs w:val="20"/>
                <w:color w:val="auto"/>
              </w:rPr>
            </w:pPr>
            <w:r>
              <w:rPr>
                <w:rFonts w:ascii="Arial" w:cs="Arial" w:eastAsia="Arial" w:hAnsi="Arial"/>
                <w:sz w:val="16"/>
                <w:szCs w:val="16"/>
                <w:color w:val="auto"/>
              </w:rPr>
              <w:t>19.1</w:t>
            </w:r>
          </w:p>
        </w:tc>
        <w:tc>
          <w:tcPr>
            <w:tcW w:w="2120" w:type="dxa"/>
            <w:vAlign w:val="bottom"/>
          </w:tcPr>
          <w:p>
            <w:pPr>
              <w:jc w:val="right"/>
              <w:ind w:right="599"/>
              <w:spacing w:after="0"/>
              <w:rPr>
                <w:sz w:val="20"/>
                <w:szCs w:val="20"/>
                <w:color w:val="auto"/>
              </w:rPr>
            </w:pPr>
            <w:r>
              <w:rPr>
                <w:rFonts w:ascii="Arial" w:cs="Arial" w:eastAsia="Arial" w:hAnsi="Arial"/>
                <w:sz w:val="16"/>
                <w:szCs w:val="16"/>
                <w:color w:val="auto"/>
              </w:rPr>
              <w:t>$63</w:t>
            </w:r>
          </w:p>
        </w:tc>
        <w:tc>
          <w:tcPr>
            <w:tcW w:w="1360" w:type="dxa"/>
            <w:vAlign w:val="bottom"/>
          </w:tcPr>
          <w:p>
            <w:pPr>
              <w:jc w:val="right"/>
              <w:spacing w:after="0"/>
              <w:rPr>
                <w:sz w:val="20"/>
                <w:szCs w:val="20"/>
                <w:color w:val="auto"/>
              </w:rPr>
            </w:pPr>
            <w:r>
              <w:rPr>
                <w:rFonts w:ascii="Arial" w:cs="Arial" w:eastAsia="Arial" w:hAnsi="Arial"/>
                <w:sz w:val="16"/>
                <w:szCs w:val="16"/>
                <w:color w:val="auto"/>
              </w:rPr>
              <w:t>(1,191)</w:t>
            </w:r>
          </w:p>
        </w:tc>
      </w:tr>
      <w:tr>
        <w:trPr>
          <w:trHeight w:val="33"/>
        </w:trPr>
        <w:tc>
          <w:tcPr>
            <w:tcW w:w="5240" w:type="dxa"/>
            <w:vAlign w:val="bottom"/>
          </w:tcPr>
          <w:p>
            <w:pPr>
              <w:spacing w:after="0"/>
              <w:rPr>
                <w:sz w:val="2"/>
                <w:szCs w:val="2"/>
                <w:color w:val="auto"/>
              </w:rPr>
            </w:pPr>
          </w:p>
        </w:tc>
        <w:tc>
          <w:tcPr>
            <w:tcW w:w="26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5"/>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Expiration of unused capacity in March 2015</w:t>
            </w:r>
          </w:p>
        </w:tc>
        <w:tc>
          <w:tcPr>
            <w:tcW w:w="2680" w:type="dxa"/>
            <w:vAlign w:val="bottom"/>
            <w:tcBorders>
              <w:bottom w:val="single" w:sz="8" w:color="CCEEFF"/>
            </w:tcBorders>
            <w:shd w:val="clear" w:color="auto" w:fill="CCEEFF"/>
          </w:tcPr>
          <w:p>
            <w:pPr>
              <w:spacing w:after="0"/>
              <w:rPr>
                <w:sz w:val="23"/>
                <w:szCs w:val="23"/>
                <w:color w:val="auto"/>
              </w:rPr>
            </w:pPr>
          </w:p>
        </w:tc>
        <w:tc>
          <w:tcPr>
            <w:tcW w:w="2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w:t>
            </w:r>
          </w:p>
        </w:tc>
      </w:tr>
      <w:tr>
        <w:trPr>
          <w:trHeight w:val="231"/>
        </w:trPr>
        <w:tc>
          <w:tcPr>
            <w:tcW w:w="524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Capacity at January 30, 2016</w:t>
            </w:r>
          </w:p>
        </w:tc>
        <w:tc>
          <w:tcPr>
            <w:tcW w:w="2680" w:type="dxa"/>
            <w:vAlign w:val="bottom"/>
            <w:tcBorders>
              <w:top w:val="single" w:sz="8" w:color="auto"/>
            </w:tcBorders>
          </w:tcPr>
          <w:p>
            <w:pPr>
              <w:spacing w:after="0"/>
              <w:rPr>
                <w:sz w:val="20"/>
                <w:szCs w:val="20"/>
                <w:color w:val="auto"/>
              </w:rPr>
            </w:pPr>
          </w:p>
        </w:tc>
        <w:tc>
          <w:tcPr>
            <w:tcW w:w="21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811</w:t>
            </w:r>
          </w:p>
        </w:tc>
      </w:tr>
      <w:tr>
        <w:trPr>
          <w:trHeight w:val="33"/>
        </w:trPr>
        <w:tc>
          <w:tcPr>
            <w:tcW w:w="5240" w:type="dxa"/>
            <w:vAlign w:val="bottom"/>
          </w:tcPr>
          <w:p>
            <w:pPr>
              <w:spacing w:after="0"/>
              <w:rPr>
                <w:sz w:val="2"/>
                <w:szCs w:val="2"/>
                <w:color w:val="auto"/>
              </w:rPr>
            </w:pPr>
          </w:p>
        </w:tc>
        <w:tc>
          <w:tcPr>
            <w:tcW w:w="26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5"/>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Shares repurchased</w:t>
            </w:r>
          </w:p>
        </w:tc>
        <w:tc>
          <w:tcPr>
            <w:tcW w:w="268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color w:val="auto"/>
              </w:rPr>
              <w:t>5.9</w:t>
            </w:r>
          </w:p>
        </w:tc>
        <w:tc>
          <w:tcPr>
            <w:tcW w:w="2120" w:type="dxa"/>
            <w:vAlign w:val="bottom"/>
            <w:tcBorders>
              <w:bottom w:val="single" w:sz="8" w:color="CCEEFF"/>
            </w:tcBorders>
            <w:shd w:val="clear" w:color="auto" w:fill="CCEEFF"/>
          </w:tcPr>
          <w:p>
            <w:pPr>
              <w:jc w:val="right"/>
              <w:ind w:right="599"/>
              <w:spacing w:after="0"/>
              <w:rPr>
                <w:sz w:val="20"/>
                <w:szCs w:val="20"/>
                <w:color w:val="auto"/>
              </w:rPr>
            </w:pPr>
            <w:r>
              <w:rPr>
                <w:rFonts w:ascii="Arial" w:cs="Arial" w:eastAsia="Arial" w:hAnsi="Arial"/>
                <w:sz w:val="16"/>
                <w:szCs w:val="16"/>
                <w:color w:val="auto"/>
              </w:rPr>
              <w:t>$48</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(282)</w:t>
            </w:r>
          </w:p>
        </w:tc>
      </w:tr>
      <w:tr>
        <w:trPr>
          <w:trHeight w:val="231"/>
        </w:trPr>
        <w:tc>
          <w:tcPr>
            <w:tcW w:w="524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Capacity at January 28, 2017</w:t>
            </w:r>
          </w:p>
        </w:tc>
        <w:tc>
          <w:tcPr>
            <w:tcW w:w="2680" w:type="dxa"/>
            <w:vAlign w:val="bottom"/>
            <w:tcBorders>
              <w:top w:val="single" w:sz="8" w:color="auto"/>
            </w:tcBorders>
          </w:tcPr>
          <w:p>
            <w:pPr>
              <w:spacing w:after="0"/>
              <w:rPr>
                <w:sz w:val="20"/>
                <w:szCs w:val="20"/>
                <w:color w:val="auto"/>
              </w:rPr>
            </w:pPr>
          </w:p>
        </w:tc>
        <w:tc>
          <w:tcPr>
            <w:tcW w:w="21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$529</w:t>
            </w:r>
          </w:p>
        </w:tc>
      </w:tr>
      <w:tr>
        <w:trPr>
          <w:trHeight w:val="33"/>
        </w:trPr>
        <w:tc>
          <w:tcPr>
            <w:tcW w:w="524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Our October 1, 2015 Board authorized share repurchase program, which had $529 of remaining capacity as of January 28, 2017, expired on March 1, 2017. There was $409 of unused capacity upon program expiration. In February 2017, our Board of Directors authorized an additional program to repurchase up to $500 of our outstanding common stock, through August 31, 2018. The actual number, price, manner and timing of future share repurchases, if any, will be subject to market and economic conditions and applicable SEC rules.</w:t>
      </w:r>
    </w:p>
    <w:p>
      <w:pPr>
        <w:spacing w:after="0" w:line="13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paid dividends of $1.48 per share in 2016, $6.33 per share in 2015 and $1.32 per share in 2014. Dividends paid in 2015 included a special cash dividend of $905, or $4.85 per share of outstanding common stock, in addition to our quarterly dividends totaling $1.48 per share. The special dividend was authorized by our Board of Directors on October 1, 2015 and was paid using proceeds from the sale of our credit card receivables (see Note 2: Credit Card Receivable Transaction).</w:t>
      </w:r>
    </w:p>
    <w:p>
      <w:pPr>
        <w:spacing w:after="0" w:line="133" w:lineRule="exact"/>
        <w:rPr>
          <w:sz w:val="20"/>
          <w:szCs w:val="20"/>
          <w:color w:val="auto"/>
        </w:rPr>
      </w:pPr>
    </w:p>
    <w:p>
      <w:pPr>
        <w:ind w:right="1940"/>
        <w:spacing w:after="0" w:line="352" w:lineRule="auto"/>
        <w:rPr>
          <w:sz w:val="20"/>
          <w:szCs w:val="20"/>
          <w:color w:val="auto"/>
        </w:rPr>
      </w:pPr>
      <w:r>
        <w:rPr>
          <w:rFonts w:ascii="Arial" w:cs="Arial" w:eastAsia="Arial" w:hAnsi="Arial"/>
          <w:sz w:val="18"/>
          <w:szCs w:val="18"/>
          <w:color w:val="auto"/>
        </w:rPr>
        <w:t xml:space="preserve">In February 2017, subsequent to year end, we declared a quarterly dividend of $0.37 per share, which was paid on March 15, 2017. </w:t>
      </w:r>
      <w:r>
        <w:rPr>
          <w:rFonts w:ascii="Arial" w:cs="Arial" w:eastAsia="Arial" w:hAnsi="Arial"/>
          <w:sz w:val="18"/>
          <w:szCs w:val="18"/>
          <w:b w:val="1"/>
          <w:bCs w:val="1"/>
          <w:color w:val="auto"/>
        </w:rPr>
        <w:t>NOTE 12: STOCK-BASED COMPENSATION</w:t>
      </w:r>
    </w:p>
    <w:p>
      <w:pPr>
        <w:spacing w:after="0" w:line="1"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We currently grant stock-based awards under our 2010 Plan, 2002 Plan and Trunk Club VCP, and employees may purchase our stock at a discount under our ESPP.</w:t>
      </w:r>
    </w:p>
    <w:p>
      <w:pPr>
        <w:spacing w:after="0" w:line="130"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In 2010, our shareholders approved the adoption of the 2010 Plan, which replaced the 2004 Equity Incentive Plan (“2004 Plan”). The 2010 Plan authorizes the grant of stock options, restricted stock, performance share units, stock appreciation rights and unrestricted shares of common stock to employees. The aggregate number of shares to be issued under the 2010 Plan may not exceed 30.3 plus any shares currently outstanding under the 2004 Plan that are forfeited or expire during the term of the 2010 Plan. No future grants will be made under the 2004 Plan. As of January 28, 2017, we have 72.3 shares authorized, 45.5 shares issued and outstanding and 10.7 shares remaining available for future grants under the 2010 Plan.</w:t>
      </w:r>
    </w:p>
    <w:p>
      <w:pPr>
        <w:spacing w:after="0" w:line="11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2002 Plan authorizes the grant of stock awards to our nonemployee directors. These awards may be deferred or issued in the form of restricted or unrestricted stock, non-qualified stock options or stock appreciation rights. As of January 28, 2017, we had 0.9 shares authorized and 0.4 shares available for issuance under this plan. In 2016, total expense on deferred shares was less than $1.</w:t>
      </w:r>
    </w:p>
    <w:p>
      <w:pPr>
        <w:sectPr>
          <w:pgSz w:w="11900" w:h="16838" w:orient="portrait"/>
          <w:cols w:equalWidth="0" w:num="1">
            <w:col w:w="11400"/>
          </w:cols>
          <w:pgMar w:left="240" w:top="126" w:right="259" w:bottom="1440" w:gutter="0" w:footer="0" w:header="0"/>
        </w:sect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54</w:t>
      </w:r>
    </w:p>
    <w:p>
      <w:pPr>
        <w:sectPr>
          <w:pgSz w:w="11900" w:h="16838" w:orient="portrait"/>
          <w:cols w:equalWidth="0" w:num="1">
            <w:col w:w="11400"/>
          </w:cols>
          <w:pgMar w:left="240" w:top="126" w:right="259" w:bottom="1440" w:gutter="0" w:footer="0" w:header="0"/>
          <w:type w:val="continuous"/>
        </w:sectPr>
      </w:pPr>
    </w:p>
    <w:bookmarkStart w:id="55" w:name="page56"/>
    <w:bookmarkEnd w:id="55"/>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Nordstrom, Inc.</w:t>
      </w:r>
    </w:p>
    <w:p>
      <w:pPr>
        <w:spacing w:after="0" w:line="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rPr>
          <w:sz w:val="20"/>
          <w:szCs w:val="20"/>
          <w:color w:val="auto"/>
        </w:rPr>
      </w:pPr>
      <w:r>
        <w:rPr>
          <w:rFonts w:ascii="Arial" w:cs="Arial" w:eastAsia="Arial" w:hAnsi="Arial"/>
          <w:sz w:val="18"/>
          <w:szCs w:val="18"/>
          <w:color w:val="auto"/>
        </w:rPr>
        <w:t>Dollar and share amounts in millions except per share, per option and per unit amounts</w:t>
      </w:r>
    </w:p>
    <w:p>
      <w:pPr>
        <w:spacing w:after="0" w:line="200" w:lineRule="exact"/>
        <w:rPr>
          <w:sz w:val="20"/>
          <w:szCs w:val="20"/>
          <w:color w:val="auto"/>
        </w:rPr>
      </w:pPr>
    </w:p>
    <w:p>
      <w:pPr>
        <w:spacing w:after="0" w:line="387"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The Trunk Club VCP is a performance-based plan which provides for three payout scenarios based on the results of Trunk Club business meeting minimum or exceeding maximum 2018 sales and earnings metrics. As of January 28, 2017, we granted nearly all of the 1.0 units available for grant. There is no unrecognized stock-based compensation expense related to nonvested VCP units as no payout is expected. If at any time it becomes probable that another outcome will be achieved, compensation expense will be cumulatively adjusted based on the grant date fair value associated with that payout scenario.</w:t>
      </w:r>
    </w:p>
    <w:p>
      <w:pPr>
        <w:spacing w:after="0" w:line="10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Under the ESPP, employees may make payroll deductions of up to 10% of their base and bonus compensation. At the end of each six-month offering period, participants may apply their accumulated payroll deductions toward the purchase of shares of our common stock at 90% of the fair market value on the last day of the offer period. As of January 28, 2017, we had 12.6 shares authorized and 2.6 shares available for issuance under the ESPP. We issued 0.4 shares under the ESPP during 2016 and 0.3 shares during 2015. At the end of 2016 and 2015, we had current liabilities of $7 for future purchases of shares under the ESPP.</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stock-based compensation expense: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860" w:type="dxa"/>
            <w:vAlign w:val="bottom"/>
          </w:tcPr>
          <w:p>
            <w:pPr>
              <w:ind w:left="40"/>
              <w:spacing w:after="0"/>
              <w:rPr>
                <w:sz w:val="20"/>
                <w:szCs w:val="20"/>
                <w:color w:val="auto"/>
              </w:rPr>
            </w:pPr>
            <w:r>
              <w:rPr>
                <w:rFonts w:ascii="Arial" w:cs="Arial" w:eastAsia="Arial" w:hAnsi="Arial"/>
                <w:sz w:val="16"/>
                <w:szCs w:val="16"/>
                <w:b w:val="1"/>
                <w:bCs w:val="1"/>
                <w:color w:val="auto"/>
              </w:rPr>
              <w:t>Fiscal year</w:t>
            </w:r>
          </w:p>
        </w:tc>
        <w:tc>
          <w:tcPr>
            <w:tcW w:w="2400" w:type="dxa"/>
            <w:vAlign w:val="bottom"/>
          </w:tcPr>
          <w:p>
            <w:pPr>
              <w:jc w:val="right"/>
              <w:ind w:right="739"/>
              <w:spacing w:after="0"/>
              <w:rPr>
                <w:sz w:val="20"/>
                <w:szCs w:val="20"/>
                <w:color w:val="auto"/>
              </w:rPr>
            </w:pPr>
            <w:r>
              <w:rPr>
                <w:rFonts w:ascii="Arial" w:cs="Arial" w:eastAsia="Arial" w:hAnsi="Arial"/>
                <w:sz w:val="16"/>
                <w:szCs w:val="16"/>
                <w:b w:val="1"/>
                <w:bCs w:val="1"/>
                <w:color w:val="auto"/>
              </w:rPr>
              <w:t>2016</w:t>
            </w:r>
          </w:p>
        </w:tc>
        <w:tc>
          <w:tcPr>
            <w:tcW w:w="1940" w:type="dxa"/>
            <w:vAlign w:val="bottom"/>
          </w:tcPr>
          <w:p>
            <w:pPr>
              <w:jc w:val="right"/>
              <w:ind w:right="759"/>
              <w:spacing w:after="0"/>
              <w:rPr>
                <w:sz w:val="20"/>
                <w:szCs w:val="20"/>
                <w:color w:val="auto"/>
              </w:rPr>
            </w:pPr>
            <w:r>
              <w:rPr>
                <w:rFonts w:ascii="Arial" w:cs="Arial" w:eastAsia="Arial" w:hAnsi="Arial"/>
                <w:sz w:val="16"/>
                <w:szCs w:val="16"/>
                <w:b w:val="1"/>
                <w:bCs w:val="1"/>
                <w:color w:val="auto"/>
              </w:rPr>
              <w:t>2015</w:t>
            </w:r>
          </w:p>
        </w:tc>
        <w:tc>
          <w:tcPr>
            <w:tcW w:w="1200" w:type="dxa"/>
            <w:vAlign w:val="bottom"/>
          </w:tcPr>
          <w:p>
            <w:pPr>
              <w:jc w:val="right"/>
              <w:ind w:right="39"/>
              <w:spacing w:after="0"/>
              <w:rPr>
                <w:sz w:val="20"/>
                <w:szCs w:val="20"/>
                <w:color w:val="auto"/>
              </w:rPr>
            </w:pPr>
            <w:r>
              <w:rPr>
                <w:rFonts w:ascii="Arial" w:cs="Arial" w:eastAsia="Arial" w:hAnsi="Arial"/>
                <w:sz w:val="16"/>
                <w:szCs w:val="16"/>
                <w:b w:val="1"/>
                <w:bCs w:val="1"/>
                <w:color w:val="auto"/>
              </w:rPr>
              <w:t>2014</w:t>
            </w:r>
          </w:p>
        </w:tc>
      </w:tr>
      <w:tr>
        <w:trPr>
          <w:trHeight w:val="33"/>
        </w:trPr>
        <w:tc>
          <w:tcPr>
            <w:tcW w:w="586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 options</w:t>
            </w:r>
          </w:p>
        </w:tc>
        <w:tc>
          <w:tcPr>
            <w:tcW w:w="240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b w:val="1"/>
                <w:bCs w:val="1"/>
                <w:color w:val="auto"/>
              </w:rPr>
              <w:t>$36</w:t>
            </w:r>
          </w:p>
        </w:tc>
        <w:tc>
          <w:tcPr>
            <w:tcW w:w="194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color w:val="auto"/>
              </w:rPr>
              <w:t>$33</w:t>
            </w: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w:t>
            </w:r>
          </w:p>
        </w:tc>
      </w:tr>
      <w:tr>
        <w:trPr>
          <w:trHeight w:val="237"/>
        </w:trPr>
        <w:tc>
          <w:tcPr>
            <w:tcW w:w="5860" w:type="dxa"/>
            <w:vAlign w:val="bottom"/>
          </w:tcPr>
          <w:p>
            <w:pPr>
              <w:ind w:left="40"/>
              <w:spacing w:after="0"/>
              <w:rPr>
                <w:sz w:val="20"/>
                <w:szCs w:val="20"/>
                <w:color w:val="auto"/>
              </w:rPr>
            </w:pPr>
            <w:r>
              <w:rPr>
                <w:rFonts w:ascii="Arial" w:cs="Arial" w:eastAsia="Arial" w:hAnsi="Arial"/>
                <w:sz w:val="16"/>
                <w:szCs w:val="16"/>
                <w:color w:val="auto"/>
              </w:rPr>
              <w:t>Restricted stock units</w:t>
            </w:r>
          </w:p>
        </w:tc>
        <w:tc>
          <w:tcPr>
            <w:tcW w:w="2400" w:type="dxa"/>
            <w:vAlign w:val="bottom"/>
          </w:tcPr>
          <w:p>
            <w:pPr>
              <w:jc w:val="right"/>
              <w:ind w:right="739"/>
              <w:spacing w:after="0"/>
              <w:rPr>
                <w:sz w:val="20"/>
                <w:szCs w:val="20"/>
                <w:color w:val="auto"/>
              </w:rPr>
            </w:pPr>
            <w:r>
              <w:rPr>
                <w:rFonts w:ascii="Arial" w:cs="Arial" w:eastAsia="Arial" w:hAnsi="Arial"/>
                <w:sz w:val="16"/>
                <w:szCs w:val="16"/>
                <w:b w:val="1"/>
                <w:bCs w:val="1"/>
                <w:color w:val="auto"/>
              </w:rPr>
              <w:t>34</w:t>
            </w:r>
          </w:p>
        </w:tc>
        <w:tc>
          <w:tcPr>
            <w:tcW w:w="1940" w:type="dxa"/>
            <w:vAlign w:val="bottom"/>
          </w:tcPr>
          <w:p>
            <w:pPr>
              <w:jc w:val="right"/>
              <w:ind w:right="759"/>
              <w:spacing w:after="0"/>
              <w:rPr>
                <w:sz w:val="20"/>
                <w:szCs w:val="20"/>
                <w:color w:val="auto"/>
              </w:rPr>
            </w:pPr>
            <w:r>
              <w:rPr>
                <w:rFonts w:ascii="Arial" w:cs="Arial" w:eastAsia="Arial" w:hAnsi="Arial"/>
                <w:sz w:val="16"/>
                <w:szCs w:val="16"/>
                <w:color w:val="auto"/>
              </w:rPr>
              <w:t>18</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10</w:t>
            </w:r>
          </w:p>
        </w:tc>
      </w:tr>
      <w:tr>
        <w:trPr>
          <w:trHeight w:val="33"/>
        </w:trPr>
        <w:tc>
          <w:tcPr>
            <w:tcW w:w="586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Acquisition-related stock compensation</w:t>
            </w:r>
          </w:p>
        </w:tc>
        <w:tc>
          <w:tcPr>
            <w:tcW w:w="240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b w:val="1"/>
                <w:bCs w:val="1"/>
                <w:color w:val="auto"/>
              </w:rPr>
              <w:t>15</w:t>
            </w:r>
          </w:p>
        </w:tc>
        <w:tc>
          <w:tcPr>
            <w:tcW w:w="194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color w:val="auto"/>
              </w:rPr>
              <w:t>17</w:t>
            </w: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w:t>
            </w:r>
          </w:p>
        </w:tc>
      </w:tr>
      <w:tr>
        <w:trPr>
          <w:trHeight w:val="237"/>
        </w:trPr>
        <w:tc>
          <w:tcPr>
            <w:tcW w:w="5860" w:type="dxa"/>
            <w:vAlign w:val="bottom"/>
          </w:tcPr>
          <w:p>
            <w:pPr>
              <w:ind w:left="40"/>
              <w:spacing w:after="0"/>
              <w:rPr>
                <w:sz w:val="20"/>
                <w:szCs w:val="20"/>
                <w:color w:val="auto"/>
              </w:rPr>
            </w:pPr>
            <w:r>
              <w:rPr>
                <w:rFonts w:ascii="Arial" w:cs="Arial" w:eastAsia="Arial" w:hAnsi="Arial"/>
                <w:sz w:val="16"/>
                <w:szCs w:val="16"/>
                <w:color w:val="auto"/>
              </w:rPr>
              <w:t>Performance share units</w:t>
            </w:r>
          </w:p>
        </w:tc>
        <w:tc>
          <w:tcPr>
            <w:tcW w:w="2400" w:type="dxa"/>
            <w:vAlign w:val="bottom"/>
          </w:tcPr>
          <w:p>
            <w:pPr>
              <w:jc w:val="right"/>
              <w:ind w:right="739"/>
              <w:spacing w:after="0"/>
              <w:rPr>
                <w:sz w:val="20"/>
                <w:szCs w:val="20"/>
                <w:color w:val="auto"/>
              </w:rPr>
            </w:pPr>
            <w:r>
              <w:rPr>
                <w:rFonts w:ascii="Arial" w:cs="Arial" w:eastAsia="Arial" w:hAnsi="Arial"/>
                <w:sz w:val="16"/>
                <w:szCs w:val="16"/>
                <w:b w:val="1"/>
                <w:bCs w:val="1"/>
                <w:color w:val="auto"/>
              </w:rPr>
              <w:t>1</w:t>
            </w:r>
          </w:p>
        </w:tc>
        <w:tc>
          <w:tcPr>
            <w:tcW w:w="1940" w:type="dxa"/>
            <w:vAlign w:val="bottom"/>
          </w:tcPr>
          <w:p>
            <w:pPr>
              <w:jc w:val="right"/>
              <w:ind w:right="699"/>
              <w:spacing w:after="0"/>
              <w:rPr>
                <w:sz w:val="20"/>
                <w:szCs w:val="20"/>
                <w:color w:val="auto"/>
              </w:rPr>
            </w:pPr>
            <w:r>
              <w:rPr>
                <w:rFonts w:ascii="Arial" w:cs="Arial" w:eastAsia="Arial" w:hAnsi="Arial"/>
                <w:sz w:val="16"/>
                <w:szCs w:val="16"/>
                <w:color w:val="auto"/>
              </w:rPr>
              <w:t>(3)</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6</w:t>
            </w:r>
          </w:p>
        </w:tc>
      </w:tr>
      <w:tr>
        <w:trPr>
          <w:trHeight w:val="33"/>
        </w:trPr>
        <w:tc>
          <w:tcPr>
            <w:tcW w:w="586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5"/>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240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b w:val="1"/>
                <w:bCs w:val="1"/>
                <w:color w:val="auto"/>
              </w:rPr>
              <w:t>5</w:t>
            </w:r>
          </w:p>
        </w:tc>
        <w:tc>
          <w:tcPr>
            <w:tcW w:w="194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color w:val="auto"/>
              </w:rPr>
              <w:t>5</w:t>
            </w: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w:t>
            </w:r>
          </w:p>
        </w:tc>
      </w:tr>
      <w:tr>
        <w:trPr>
          <w:trHeight w:val="231"/>
        </w:trPr>
        <w:tc>
          <w:tcPr>
            <w:tcW w:w="586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Total stock-based compensation expense, before income tax benefit</w:t>
            </w:r>
          </w:p>
        </w:tc>
        <w:tc>
          <w:tcPr>
            <w:tcW w:w="2400" w:type="dxa"/>
            <w:vAlign w:val="bottom"/>
            <w:tcBorders>
              <w:top w:val="single" w:sz="8" w:color="auto"/>
            </w:tcBorders>
          </w:tcPr>
          <w:p>
            <w:pPr>
              <w:jc w:val="right"/>
              <w:ind w:right="739"/>
              <w:spacing w:after="0"/>
              <w:rPr>
                <w:sz w:val="20"/>
                <w:szCs w:val="20"/>
                <w:color w:val="auto"/>
              </w:rPr>
            </w:pPr>
            <w:r>
              <w:rPr>
                <w:rFonts w:ascii="Arial" w:cs="Arial" w:eastAsia="Arial" w:hAnsi="Arial"/>
                <w:sz w:val="16"/>
                <w:szCs w:val="16"/>
                <w:b w:val="1"/>
                <w:bCs w:val="1"/>
                <w:color w:val="auto"/>
              </w:rPr>
              <w:t>91</w:t>
            </w:r>
          </w:p>
        </w:tc>
        <w:tc>
          <w:tcPr>
            <w:tcW w:w="1940" w:type="dxa"/>
            <w:vAlign w:val="bottom"/>
            <w:tcBorders>
              <w:top w:val="single" w:sz="8" w:color="auto"/>
            </w:tcBorders>
          </w:tcPr>
          <w:p>
            <w:pPr>
              <w:jc w:val="right"/>
              <w:ind w:right="759"/>
              <w:spacing w:after="0"/>
              <w:rPr>
                <w:sz w:val="20"/>
                <w:szCs w:val="20"/>
                <w:color w:val="auto"/>
              </w:rPr>
            </w:pPr>
            <w:r>
              <w:rPr>
                <w:rFonts w:ascii="Arial" w:cs="Arial" w:eastAsia="Arial" w:hAnsi="Arial"/>
                <w:sz w:val="16"/>
                <w:szCs w:val="16"/>
                <w:color w:val="auto"/>
              </w:rPr>
              <w:t>70</w:t>
            </w:r>
          </w:p>
        </w:tc>
        <w:tc>
          <w:tcPr>
            <w:tcW w:w="12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68</w:t>
            </w:r>
          </w:p>
        </w:tc>
      </w:tr>
      <w:tr>
        <w:trPr>
          <w:trHeight w:val="33"/>
        </w:trPr>
        <w:tc>
          <w:tcPr>
            <w:tcW w:w="586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5"/>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tax benefit</w:t>
            </w:r>
          </w:p>
        </w:tc>
        <w:tc>
          <w:tcPr>
            <w:tcW w:w="240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6"/>
                <w:szCs w:val="16"/>
                <w:b w:val="1"/>
                <w:bCs w:val="1"/>
                <w:color w:val="auto"/>
              </w:rPr>
              <w:t>(28)</w:t>
            </w:r>
          </w:p>
        </w:tc>
        <w:tc>
          <w:tcPr>
            <w:tcW w:w="194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6"/>
                <w:szCs w:val="16"/>
                <w:color w:val="auto"/>
              </w:rPr>
              <w:t>(21)</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w:t>
            </w:r>
          </w:p>
        </w:tc>
      </w:tr>
      <w:tr>
        <w:trPr>
          <w:trHeight w:val="231"/>
        </w:trPr>
        <w:tc>
          <w:tcPr>
            <w:tcW w:w="586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 stock-based compensation expense, net of income tax benefit</w:t>
            </w:r>
          </w:p>
        </w:tc>
        <w:tc>
          <w:tcPr>
            <w:tcW w:w="2400" w:type="dxa"/>
            <w:vAlign w:val="bottom"/>
            <w:tcBorders>
              <w:top w:val="single" w:sz="8" w:color="auto"/>
            </w:tcBorders>
          </w:tcPr>
          <w:p>
            <w:pPr>
              <w:jc w:val="right"/>
              <w:ind w:right="739"/>
              <w:spacing w:after="0"/>
              <w:rPr>
                <w:sz w:val="20"/>
                <w:szCs w:val="20"/>
                <w:color w:val="auto"/>
              </w:rPr>
            </w:pPr>
            <w:r>
              <w:rPr>
                <w:rFonts w:ascii="Arial" w:cs="Arial" w:eastAsia="Arial" w:hAnsi="Arial"/>
                <w:sz w:val="16"/>
                <w:szCs w:val="16"/>
                <w:b w:val="1"/>
                <w:bCs w:val="1"/>
                <w:color w:val="auto"/>
              </w:rPr>
              <w:t>$63</w:t>
            </w:r>
          </w:p>
        </w:tc>
        <w:tc>
          <w:tcPr>
            <w:tcW w:w="1940" w:type="dxa"/>
            <w:vAlign w:val="bottom"/>
            <w:tcBorders>
              <w:top w:val="single" w:sz="8" w:color="auto"/>
            </w:tcBorders>
          </w:tcPr>
          <w:p>
            <w:pPr>
              <w:jc w:val="right"/>
              <w:ind w:right="759"/>
              <w:spacing w:after="0"/>
              <w:rPr>
                <w:sz w:val="20"/>
                <w:szCs w:val="20"/>
                <w:color w:val="auto"/>
              </w:rPr>
            </w:pPr>
            <w:r>
              <w:rPr>
                <w:rFonts w:ascii="Arial" w:cs="Arial" w:eastAsia="Arial" w:hAnsi="Arial"/>
                <w:sz w:val="16"/>
                <w:szCs w:val="16"/>
                <w:color w:val="auto"/>
              </w:rPr>
              <w:t>$49</w:t>
            </w:r>
          </w:p>
        </w:tc>
        <w:tc>
          <w:tcPr>
            <w:tcW w:w="12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$45</w:t>
            </w:r>
          </w:p>
        </w:tc>
      </w:tr>
      <w:tr>
        <w:trPr>
          <w:trHeight w:val="33"/>
        </w:trPr>
        <w:tc>
          <w:tcPr>
            <w:tcW w:w="586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stock-based compensation expense before income tax benefit was recorded in our Consolidated Statements of Earnings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880" w:type="dxa"/>
            <w:vAlign w:val="bottom"/>
          </w:tcPr>
          <w:p>
            <w:pPr>
              <w:ind w:left="40"/>
              <w:spacing w:after="0"/>
              <w:rPr>
                <w:sz w:val="20"/>
                <w:szCs w:val="20"/>
                <w:color w:val="auto"/>
              </w:rPr>
            </w:pPr>
            <w:r>
              <w:rPr>
                <w:rFonts w:ascii="Arial" w:cs="Arial" w:eastAsia="Arial" w:hAnsi="Arial"/>
                <w:sz w:val="16"/>
                <w:szCs w:val="16"/>
                <w:b w:val="1"/>
                <w:bCs w:val="1"/>
                <w:color w:val="auto"/>
              </w:rPr>
              <w:t>Fiscal year</w:t>
            </w:r>
          </w:p>
        </w:tc>
        <w:tc>
          <w:tcPr>
            <w:tcW w:w="2360" w:type="dxa"/>
            <w:vAlign w:val="bottom"/>
          </w:tcPr>
          <w:p>
            <w:pPr>
              <w:jc w:val="right"/>
              <w:ind w:right="719"/>
              <w:spacing w:after="0"/>
              <w:rPr>
                <w:sz w:val="20"/>
                <w:szCs w:val="20"/>
                <w:color w:val="auto"/>
              </w:rPr>
            </w:pPr>
            <w:r>
              <w:rPr>
                <w:rFonts w:ascii="Arial" w:cs="Arial" w:eastAsia="Arial" w:hAnsi="Arial"/>
                <w:sz w:val="16"/>
                <w:szCs w:val="16"/>
                <w:b w:val="1"/>
                <w:bCs w:val="1"/>
                <w:color w:val="auto"/>
              </w:rPr>
              <w:t>2016</w:t>
            </w:r>
          </w:p>
        </w:tc>
        <w:tc>
          <w:tcPr>
            <w:tcW w:w="1920" w:type="dxa"/>
            <w:vAlign w:val="bottom"/>
          </w:tcPr>
          <w:p>
            <w:pPr>
              <w:jc w:val="right"/>
              <w:ind w:right="719"/>
              <w:spacing w:after="0"/>
              <w:rPr>
                <w:sz w:val="20"/>
                <w:szCs w:val="20"/>
                <w:color w:val="auto"/>
              </w:rPr>
            </w:pPr>
            <w:r>
              <w:rPr>
                <w:rFonts w:ascii="Arial" w:cs="Arial" w:eastAsia="Arial" w:hAnsi="Arial"/>
                <w:sz w:val="16"/>
                <w:szCs w:val="16"/>
                <w:b w:val="1"/>
                <w:bCs w:val="1"/>
                <w:color w:val="auto"/>
              </w:rPr>
              <w:t>2015</w:t>
            </w:r>
          </w:p>
        </w:tc>
        <w:tc>
          <w:tcPr>
            <w:tcW w:w="1240" w:type="dxa"/>
            <w:vAlign w:val="bottom"/>
          </w:tcPr>
          <w:p>
            <w:pPr>
              <w:jc w:val="right"/>
              <w:ind w:right="39"/>
              <w:spacing w:after="0"/>
              <w:rPr>
                <w:sz w:val="20"/>
                <w:szCs w:val="20"/>
                <w:color w:val="auto"/>
              </w:rPr>
            </w:pPr>
            <w:r>
              <w:rPr>
                <w:rFonts w:ascii="Arial" w:cs="Arial" w:eastAsia="Arial" w:hAnsi="Arial"/>
                <w:sz w:val="16"/>
                <w:szCs w:val="16"/>
                <w:b w:val="1"/>
                <w:bCs w:val="1"/>
                <w:color w:val="auto"/>
              </w:rPr>
              <w:t>2014</w:t>
            </w:r>
          </w:p>
        </w:tc>
      </w:tr>
      <w:tr>
        <w:trPr>
          <w:trHeight w:val="33"/>
        </w:trPr>
        <w:tc>
          <w:tcPr>
            <w:tcW w:w="588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5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Cost of sales and related buying and occupancy costs</w:t>
            </w:r>
          </w:p>
        </w:tc>
        <w:tc>
          <w:tcPr>
            <w:tcW w:w="2360" w:type="dxa"/>
            <w:vAlign w:val="bottom"/>
            <w:tcBorders>
              <w:bottom w:val="single" w:sz="8" w:color="CCEEFF"/>
            </w:tcBorders>
            <w:shd w:val="clear" w:color="auto" w:fill="CCEEFF"/>
          </w:tcPr>
          <w:p>
            <w:pPr>
              <w:jc w:val="right"/>
              <w:ind w:right="719"/>
              <w:spacing w:after="0"/>
              <w:rPr>
                <w:sz w:val="20"/>
                <w:szCs w:val="20"/>
                <w:color w:val="auto"/>
              </w:rPr>
            </w:pPr>
            <w:r>
              <w:rPr>
                <w:rFonts w:ascii="Arial" w:cs="Arial" w:eastAsia="Arial" w:hAnsi="Arial"/>
                <w:sz w:val="16"/>
                <w:szCs w:val="16"/>
                <w:b w:val="1"/>
                <w:bCs w:val="1"/>
                <w:color w:val="auto"/>
              </w:rPr>
              <w:t>$25</w:t>
            </w:r>
          </w:p>
        </w:tc>
        <w:tc>
          <w:tcPr>
            <w:tcW w:w="1920" w:type="dxa"/>
            <w:vAlign w:val="bottom"/>
            <w:tcBorders>
              <w:bottom w:val="single" w:sz="8" w:color="CCEEFF"/>
            </w:tcBorders>
            <w:shd w:val="clear" w:color="auto" w:fill="CCEEFF"/>
          </w:tcPr>
          <w:p>
            <w:pPr>
              <w:jc w:val="right"/>
              <w:ind w:right="719"/>
              <w:spacing w:after="0"/>
              <w:rPr>
                <w:sz w:val="20"/>
                <w:szCs w:val="20"/>
                <w:color w:val="auto"/>
              </w:rPr>
            </w:pPr>
            <w:r>
              <w:rPr>
                <w:rFonts w:ascii="Arial" w:cs="Arial" w:eastAsia="Arial" w:hAnsi="Arial"/>
                <w:sz w:val="16"/>
                <w:szCs w:val="16"/>
                <w:color w:val="auto"/>
              </w:rPr>
              <w:t>$20</w:t>
            </w: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w:t>
            </w:r>
          </w:p>
        </w:tc>
      </w:tr>
      <w:tr>
        <w:trPr>
          <w:trHeight w:val="237"/>
        </w:trPr>
        <w:tc>
          <w:tcPr>
            <w:tcW w:w="5880" w:type="dxa"/>
            <w:vAlign w:val="bottom"/>
          </w:tcPr>
          <w:p>
            <w:pPr>
              <w:ind w:left="40"/>
              <w:spacing w:after="0"/>
              <w:rPr>
                <w:sz w:val="20"/>
                <w:szCs w:val="20"/>
                <w:color w:val="auto"/>
              </w:rPr>
            </w:pPr>
            <w:r>
              <w:rPr>
                <w:rFonts w:ascii="Arial" w:cs="Arial" w:eastAsia="Arial" w:hAnsi="Arial"/>
                <w:sz w:val="16"/>
                <w:szCs w:val="16"/>
                <w:color w:val="auto"/>
              </w:rPr>
              <w:t>Selling, general and administrative expenses</w:t>
            </w:r>
          </w:p>
        </w:tc>
        <w:tc>
          <w:tcPr>
            <w:tcW w:w="2360" w:type="dxa"/>
            <w:vAlign w:val="bottom"/>
          </w:tcPr>
          <w:p>
            <w:pPr>
              <w:jc w:val="right"/>
              <w:ind w:right="719"/>
              <w:spacing w:after="0"/>
              <w:rPr>
                <w:sz w:val="20"/>
                <w:szCs w:val="20"/>
                <w:color w:val="auto"/>
              </w:rPr>
            </w:pPr>
            <w:r>
              <w:rPr>
                <w:rFonts w:ascii="Arial" w:cs="Arial" w:eastAsia="Arial" w:hAnsi="Arial"/>
                <w:sz w:val="16"/>
                <w:szCs w:val="16"/>
                <w:b w:val="1"/>
                <w:bCs w:val="1"/>
                <w:color w:val="auto"/>
              </w:rPr>
              <w:t>66</w:t>
            </w:r>
          </w:p>
        </w:tc>
        <w:tc>
          <w:tcPr>
            <w:tcW w:w="1920" w:type="dxa"/>
            <w:vAlign w:val="bottom"/>
          </w:tcPr>
          <w:p>
            <w:pPr>
              <w:jc w:val="right"/>
              <w:ind w:right="719"/>
              <w:spacing w:after="0"/>
              <w:rPr>
                <w:sz w:val="20"/>
                <w:szCs w:val="20"/>
                <w:color w:val="auto"/>
              </w:rPr>
            </w:pPr>
            <w:r>
              <w:rPr>
                <w:rFonts w:ascii="Arial" w:cs="Arial" w:eastAsia="Arial" w:hAnsi="Arial"/>
                <w:sz w:val="16"/>
                <w:szCs w:val="16"/>
                <w:color w:val="auto"/>
              </w:rPr>
              <w:t>50</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51</w:t>
            </w:r>
          </w:p>
        </w:tc>
      </w:tr>
      <w:tr>
        <w:trPr>
          <w:trHeight w:val="33"/>
        </w:trPr>
        <w:tc>
          <w:tcPr>
            <w:tcW w:w="588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5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stock-based compensation expense, before income tax benefit</w:t>
            </w:r>
          </w:p>
        </w:tc>
        <w:tc>
          <w:tcPr>
            <w:tcW w:w="2360" w:type="dxa"/>
            <w:vAlign w:val="bottom"/>
            <w:tcBorders>
              <w:bottom w:val="single" w:sz="8" w:color="CCEEFF"/>
            </w:tcBorders>
            <w:shd w:val="clear" w:color="auto" w:fill="CCEEFF"/>
          </w:tcPr>
          <w:p>
            <w:pPr>
              <w:jc w:val="right"/>
              <w:ind w:right="719"/>
              <w:spacing w:after="0"/>
              <w:rPr>
                <w:sz w:val="20"/>
                <w:szCs w:val="20"/>
                <w:color w:val="auto"/>
              </w:rPr>
            </w:pPr>
            <w:r>
              <w:rPr>
                <w:rFonts w:ascii="Arial" w:cs="Arial" w:eastAsia="Arial" w:hAnsi="Arial"/>
                <w:sz w:val="16"/>
                <w:szCs w:val="16"/>
                <w:b w:val="1"/>
                <w:bCs w:val="1"/>
                <w:color w:val="auto"/>
              </w:rPr>
              <w:t>$91</w:t>
            </w:r>
          </w:p>
        </w:tc>
        <w:tc>
          <w:tcPr>
            <w:tcW w:w="1920" w:type="dxa"/>
            <w:vAlign w:val="bottom"/>
            <w:tcBorders>
              <w:bottom w:val="single" w:sz="8" w:color="CCEEFF"/>
            </w:tcBorders>
            <w:shd w:val="clear" w:color="auto" w:fill="CCEEFF"/>
          </w:tcPr>
          <w:p>
            <w:pPr>
              <w:jc w:val="right"/>
              <w:ind w:right="719"/>
              <w:spacing w:after="0"/>
              <w:rPr>
                <w:sz w:val="20"/>
                <w:szCs w:val="20"/>
                <w:color w:val="auto"/>
              </w:rPr>
            </w:pPr>
            <w:r>
              <w:rPr>
                <w:rFonts w:ascii="Arial" w:cs="Arial" w:eastAsia="Arial" w:hAnsi="Arial"/>
                <w:sz w:val="16"/>
                <w:szCs w:val="16"/>
                <w:color w:val="auto"/>
              </w:rPr>
              <w:t>$70</w:t>
            </w: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$68</w:t>
            </w:r>
          </w:p>
        </w:tc>
      </w:tr>
      <w:tr>
        <w:trPr>
          <w:trHeight w:val="20"/>
        </w:trPr>
        <w:tc>
          <w:tcPr>
            <w:tcW w:w="5880" w:type="dxa"/>
            <w:vAlign w:val="bottom"/>
            <w:shd w:val="clear" w:color="auto" w:fill="000000"/>
          </w:tcPr>
          <w:p>
            <w:pPr>
              <w:spacing w:after="0" w:line="20" w:lineRule="exact"/>
              <w:rPr>
                <w:sz w:val="1"/>
                <w:szCs w:val="1"/>
                <w:color w:val="auto"/>
              </w:rPr>
            </w:pPr>
          </w:p>
        </w:tc>
        <w:tc>
          <w:tcPr>
            <w:tcW w:w="2360" w:type="dxa"/>
            <w:vAlign w:val="bottom"/>
            <w:shd w:val="clear" w:color="auto" w:fill="000000"/>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r>
    </w:tbl>
    <w:p>
      <w:pPr>
        <w:spacing w:after="0" w:line="148" w:lineRule="exact"/>
        <w:rPr>
          <w:sz w:val="20"/>
          <w:szCs w:val="20"/>
          <w:color w:val="auto"/>
        </w:rPr>
      </w:pPr>
    </w:p>
    <w:p>
      <w:pPr>
        <w:jc w:val="both"/>
        <w:ind w:right="120"/>
        <w:spacing w:after="0" w:line="277" w:lineRule="auto"/>
        <w:rPr>
          <w:sz w:val="20"/>
          <w:szCs w:val="20"/>
          <w:color w:val="auto"/>
        </w:rPr>
      </w:pPr>
      <w:r>
        <w:rPr>
          <w:rFonts w:ascii="Arial" w:cs="Arial" w:eastAsia="Arial" w:hAnsi="Arial"/>
          <w:sz w:val="18"/>
          <w:szCs w:val="18"/>
          <w:color w:val="auto"/>
        </w:rPr>
        <w:t>The benefit of tax deductions in excess of the compensation cost recognized for stock-based awards is classified as financing cash inflows and is reflected as excess tax benefit from stock-based compensation in the Consolidated Statements of Cash Flows.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Dividend Adjustment</w:t>
      </w:r>
    </w:p>
    <w:p>
      <w:pPr>
        <w:spacing w:after="0" w:line="2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 connection with the closing of our credit card receivable transaction on October 1, 2015, our Board of Directors authorized a special cash dividend of $4.85 per share (see Note 11: Shareholders’ Equity). As required by our equity incentive plans, an adjustment was made to outstanding awards to prevent dilution of their value resulting from the special cash dividend. These adjustments did not result in incremental stock-based compensation expense as the anti-dilutive adjustments were required by our equity incentive plans. The adjustments to awards included increasing the number of outstanding restricted stock units, stock options and performance shares, as well as reducing the exercise prices of outstanding stock options.</w:t>
      </w:r>
    </w:p>
    <w:p>
      <w:pPr>
        <w:spacing w:after="0" w:line="372" w:lineRule="exact"/>
        <w:rPr>
          <w:sz w:val="20"/>
          <w:szCs w:val="20"/>
          <w:color w:val="auto"/>
        </w:rPr>
      </w:pPr>
    </w:p>
    <w:p>
      <w:pPr>
        <w:jc w:val="right"/>
        <w:spacing w:after="0"/>
        <w:rPr>
          <w:sz w:val="20"/>
          <w:szCs w:val="20"/>
          <w:color w:val="auto"/>
        </w:rPr>
      </w:pPr>
      <w:r>
        <w:rPr>
          <w:rFonts w:ascii="Arial" w:cs="Arial" w:eastAsia="Arial" w:hAnsi="Arial"/>
          <w:sz w:val="13"/>
          <w:szCs w:val="13"/>
          <w:color w:val="auto"/>
        </w:rPr>
        <w:t xml:space="preserve">Nordstrom, Inc. and subsidiaries </w:t>
      </w:r>
      <w:r>
        <w:rPr>
          <w:rFonts w:ascii="Arial" w:cs="Arial" w:eastAsia="Arial" w:hAnsi="Arial"/>
          <w:sz w:val="16"/>
          <w:szCs w:val="16"/>
          <w:color w:val="auto"/>
        </w:rPr>
        <w:t>55</w:t>
      </w:r>
    </w:p>
    <w:p>
      <w:pPr>
        <w:sectPr>
          <w:pgSz w:w="11900" w:h="16838" w:orient="portrait"/>
          <w:cols w:equalWidth="0" w:num="1">
            <w:col w:w="11420"/>
          </w:cols>
          <w:pgMar w:left="240" w:top="126" w:right="239" w:bottom="1440" w:gutter="0" w:footer="0" w:header="0"/>
        </w:sectPr>
      </w:pPr>
    </w:p>
    <w:bookmarkStart w:id="56" w:name="page57"/>
    <w:bookmarkEnd w:id="56"/>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Nordstrom, Inc.</w:t>
      </w:r>
    </w:p>
    <w:p>
      <w:pPr>
        <w:spacing w:after="0" w:line="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rPr>
          <w:sz w:val="20"/>
          <w:szCs w:val="20"/>
          <w:color w:val="auto"/>
        </w:rPr>
      </w:pPr>
      <w:r>
        <w:rPr>
          <w:rFonts w:ascii="Arial" w:cs="Arial" w:eastAsia="Arial" w:hAnsi="Arial"/>
          <w:sz w:val="18"/>
          <w:szCs w:val="18"/>
          <w:color w:val="auto"/>
        </w:rPr>
        <w:t>Dollar and share amounts in millions except per share, per option and per unit amounts</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27" w:lineRule="exact"/>
        <w:rPr>
          <w:sz w:val="20"/>
          <w:szCs w:val="20"/>
          <w:color w:val="auto"/>
        </w:rPr>
      </w:pPr>
    </w:p>
    <w:p>
      <w:pPr>
        <w:ind w:right="700"/>
        <w:spacing w:after="0" w:line="323" w:lineRule="auto"/>
        <w:rPr>
          <w:sz w:val="20"/>
          <w:szCs w:val="20"/>
          <w:color w:val="auto"/>
        </w:rPr>
      </w:pPr>
      <w:r>
        <w:rPr>
          <w:rFonts w:ascii="Arial" w:cs="Arial" w:eastAsia="Arial" w:hAnsi="Arial"/>
          <w:sz w:val="16"/>
          <w:szCs w:val="16"/>
          <w:color w:val="auto"/>
        </w:rPr>
        <w:t>Our Compensation Committee of our Board of Directors approves annual grants of nonqualified stock options to employees. We used the following assumptions to estimate the fair value for stock options at each grant date (excluding options granted in connection with the Trunk Club acquisition):</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41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Fiscal Year</w:t>
            </w:r>
          </w:p>
        </w:tc>
        <w:tc>
          <w:tcPr>
            <w:tcW w:w="426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2016</w:t>
            </w:r>
          </w:p>
        </w:tc>
        <w:tc>
          <w:tcPr>
            <w:tcW w:w="180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2015</w:t>
            </w:r>
          </w:p>
        </w:tc>
        <w:tc>
          <w:tcPr>
            <w:tcW w:w="1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2014</w:t>
            </w:r>
            <w:r>
              <w:rPr>
                <w:rFonts w:ascii="Arial" w:cs="Arial" w:eastAsia="Arial" w:hAnsi="Arial"/>
                <w:sz w:val="21"/>
                <w:szCs w:val="21"/>
                <w:color w:val="auto"/>
                <w:vertAlign w:val="superscript"/>
              </w:rPr>
              <w:t>1</w:t>
            </w:r>
          </w:p>
        </w:tc>
      </w:tr>
      <w:tr>
        <w:trPr>
          <w:trHeight w:val="217"/>
        </w:trPr>
        <w:tc>
          <w:tcPr>
            <w:tcW w:w="410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Assumptions</w:t>
            </w:r>
          </w:p>
        </w:tc>
        <w:tc>
          <w:tcPr>
            <w:tcW w:w="426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47"/>
        </w:trPr>
        <w:tc>
          <w:tcPr>
            <w:tcW w:w="4100" w:type="dxa"/>
            <w:vAlign w:val="bottom"/>
            <w:shd w:val="clear" w:color="auto" w:fill="CCEEFF"/>
          </w:tcPr>
          <w:p>
            <w:pPr>
              <w:spacing w:after="0"/>
              <w:rPr>
                <w:sz w:val="4"/>
                <w:szCs w:val="4"/>
                <w:color w:val="auto"/>
              </w:rPr>
            </w:pPr>
          </w:p>
        </w:tc>
        <w:tc>
          <w:tcPr>
            <w:tcW w:w="4260" w:type="dxa"/>
            <w:vAlign w:val="bottom"/>
            <w:shd w:val="clear" w:color="auto" w:fill="CCEEFF"/>
          </w:tcPr>
          <w:p>
            <w:pPr>
              <w:spacing w:after="0"/>
              <w:rPr>
                <w:sz w:val="4"/>
                <w:szCs w:val="4"/>
                <w:color w:val="auto"/>
              </w:rPr>
            </w:pPr>
          </w:p>
        </w:tc>
        <w:tc>
          <w:tcPr>
            <w:tcW w:w="1800" w:type="dxa"/>
            <w:vAlign w:val="bottom"/>
            <w:shd w:val="clear" w:color="auto" w:fill="CCEEFF"/>
          </w:tcPr>
          <w:p>
            <w:pPr>
              <w:spacing w:after="0"/>
              <w:rPr>
                <w:sz w:val="4"/>
                <w:szCs w:val="4"/>
                <w:color w:val="auto"/>
              </w:rPr>
            </w:pPr>
          </w:p>
        </w:tc>
        <w:tc>
          <w:tcPr>
            <w:tcW w:w="1260" w:type="dxa"/>
            <w:vAlign w:val="bottom"/>
            <w:shd w:val="clear" w:color="auto" w:fill="CCEEFF"/>
          </w:tcPr>
          <w:p>
            <w:pPr>
              <w:spacing w:after="0"/>
              <w:rPr>
                <w:sz w:val="4"/>
                <w:szCs w:val="4"/>
                <w:color w:val="auto"/>
              </w:rPr>
            </w:pPr>
          </w:p>
        </w:tc>
      </w:tr>
    </w:tbl>
    <w:p>
      <w:pPr>
        <w:spacing w:after="0" w:line="13" w:lineRule="exact"/>
        <w:rPr>
          <w:sz w:val="20"/>
          <w:szCs w:val="20"/>
          <w:color w:val="auto"/>
        </w:rPr>
      </w:pPr>
    </w:p>
    <w:p>
      <w:pPr>
        <w:sectPr>
          <w:pgSz w:w="11900" w:h="16838" w:orient="portrait"/>
          <w:cols w:equalWidth="0" w:num="1">
            <w:col w:w="11420"/>
          </w:cols>
          <w:pgMar w:left="240" w:top="126" w:right="239" w:bottom="1440" w:gutter="0" w:footer="0" w:header="0"/>
        </w:sectPr>
      </w:pPr>
    </w:p>
    <w:p>
      <w:pPr>
        <w:ind w:left="300" w:hanging="161"/>
        <w:spacing w:after="0" w:line="298" w:lineRule="auto"/>
        <w:rPr>
          <w:sz w:val="20"/>
          <w:szCs w:val="20"/>
          <w:color w:val="auto"/>
        </w:rPr>
      </w:pPr>
      <w:r>
        <w:rPr>
          <w:rFonts w:ascii="Arial" w:cs="Arial" w:eastAsia="Arial" w:hAnsi="Arial"/>
          <w:sz w:val="16"/>
          <w:szCs w:val="16"/>
          <w:b w:val="1"/>
          <w:bCs w:val="1"/>
          <w:color w:val="auto"/>
        </w:rPr>
        <w:t xml:space="preserve">Risk-free interest rate: </w:t>
      </w:r>
      <w:r>
        <w:rPr>
          <w:rFonts w:ascii="Arial" w:cs="Arial" w:eastAsia="Arial" w:hAnsi="Arial"/>
          <w:sz w:val="16"/>
          <w:szCs w:val="16"/>
          <w:color w:val="auto"/>
        </w:rPr>
        <w:t>Represents the yield on U.S. Treasury zero-coupon securities that</w:t>
      </w:r>
      <w:r>
        <w:rPr>
          <w:rFonts w:ascii="Arial" w:cs="Arial" w:eastAsia="Arial" w:hAnsi="Arial"/>
          <w:sz w:val="16"/>
          <w:szCs w:val="16"/>
          <w:b w:val="1"/>
          <w:bCs w:val="1"/>
          <w:color w:val="auto"/>
        </w:rPr>
        <w:t xml:space="preserve"> </w:t>
      </w:r>
      <w:r>
        <w:rPr>
          <w:rFonts w:ascii="Arial" w:cs="Arial" w:eastAsia="Arial" w:hAnsi="Arial"/>
          <w:sz w:val="16"/>
          <w:szCs w:val="16"/>
          <w:color w:val="auto"/>
        </w:rPr>
        <w:t>mature over the 10-year life of the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4203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420370"/>
                    </a:xfrm>
                    <a:prstGeom prst="rect">
                      <a:avLst/>
                    </a:prstGeom>
                    <a:noFill/>
                  </pic:spPr>
                </pic:pic>
              </a:graphicData>
            </a:graphic>
          </wp:anchor>
        </w:drawing>
      </w:r>
    </w:p>
    <w:p>
      <w:pPr>
        <w:jc w:val="both"/>
        <w:ind w:left="300" w:right="180" w:hanging="161"/>
        <w:spacing w:after="0" w:line="281" w:lineRule="auto"/>
        <w:rPr>
          <w:sz w:val="20"/>
          <w:szCs w:val="20"/>
          <w:color w:val="auto"/>
        </w:rPr>
      </w:pPr>
      <w:r>
        <w:rPr>
          <w:rFonts w:ascii="Arial" w:cs="Arial" w:eastAsia="Arial" w:hAnsi="Arial"/>
          <w:sz w:val="16"/>
          <w:szCs w:val="16"/>
          <w:b w:val="1"/>
          <w:bCs w:val="1"/>
          <w:color w:val="auto"/>
        </w:rPr>
        <w:t xml:space="preserve">Weighted-average volatility: </w:t>
      </w:r>
      <w:r>
        <w:rPr>
          <w:rFonts w:ascii="Arial" w:cs="Arial" w:eastAsia="Arial" w:hAnsi="Arial"/>
          <w:sz w:val="16"/>
          <w:szCs w:val="16"/>
          <w:color w:val="auto"/>
        </w:rPr>
        <w:t>Based on a combination of the historical volatility of our</w:t>
      </w:r>
      <w:r>
        <w:rPr>
          <w:rFonts w:ascii="Arial" w:cs="Arial" w:eastAsia="Arial" w:hAnsi="Arial"/>
          <w:sz w:val="16"/>
          <w:szCs w:val="16"/>
          <w:b w:val="1"/>
          <w:bCs w:val="1"/>
          <w:color w:val="auto"/>
        </w:rPr>
        <w:t xml:space="preserve"> </w:t>
      </w:r>
      <w:r>
        <w:rPr>
          <w:rFonts w:ascii="Arial" w:cs="Arial" w:eastAsia="Arial" w:hAnsi="Arial"/>
          <w:sz w:val="16"/>
          <w:szCs w:val="16"/>
          <w:color w:val="auto"/>
        </w:rPr>
        <w:t>common stock and the implied volatility of exchange-traded options for our common stock.</w:t>
      </w:r>
    </w:p>
    <w:p>
      <w:pPr>
        <w:spacing w:after="0" w:line="20" w:lineRule="exact"/>
        <w:rPr>
          <w:sz w:val="20"/>
          <w:szCs w:val="20"/>
          <w:color w:val="auto"/>
        </w:rPr>
      </w:pPr>
      <w:r>
        <w:rPr>
          <w:sz w:val="20"/>
          <w:szCs w:val="20"/>
          <w:color w:val="auto"/>
        </w:rPr>
        <w:br w:type="column"/>
      </w:r>
    </w:p>
    <w:p>
      <w:pPr>
        <w:spacing w:after="0" w:line="7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1480" w:type="dxa"/>
            <w:vAlign w:val="bottom"/>
          </w:tcPr>
          <w:p>
            <w:pPr>
              <w:jc w:val="right"/>
              <w:ind w:right="499"/>
              <w:spacing w:after="0"/>
              <w:rPr>
                <w:sz w:val="20"/>
                <w:szCs w:val="20"/>
                <w:color w:val="auto"/>
              </w:rPr>
            </w:pPr>
            <w:r>
              <w:rPr>
                <w:rFonts w:ascii="Arial" w:cs="Arial" w:eastAsia="Arial" w:hAnsi="Arial"/>
                <w:sz w:val="16"/>
                <w:szCs w:val="16"/>
                <w:b w:val="1"/>
                <w:bCs w:val="1"/>
                <w:color w:val="auto"/>
                <w:w w:val="96"/>
              </w:rPr>
              <w:t>0.7% – 1.9%</w:t>
            </w:r>
          </w:p>
        </w:tc>
        <w:tc>
          <w:tcPr>
            <w:tcW w:w="1820" w:type="dxa"/>
            <w:vAlign w:val="bottom"/>
          </w:tcPr>
          <w:p>
            <w:pPr>
              <w:jc w:val="right"/>
              <w:ind w:right="479"/>
              <w:spacing w:after="0"/>
              <w:rPr>
                <w:sz w:val="20"/>
                <w:szCs w:val="20"/>
                <w:color w:val="auto"/>
              </w:rPr>
            </w:pPr>
            <w:r>
              <w:rPr>
                <w:rFonts w:ascii="Arial" w:cs="Arial" w:eastAsia="Arial" w:hAnsi="Arial"/>
                <w:sz w:val="16"/>
                <w:szCs w:val="16"/>
                <w:color w:val="auto"/>
              </w:rPr>
              <w:t>0.2% – 2.1%</w:t>
            </w:r>
          </w:p>
        </w:tc>
        <w:tc>
          <w:tcPr>
            <w:tcW w:w="1400" w:type="dxa"/>
            <w:vAlign w:val="bottom"/>
          </w:tcPr>
          <w:p>
            <w:pPr>
              <w:jc w:val="right"/>
              <w:ind w:right="59"/>
              <w:spacing w:after="0"/>
              <w:rPr>
                <w:sz w:val="20"/>
                <w:szCs w:val="20"/>
                <w:color w:val="auto"/>
              </w:rPr>
            </w:pPr>
            <w:r>
              <w:rPr>
                <w:rFonts w:ascii="Arial" w:cs="Arial" w:eastAsia="Arial" w:hAnsi="Arial"/>
                <w:sz w:val="16"/>
                <w:szCs w:val="16"/>
                <w:color w:val="auto"/>
              </w:rPr>
              <w:t>0.2% – 2.6%</w:t>
            </w:r>
          </w:p>
        </w:tc>
      </w:tr>
      <w:tr>
        <w:trPr>
          <w:trHeight w:val="567"/>
        </w:trPr>
        <w:tc>
          <w:tcPr>
            <w:tcW w:w="1480" w:type="dxa"/>
            <w:vAlign w:val="bottom"/>
          </w:tcPr>
          <w:p>
            <w:pPr>
              <w:jc w:val="right"/>
              <w:ind w:right="339"/>
              <w:spacing w:after="0"/>
              <w:rPr>
                <w:sz w:val="20"/>
                <w:szCs w:val="20"/>
                <w:color w:val="auto"/>
              </w:rPr>
            </w:pPr>
            <w:r>
              <w:rPr>
                <w:rFonts w:ascii="Arial" w:cs="Arial" w:eastAsia="Arial" w:hAnsi="Arial"/>
                <w:sz w:val="16"/>
                <w:szCs w:val="16"/>
                <w:b w:val="1"/>
                <w:bCs w:val="1"/>
                <w:color w:val="auto"/>
              </w:rPr>
              <w:t>36.8%</w:t>
            </w:r>
          </w:p>
        </w:tc>
        <w:tc>
          <w:tcPr>
            <w:tcW w:w="1820" w:type="dxa"/>
            <w:vAlign w:val="bottom"/>
          </w:tcPr>
          <w:p>
            <w:pPr>
              <w:jc w:val="right"/>
              <w:ind w:right="339"/>
              <w:spacing w:after="0"/>
              <w:rPr>
                <w:sz w:val="20"/>
                <w:szCs w:val="20"/>
                <w:color w:val="auto"/>
              </w:rPr>
            </w:pPr>
            <w:r>
              <w:rPr>
                <w:rFonts w:ascii="Arial" w:cs="Arial" w:eastAsia="Arial" w:hAnsi="Arial"/>
                <w:sz w:val="16"/>
                <w:szCs w:val="16"/>
                <w:color w:val="auto"/>
              </w:rPr>
              <w:t>29.4%</w:t>
            </w:r>
          </w:p>
        </w:tc>
        <w:tc>
          <w:tcPr>
            <w:tcW w:w="1400" w:type="dxa"/>
            <w:vAlign w:val="bottom"/>
          </w:tcPr>
          <w:p>
            <w:pPr>
              <w:jc w:val="right"/>
              <w:spacing w:after="0"/>
              <w:rPr>
                <w:sz w:val="20"/>
                <w:szCs w:val="20"/>
                <w:color w:val="auto"/>
              </w:rPr>
            </w:pPr>
            <w:r>
              <w:rPr>
                <w:rFonts w:ascii="Arial" w:cs="Arial" w:eastAsia="Arial" w:hAnsi="Arial"/>
                <w:sz w:val="16"/>
                <w:szCs w:val="16"/>
                <w:color w:val="auto"/>
              </w:rPr>
              <w:t>30.1%</w:t>
            </w:r>
          </w:p>
        </w:tc>
      </w:tr>
    </w:tbl>
    <w:p>
      <w:pPr>
        <w:spacing w:after="0" w:line="249" w:lineRule="exact"/>
        <w:rPr>
          <w:sz w:val="20"/>
          <w:szCs w:val="20"/>
          <w:color w:val="auto"/>
        </w:rPr>
      </w:pPr>
    </w:p>
    <w:p>
      <w:pPr>
        <w:sectPr>
          <w:pgSz w:w="11900" w:h="16838" w:orient="portrait"/>
          <w:cols w:equalWidth="0" w:num="2">
            <w:col w:w="6000" w:space="700"/>
            <w:col w:w="4720"/>
          </w:cols>
          <w:pgMar w:left="240" w:top="126" w:right="239" w:bottom="1440" w:gutter="0" w:footer="0" w:header="0"/>
          <w:type w:val="continuous"/>
        </w:sectPr>
      </w:pPr>
    </w:p>
    <w:p>
      <w:pPr>
        <w:ind w:left="300" w:right="820" w:hanging="161"/>
        <w:spacing w:after="0" w:line="298" w:lineRule="auto"/>
        <w:rPr>
          <w:sz w:val="20"/>
          <w:szCs w:val="20"/>
          <w:color w:val="auto"/>
        </w:rPr>
      </w:pPr>
      <w:r>
        <w:rPr>
          <w:rFonts w:ascii="Arial" w:cs="Arial" w:eastAsia="Arial" w:hAnsi="Arial"/>
          <w:sz w:val="16"/>
          <w:szCs w:val="16"/>
          <w:b w:val="1"/>
          <w:bCs w:val="1"/>
          <w:color w:val="auto"/>
        </w:rPr>
        <w:t xml:space="preserve">Weighted-average expected dividend yield: </w:t>
      </w:r>
      <w:r>
        <w:rPr>
          <w:rFonts w:ascii="Arial" w:cs="Arial" w:eastAsia="Arial" w:hAnsi="Arial"/>
          <w:sz w:val="16"/>
          <w:szCs w:val="16"/>
          <w:color w:val="auto"/>
        </w:rPr>
        <w:t>Our forecasted dividend yield for the next</w:t>
      </w:r>
      <w:r>
        <w:rPr>
          <w:rFonts w:ascii="Arial" w:cs="Arial" w:eastAsia="Arial" w:hAnsi="Arial"/>
          <w:sz w:val="16"/>
          <w:szCs w:val="16"/>
          <w:b w:val="1"/>
          <w:bCs w:val="1"/>
          <w:color w:val="auto"/>
        </w:rPr>
        <w:t xml:space="preserve"> </w:t>
      </w:r>
      <w:r>
        <w:rPr>
          <w:rFonts w:ascii="Arial" w:cs="Arial" w:eastAsia="Arial" w:hAnsi="Arial"/>
          <w:sz w:val="16"/>
          <w:szCs w:val="16"/>
          <w:color w:val="auto"/>
        </w:rPr>
        <w:t>10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677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677545"/>
                    </a:xfrm>
                    <a:prstGeom prst="rect">
                      <a:avLst/>
                    </a:prstGeom>
                    <a:noFill/>
                  </pic:spPr>
                </pic:pic>
              </a:graphicData>
            </a:graphic>
          </wp:anchor>
        </w:drawing>
      </w:r>
    </w:p>
    <w:p>
      <w:pPr>
        <w:ind w:left="300" w:right="700" w:hanging="161"/>
        <w:spacing w:after="0" w:line="295" w:lineRule="auto"/>
        <w:rPr>
          <w:sz w:val="20"/>
          <w:szCs w:val="20"/>
          <w:color w:val="auto"/>
        </w:rPr>
      </w:pPr>
      <w:r>
        <w:rPr>
          <w:rFonts w:ascii="Arial" w:cs="Arial" w:eastAsia="Arial" w:hAnsi="Arial"/>
          <w:sz w:val="15"/>
          <w:szCs w:val="15"/>
          <w:b w:val="1"/>
          <w:bCs w:val="1"/>
          <w:color w:val="auto"/>
        </w:rPr>
        <w:t xml:space="preserve">Expected life in years: </w:t>
      </w:r>
      <w:r>
        <w:rPr>
          <w:rFonts w:ascii="Arial" w:cs="Arial" w:eastAsia="Arial" w:hAnsi="Arial"/>
          <w:sz w:val="15"/>
          <w:szCs w:val="15"/>
          <w:color w:val="auto"/>
        </w:rPr>
        <w:t>Represents the estimated period of time until option exercise. The</w:t>
      </w:r>
      <w:r>
        <w:rPr>
          <w:rFonts w:ascii="Arial" w:cs="Arial" w:eastAsia="Arial" w:hAnsi="Arial"/>
          <w:sz w:val="15"/>
          <w:szCs w:val="15"/>
          <w:b w:val="1"/>
          <w:bCs w:val="1"/>
          <w:color w:val="auto"/>
        </w:rPr>
        <w:t xml:space="preserve"> </w:t>
      </w:r>
      <w:r>
        <w:rPr>
          <w:rFonts w:ascii="Arial" w:cs="Arial" w:eastAsia="Arial" w:hAnsi="Arial"/>
          <w:sz w:val="15"/>
          <w:szCs w:val="15"/>
          <w:color w:val="auto"/>
        </w:rPr>
        <w:t>expected term of options granted was derived from the output of the Binomial Lattice option valuation model and was based on our historical exercise behavior, taking into consideration the contractual term of the option and our employees’ expected exercise and post-vesting employment termination behavior.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184785</wp:posOffset>
            </wp:positionV>
            <wp:extent cx="72466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1100" w:type="dxa"/>
            <w:vAlign w:val="bottom"/>
          </w:tcPr>
          <w:p>
            <w:pPr>
              <w:spacing w:after="0"/>
              <w:rPr>
                <w:sz w:val="20"/>
                <w:szCs w:val="20"/>
                <w:color w:val="auto"/>
              </w:rPr>
            </w:pPr>
            <w:r>
              <w:rPr>
                <w:rFonts w:ascii="Arial" w:cs="Arial" w:eastAsia="Arial" w:hAnsi="Arial"/>
                <w:sz w:val="16"/>
                <w:szCs w:val="16"/>
                <w:b w:val="1"/>
                <w:bCs w:val="1"/>
                <w:color w:val="auto"/>
              </w:rPr>
              <w:t>2.2%</w:t>
            </w:r>
          </w:p>
        </w:tc>
        <w:tc>
          <w:tcPr>
            <w:tcW w:w="1820" w:type="dxa"/>
            <w:vAlign w:val="bottom"/>
          </w:tcPr>
          <w:p>
            <w:pPr>
              <w:ind w:left="740"/>
              <w:spacing w:after="0"/>
              <w:rPr>
                <w:sz w:val="20"/>
                <w:szCs w:val="20"/>
                <w:color w:val="auto"/>
              </w:rPr>
            </w:pPr>
            <w:r>
              <w:rPr>
                <w:rFonts w:ascii="Arial" w:cs="Arial" w:eastAsia="Arial" w:hAnsi="Arial"/>
                <w:sz w:val="16"/>
                <w:szCs w:val="16"/>
                <w:color w:val="auto"/>
              </w:rPr>
              <w:t>1.8%</w:t>
            </w:r>
          </w:p>
        </w:tc>
        <w:tc>
          <w:tcPr>
            <w:tcW w:w="1080" w:type="dxa"/>
            <w:vAlign w:val="bottom"/>
          </w:tcPr>
          <w:p>
            <w:pPr>
              <w:ind w:left="740"/>
              <w:spacing w:after="0"/>
              <w:rPr>
                <w:sz w:val="20"/>
                <w:szCs w:val="20"/>
                <w:color w:val="auto"/>
              </w:rPr>
            </w:pPr>
            <w:r>
              <w:rPr>
                <w:rFonts w:ascii="Arial" w:cs="Arial" w:eastAsia="Arial" w:hAnsi="Arial"/>
                <w:sz w:val="16"/>
                <w:szCs w:val="16"/>
                <w:color w:val="auto"/>
                <w:w w:val="87"/>
              </w:rPr>
              <w:t>2.2%</w:t>
            </w:r>
          </w:p>
        </w:tc>
      </w:tr>
      <w:tr>
        <w:trPr>
          <w:trHeight w:val="770"/>
        </w:trPr>
        <w:tc>
          <w:tcPr>
            <w:tcW w:w="1100" w:type="dxa"/>
            <w:vAlign w:val="bottom"/>
          </w:tcPr>
          <w:p>
            <w:pPr>
              <w:spacing w:after="0"/>
              <w:rPr>
                <w:sz w:val="20"/>
                <w:szCs w:val="20"/>
                <w:color w:val="auto"/>
              </w:rPr>
            </w:pPr>
            <w:r>
              <w:rPr>
                <w:rFonts w:ascii="Arial" w:cs="Arial" w:eastAsia="Arial" w:hAnsi="Arial"/>
                <w:sz w:val="16"/>
                <w:szCs w:val="16"/>
                <w:b w:val="1"/>
                <w:bCs w:val="1"/>
                <w:color w:val="auto"/>
              </w:rPr>
              <w:t>6.9</w:t>
            </w:r>
          </w:p>
        </w:tc>
        <w:tc>
          <w:tcPr>
            <w:tcW w:w="1820" w:type="dxa"/>
            <w:vAlign w:val="bottom"/>
          </w:tcPr>
          <w:p>
            <w:pPr>
              <w:ind w:left="740"/>
              <w:spacing w:after="0"/>
              <w:rPr>
                <w:sz w:val="20"/>
                <w:szCs w:val="20"/>
                <w:color w:val="auto"/>
              </w:rPr>
            </w:pPr>
            <w:r>
              <w:rPr>
                <w:rFonts w:ascii="Arial" w:cs="Arial" w:eastAsia="Arial" w:hAnsi="Arial"/>
                <w:sz w:val="16"/>
                <w:szCs w:val="16"/>
                <w:color w:val="auto"/>
              </w:rPr>
              <w:t>6.7</w:t>
            </w:r>
          </w:p>
        </w:tc>
        <w:tc>
          <w:tcPr>
            <w:tcW w:w="1080" w:type="dxa"/>
            <w:vAlign w:val="bottom"/>
          </w:tcPr>
          <w:p>
            <w:pPr>
              <w:ind w:left="740"/>
              <w:spacing w:after="0"/>
              <w:rPr>
                <w:sz w:val="20"/>
                <w:szCs w:val="20"/>
                <w:color w:val="auto"/>
              </w:rPr>
            </w:pPr>
            <w:r>
              <w:rPr>
                <w:rFonts w:ascii="Arial" w:cs="Arial" w:eastAsia="Arial" w:hAnsi="Arial"/>
                <w:sz w:val="16"/>
                <w:szCs w:val="16"/>
                <w:color w:val="auto"/>
              </w:rPr>
              <w:t>6.8</w:t>
            </w:r>
          </w:p>
        </w:tc>
      </w:tr>
    </w:tbl>
    <w:p>
      <w:pPr>
        <w:spacing w:after="0" w:line="644" w:lineRule="exact"/>
        <w:rPr>
          <w:sz w:val="20"/>
          <w:szCs w:val="20"/>
          <w:color w:val="auto"/>
        </w:rPr>
      </w:pPr>
    </w:p>
    <w:p>
      <w:pPr>
        <w:sectPr>
          <w:pgSz w:w="11900" w:h="16838" w:orient="portrait"/>
          <w:cols w:equalWidth="0" w:num="2">
            <w:col w:w="6680" w:space="720"/>
            <w:col w:w="4020"/>
          </w:cols>
          <w:pgMar w:left="240" w:top="126" w:right="239" w:bottom="1440" w:gutter="0" w:footer="0" w:header="0"/>
          <w:type w:val="continuous"/>
        </w:sectPr>
      </w:pPr>
    </w:p>
    <w:p>
      <w:pPr>
        <w:spacing w:after="0" w:line="104"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Grant Date Information</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500" w:type="dxa"/>
            <w:vAlign w:val="bottom"/>
          </w:tcPr>
          <w:p>
            <w:pPr>
              <w:ind w:left="140"/>
              <w:spacing w:after="0"/>
              <w:rPr>
                <w:sz w:val="20"/>
                <w:szCs w:val="20"/>
                <w:color w:val="auto"/>
              </w:rPr>
            </w:pPr>
            <w:r>
              <w:rPr>
                <w:rFonts w:ascii="Arial" w:cs="Arial" w:eastAsia="Arial" w:hAnsi="Arial"/>
                <w:sz w:val="16"/>
                <w:szCs w:val="16"/>
                <w:color w:val="auto"/>
              </w:rPr>
              <w:t>Date of grant</w:t>
            </w:r>
          </w:p>
        </w:tc>
        <w:tc>
          <w:tcPr>
            <w:tcW w:w="3420" w:type="dxa"/>
            <w:vAlign w:val="bottom"/>
          </w:tcPr>
          <w:p>
            <w:pPr>
              <w:jc w:val="right"/>
              <w:ind w:right="239"/>
              <w:spacing w:after="0"/>
              <w:rPr>
                <w:sz w:val="20"/>
                <w:szCs w:val="20"/>
                <w:color w:val="auto"/>
              </w:rPr>
            </w:pPr>
            <w:r>
              <w:rPr>
                <w:rFonts w:ascii="Arial" w:cs="Arial" w:eastAsia="Arial" w:hAnsi="Arial"/>
                <w:sz w:val="16"/>
                <w:szCs w:val="16"/>
                <w:b w:val="1"/>
                <w:bCs w:val="1"/>
                <w:color w:val="auto"/>
              </w:rPr>
              <w:t>February 29, 2016</w:t>
            </w:r>
          </w:p>
        </w:tc>
        <w:tc>
          <w:tcPr>
            <w:tcW w:w="1960" w:type="dxa"/>
            <w:vAlign w:val="bottom"/>
          </w:tcPr>
          <w:p>
            <w:pPr>
              <w:jc w:val="right"/>
              <w:ind w:right="359"/>
              <w:spacing w:after="0"/>
              <w:rPr>
                <w:sz w:val="20"/>
                <w:szCs w:val="20"/>
                <w:color w:val="auto"/>
              </w:rPr>
            </w:pPr>
            <w:r>
              <w:rPr>
                <w:rFonts w:ascii="Arial" w:cs="Arial" w:eastAsia="Arial" w:hAnsi="Arial"/>
                <w:sz w:val="16"/>
                <w:szCs w:val="16"/>
                <w:color w:val="auto"/>
              </w:rPr>
              <w:t>February 24, 2015</w:t>
            </w:r>
          </w:p>
        </w:tc>
        <w:tc>
          <w:tcPr>
            <w:tcW w:w="1540" w:type="dxa"/>
            <w:vAlign w:val="bottom"/>
          </w:tcPr>
          <w:p>
            <w:pPr>
              <w:jc w:val="right"/>
              <w:ind w:right="79"/>
              <w:spacing w:after="0"/>
              <w:rPr>
                <w:sz w:val="20"/>
                <w:szCs w:val="20"/>
                <w:color w:val="auto"/>
              </w:rPr>
            </w:pPr>
            <w:r>
              <w:rPr>
                <w:rFonts w:ascii="Arial" w:cs="Arial" w:eastAsia="Arial" w:hAnsi="Arial"/>
                <w:sz w:val="16"/>
                <w:szCs w:val="16"/>
                <w:color w:val="auto"/>
              </w:rPr>
              <w:t>March 3, 2014</w:t>
            </w:r>
          </w:p>
        </w:tc>
      </w:tr>
      <w:tr>
        <w:trPr>
          <w:trHeight w:val="47"/>
        </w:trPr>
        <w:tc>
          <w:tcPr>
            <w:tcW w:w="4500" w:type="dxa"/>
            <w:vAlign w:val="bottom"/>
          </w:tcPr>
          <w:p>
            <w:pPr>
              <w:spacing w:after="0"/>
              <w:rPr>
                <w:sz w:val="4"/>
                <w:szCs w:val="4"/>
                <w:color w:val="auto"/>
              </w:rPr>
            </w:pPr>
          </w:p>
        </w:tc>
        <w:tc>
          <w:tcPr>
            <w:tcW w:w="3420" w:type="dxa"/>
            <w:vAlign w:val="bottom"/>
          </w:tcPr>
          <w:p>
            <w:pPr>
              <w:spacing w:after="0"/>
              <w:rPr>
                <w:sz w:val="4"/>
                <w:szCs w:val="4"/>
                <w:color w:val="auto"/>
              </w:rPr>
            </w:pPr>
          </w:p>
        </w:tc>
        <w:tc>
          <w:tcPr>
            <w:tcW w:w="1960" w:type="dxa"/>
            <w:vAlign w:val="bottom"/>
          </w:tcPr>
          <w:p>
            <w:pPr>
              <w:spacing w:after="0"/>
              <w:rPr>
                <w:sz w:val="4"/>
                <w:szCs w:val="4"/>
                <w:color w:val="auto"/>
              </w:rPr>
            </w:pPr>
          </w:p>
        </w:tc>
        <w:tc>
          <w:tcPr>
            <w:tcW w:w="1540" w:type="dxa"/>
            <w:vAlign w:val="bottom"/>
          </w:tcPr>
          <w:p>
            <w:pPr>
              <w:spacing w:after="0"/>
              <w:rPr>
                <w:sz w:val="4"/>
                <w:szCs w:val="4"/>
                <w:color w:val="auto"/>
              </w:rPr>
            </w:pPr>
          </w:p>
        </w:tc>
      </w:tr>
      <w:tr>
        <w:trPr>
          <w:trHeight w:val="250"/>
        </w:trPr>
        <w:tc>
          <w:tcPr>
            <w:tcW w:w="45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Weighted-average fair value per option</w:t>
            </w:r>
          </w:p>
        </w:tc>
        <w:tc>
          <w:tcPr>
            <w:tcW w:w="3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b w:val="1"/>
                <w:bCs w:val="1"/>
                <w:color w:val="auto"/>
              </w:rPr>
              <w:t>$16</w:t>
            </w:r>
          </w:p>
        </w:tc>
        <w:tc>
          <w:tcPr>
            <w:tcW w:w="196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rPr>
              <w:t>$21</w:t>
            </w:r>
          </w:p>
        </w:tc>
        <w:tc>
          <w:tcPr>
            <w:tcW w:w="1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$16</w:t>
            </w:r>
          </w:p>
        </w:tc>
      </w:tr>
      <w:tr>
        <w:trPr>
          <w:trHeight w:val="224"/>
        </w:trPr>
        <w:tc>
          <w:tcPr>
            <w:tcW w:w="4500" w:type="dxa"/>
            <w:vAlign w:val="bottom"/>
          </w:tcPr>
          <w:p>
            <w:pPr>
              <w:ind w:left="140"/>
              <w:spacing w:after="0"/>
              <w:rPr>
                <w:sz w:val="20"/>
                <w:szCs w:val="20"/>
                <w:color w:val="auto"/>
              </w:rPr>
            </w:pPr>
            <w:r>
              <w:rPr>
                <w:rFonts w:ascii="Arial" w:cs="Arial" w:eastAsia="Arial" w:hAnsi="Arial"/>
                <w:sz w:val="16"/>
                <w:szCs w:val="16"/>
                <w:color w:val="auto"/>
              </w:rPr>
              <w:t>Exercise price per option</w:t>
            </w:r>
          </w:p>
        </w:tc>
        <w:tc>
          <w:tcPr>
            <w:tcW w:w="3420" w:type="dxa"/>
            <w:vAlign w:val="bottom"/>
          </w:tcPr>
          <w:p>
            <w:pPr>
              <w:jc w:val="right"/>
              <w:ind w:right="239"/>
              <w:spacing w:after="0"/>
              <w:rPr>
                <w:sz w:val="20"/>
                <w:szCs w:val="20"/>
                <w:color w:val="auto"/>
              </w:rPr>
            </w:pPr>
            <w:r>
              <w:rPr>
                <w:rFonts w:ascii="Arial" w:cs="Arial" w:eastAsia="Arial" w:hAnsi="Arial"/>
                <w:sz w:val="16"/>
                <w:szCs w:val="16"/>
                <w:b w:val="1"/>
                <w:bCs w:val="1"/>
                <w:color w:val="auto"/>
              </w:rPr>
              <w:t>$51</w:t>
            </w:r>
          </w:p>
        </w:tc>
        <w:tc>
          <w:tcPr>
            <w:tcW w:w="1960" w:type="dxa"/>
            <w:vAlign w:val="bottom"/>
          </w:tcPr>
          <w:p>
            <w:pPr>
              <w:jc w:val="right"/>
              <w:ind w:right="359"/>
              <w:spacing w:after="0"/>
              <w:rPr>
                <w:sz w:val="20"/>
                <w:szCs w:val="20"/>
                <w:color w:val="auto"/>
              </w:rPr>
            </w:pPr>
            <w:r>
              <w:rPr>
                <w:rFonts w:ascii="Arial" w:cs="Arial" w:eastAsia="Arial" w:hAnsi="Arial"/>
                <w:sz w:val="16"/>
                <w:szCs w:val="16"/>
                <w:color w:val="auto"/>
              </w:rPr>
              <w:t>$81</w:t>
            </w:r>
          </w:p>
        </w:tc>
        <w:tc>
          <w:tcPr>
            <w:tcW w:w="1540" w:type="dxa"/>
            <w:vAlign w:val="bottom"/>
          </w:tcPr>
          <w:p>
            <w:pPr>
              <w:jc w:val="right"/>
              <w:ind w:right="79"/>
              <w:spacing w:after="0"/>
              <w:rPr>
                <w:sz w:val="20"/>
                <w:szCs w:val="20"/>
                <w:color w:val="auto"/>
              </w:rPr>
            </w:pPr>
            <w:r>
              <w:rPr>
                <w:rFonts w:ascii="Arial" w:cs="Arial" w:eastAsia="Arial" w:hAnsi="Arial"/>
                <w:sz w:val="16"/>
                <w:szCs w:val="16"/>
                <w:color w:val="auto"/>
              </w:rPr>
              <w:t>$61</w:t>
            </w:r>
          </w:p>
        </w:tc>
      </w:tr>
    </w:tbl>
    <w:p>
      <w:pPr>
        <w:spacing w:after="0" w:line="41" w:lineRule="exact"/>
        <w:rPr>
          <w:sz w:val="20"/>
          <w:szCs w:val="20"/>
          <w:color w:val="auto"/>
        </w:rPr>
      </w:pPr>
    </w:p>
    <w:p>
      <w:pPr>
        <w:ind w:left="80" w:hanging="72"/>
        <w:spacing w:after="0"/>
        <w:tabs>
          <w:tab w:leader="none" w:pos="80" w:val="left"/>
        </w:tabs>
        <w:numPr>
          <w:ilvl w:val="0"/>
          <w:numId w:val="37"/>
        </w:numPr>
        <w:rPr>
          <w:rFonts w:ascii="Arial" w:cs="Arial" w:eastAsia="Arial" w:hAnsi="Arial"/>
          <w:sz w:val="9"/>
          <w:szCs w:val="9"/>
          <w:color w:val="auto"/>
        </w:rPr>
      </w:pPr>
      <w:r>
        <w:rPr>
          <w:rFonts w:ascii="Arial" w:cs="Arial" w:eastAsia="Arial" w:hAnsi="Arial"/>
          <w:sz w:val="14"/>
          <w:szCs w:val="14"/>
          <w:color w:val="auto"/>
        </w:rPr>
        <w:t>As part of the Trunk Club acquisition in 2014, the weighted-average fair value per option at the grant date was $59.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8"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Supplemental nonqualified stock options were also granted to certain company leaders on June 7, 2016 at an exercise price per option of $41. The assumptions used to estimate the fair value for the supplemental stock options were similar to the 2016 annual grant assumptions. The weighted-average fair value per option at the grant date was $13. In 2016 and 2015, we also granted stock options to certain qualified employees outside of the annual and supplemental grant dates, which were insignificant in aggregate. The number of awards granted to an individual are determined based upon a percentage of the recipient’s base salary and the fair value of the stock options. Options typically vest over four years, and expire 10 years after the date of grant.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A summary of stock option activity for 2016, which includes awards issued as part of the Trunk Club acquisition in 2014, is presented below:</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20" w:type="dxa"/>
            <w:vAlign w:val="bottom"/>
          </w:tcPr>
          <w:p>
            <w:pPr>
              <w:ind w:left="40"/>
              <w:spacing w:after="0"/>
              <w:rPr>
                <w:sz w:val="20"/>
                <w:szCs w:val="20"/>
                <w:color w:val="auto"/>
              </w:rPr>
            </w:pPr>
            <w:r>
              <w:rPr>
                <w:rFonts w:ascii="Arial" w:cs="Arial" w:eastAsia="Arial" w:hAnsi="Arial"/>
                <w:sz w:val="16"/>
                <w:szCs w:val="16"/>
                <w:b w:val="1"/>
                <w:bCs w:val="1"/>
                <w:color w:val="auto"/>
              </w:rPr>
              <w:t>Fiscal year</w:t>
            </w:r>
          </w:p>
        </w:tc>
        <w:tc>
          <w:tcPr>
            <w:tcW w:w="2000" w:type="dxa"/>
            <w:vAlign w:val="bottom"/>
          </w:tcPr>
          <w:p>
            <w:pPr>
              <w:spacing w:after="0"/>
              <w:rPr>
                <w:sz w:val="18"/>
                <w:szCs w:val="18"/>
                <w:color w:val="auto"/>
              </w:rPr>
            </w:pPr>
          </w:p>
        </w:tc>
        <w:tc>
          <w:tcPr>
            <w:tcW w:w="1920" w:type="dxa"/>
            <w:vAlign w:val="bottom"/>
          </w:tcPr>
          <w:p>
            <w:pPr>
              <w:jc w:val="right"/>
              <w:ind w:right="99"/>
              <w:spacing w:after="0"/>
              <w:rPr>
                <w:sz w:val="20"/>
                <w:szCs w:val="20"/>
                <w:color w:val="auto"/>
              </w:rPr>
            </w:pPr>
            <w:r>
              <w:rPr>
                <w:rFonts w:ascii="Arial" w:cs="Arial" w:eastAsia="Arial" w:hAnsi="Arial"/>
                <w:sz w:val="16"/>
                <w:szCs w:val="16"/>
                <w:b w:val="1"/>
                <w:bCs w:val="1"/>
                <w:color w:val="auto"/>
              </w:rPr>
              <w:t>2016</w:t>
            </w:r>
          </w:p>
        </w:tc>
        <w:tc>
          <w:tcPr>
            <w:tcW w:w="20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33"/>
        </w:trPr>
        <w:tc>
          <w:tcPr>
            <w:tcW w:w="402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09"/>
        </w:trPr>
        <w:tc>
          <w:tcPr>
            <w:tcW w:w="40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020" w:type="dxa"/>
            <w:vAlign w:val="bottom"/>
          </w:tcPr>
          <w:p>
            <w:pPr>
              <w:jc w:val="right"/>
              <w:ind w:right="519"/>
              <w:spacing w:after="0"/>
              <w:rPr>
                <w:sz w:val="20"/>
                <w:szCs w:val="20"/>
                <w:color w:val="auto"/>
              </w:rPr>
            </w:pPr>
            <w:r>
              <w:rPr>
                <w:rFonts w:ascii="Arial" w:cs="Arial" w:eastAsia="Arial" w:hAnsi="Arial"/>
                <w:sz w:val="16"/>
                <w:szCs w:val="16"/>
                <w:b w:val="1"/>
                <w:bCs w:val="1"/>
                <w:color w:val="auto"/>
              </w:rPr>
              <w:t>Weighted-average</w:t>
            </w:r>
          </w:p>
        </w:tc>
        <w:tc>
          <w:tcPr>
            <w:tcW w:w="1440" w:type="dxa"/>
            <w:vAlign w:val="bottom"/>
          </w:tcPr>
          <w:p>
            <w:pPr>
              <w:spacing w:after="0"/>
              <w:rPr>
                <w:sz w:val="18"/>
                <w:szCs w:val="18"/>
                <w:color w:val="auto"/>
              </w:rPr>
            </w:pPr>
          </w:p>
        </w:tc>
      </w:tr>
      <w:tr>
        <w:trPr>
          <w:trHeight w:val="203"/>
        </w:trPr>
        <w:tc>
          <w:tcPr>
            <w:tcW w:w="40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920" w:type="dxa"/>
            <w:vAlign w:val="bottom"/>
          </w:tcPr>
          <w:p>
            <w:pPr>
              <w:jc w:val="right"/>
              <w:ind w:right="419"/>
              <w:spacing w:after="0"/>
              <w:rPr>
                <w:sz w:val="20"/>
                <w:szCs w:val="20"/>
                <w:color w:val="auto"/>
              </w:rPr>
            </w:pPr>
            <w:r>
              <w:rPr>
                <w:rFonts w:ascii="Arial" w:cs="Arial" w:eastAsia="Arial" w:hAnsi="Arial"/>
                <w:sz w:val="16"/>
                <w:szCs w:val="16"/>
                <w:b w:val="1"/>
                <w:bCs w:val="1"/>
                <w:color w:val="auto"/>
              </w:rPr>
              <w:t>Weighted-</w:t>
            </w:r>
          </w:p>
        </w:tc>
        <w:tc>
          <w:tcPr>
            <w:tcW w:w="2020" w:type="dxa"/>
            <w:vAlign w:val="bottom"/>
          </w:tcPr>
          <w:p>
            <w:pPr>
              <w:jc w:val="right"/>
              <w:ind w:right="559"/>
              <w:spacing w:after="0"/>
              <w:rPr>
                <w:sz w:val="20"/>
                <w:szCs w:val="20"/>
                <w:color w:val="auto"/>
              </w:rPr>
            </w:pPr>
            <w:r>
              <w:rPr>
                <w:rFonts w:ascii="Arial" w:cs="Arial" w:eastAsia="Arial" w:hAnsi="Arial"/>
                <w:sz w:val="16"/>
                <w:szCs w:val="16"/>
                <w:b w:val="1"/>
                <w:bCs w:val="1"/>
                <w:color w:val="auto"/>
              </w:rPr>
              <w:t>remaining</w:t>
            </w:r>
          </w:p>
        </w:tc>
        <w:tc>
          <w:tcPr>
            <w:tcW w:w="1440" w:type="dxa"/>
            <w:vAlign w:val="bottom"/>
          </w:tcPr>
          <w:p>
            <w:pPr>
              <w:jc w:val="right"/>
              <w:ind w:right="79"/>
              <w:spacing w:after="0"/>
              <w:rPr>
                <w:sz w:val="20"/>
                <w:szCs w:val="20"/>
                <w:color w:val="auto"/>
              </w:rPr>
            </w:pPr>
            <w:r>
              <w:rPr>
                <w:rFonts w:ascii="Arial" w:cs="Arial" w:eastAsia="Arial" w:hAnsi="Arial"/>
                <w:sz w:val="16"/>
                <w:szCs w:val="16"/>
                <w:b w:val="1"/>
                <w:bCs w:val="1"/>
                <w:color w:val="auto"/>
              </w:rPr>
              <w:t>Aggregate</w:t>
            </w:r>
          </w:p>
        </w:tc>
      </w:tr>
      <w:tr>
        <w:trPr>
          <w:trHeight w:val="203"/>
        </w:trPr>
        <w:tc>
          <w:tcPr>
            <w:tcW w:w="40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920" w:type="dxa"/>
            <w:vAlign w:val="bottom"/>
          </w:tcPr>
          <w:p>
            <w:pPr>
              <w:jc w:val="right"/>
              <w:ind w:right="419"/>
              <w:spacing w:after="0"/>
              <w:rPr>
                <w:sz w:val="20"/>
                <w:szCs w:val="20"/>
                <w:color w:val="auto"/>
              </w:rPr>
            </w:pPr>
            <w:r>
              <w:rPr>
                <w:rFonts w:ascii="Arial" w:cs="Arial" w:eastAsia="Arial" w:hAnsi="Arial"/>
                <w:sz w:val="16"/>
                <w:szCs w:val="16"/>
                <w:b w:val="1"/>
                <w:bCs w:val="1"/>
                <w:color w:val="auto"/>
              </w:rPr>
              <w:t>average</w:t>
            </w:r>
          </w:p>
        </w:tc>
        <w:tc>
          <w:tcPr>
            <w:tcW w:w="2020" w:type="dxa"/>
            <w:vAlign w:val="bottom"/>
          </w:tcPr>
          <w:p>
            <w:pPr>
              <w:jc w:val="right"/>
              <w:ind w:right="519"/>
              <w:spacing w:after="0"/>
              <w:rPr>
                <w:sz w:val="20"/>
                <w:szCs w:val="20"/>
                <w:color w:val="auto"/>
              </w:rPr>
            </w:pPr>
            <w:r>
              <w:rPr>
                <w:rFonts w:ascii="Arial" w:cs="Arial" w:eastAsia="Arial" w:hAnsi="Arial"/>
                <w:sz w:val="16"/>
                <w:szCs w:val="16"/>
                <w:b w:val="1"/>
                <w:bCs w:val="1"/>
                <w:color w:val="auto"/>
              </w:rPr>
              <w:t>contractual</w:t>
            </w:r>
          </w:p>
        </w:tc>
        <w:tc>
          <w:tcPr>
            <w:tcW w:w="1440" w:type="dxa"/>
            <w:vAlign w:val="bottom"/>
          </w:tcPr>
          <w:p>
            <w:pPr>
              <w:jc w:val="right"/>
              <w:ind w:right="79"/>
              <w:spacing w:after="0"/>
              <w:rPr>
                <w:sz w:val="20"/>
                <w:szCs w:val="20"/>
                <w:color w:val="auto"/>
              </w:rPr>
            </w:pPr>
            <w:r>
              <w:rPr>
                <w:rFonts w:ascii="Arial" w:cs="Arial" w:eastAsia="Arial" w:hAnsi="Arial"/>
                <w:sz w:val="16"/>
                <w:szCs w:val="16"/>
                <w:b w:val="1"/>
                <w:bCs w:val="1"/>
                <w:color w:val="auto"/>
              </w:rPr>
              <w:t>intrinsic</w:t>
            </w:r>
          </w:p>
        </w:tc>
      </w:tr>
      <w:tr>
        <w:trPr>
          <w:trHeight w:val="210"/>
        </w:trPr>
        <w:tc>
          <w:tcPr>
            <w:tcW w:w="4020" w:type="dxa"/>
            <w:vAlign w:val="bottom"/>
          </w:tcPr>
          <w:p>
            <w:pPr>
              <w:spacing w:after="0"/>
              <w:rPr>
                <w:sz w:val="18"/>
                <w:szCs w:val="18"/>
                <w:color w:val="auto"/>
              </w:rPr>
            </w:pPr>
          </w:p>
        </w:tc>
        <w:tc>
          <w:tcPr>
            <w:tcW w:w="2000" w:type="dxa"/>
            <w:vAlign w:val="bottom"/>
          </w:tcPr>
          <w:p>
            <w:pPr>
              <w:jc w:val="right"/>
              <w:ind w:right="439"/>
              <w:spacing w:after="0"/>
              <w:rPr>
                <w:sz w:val="20"/>
                <w:szCs w:val="20"/>
                <w:color w:val="auto"/>
              </w:rPr>
            </w:pPr>
            <w:r>
              <w:rPr>
                <w:rFonts w:ascii="Arial" w:cs="Arial" w:eastAsia="Arial" w:hAnsi="Arial"/>
                <w:sz w:val="16"/>
                <w:szCs w:val="16"/>
                <w:b w:val="1"/>
                <w:bCs w:val="1"/>
                <w:color w:val="auto"/>
              </w:rPr>
              <w:t>Shares</w:t>
            </w:r>
          </w:p>
        </w:tc>
        <w:tc>
          <w:tcPr>
            <w:tcW w:w="1920" w:type="dxa"/>
            <w:vAlign w:val="bottom"/>
          </w:tcPr>
          <w:p>
            <w:pPr>
              <w:jc w:val="right"/>
              <w:ind w:right="419"/>
              <w:spacing w:after="0"/>
              <w:rPr>
                <w:sz w:val="20"/>
                <w:szCs w:val="20"/>
                <w:color w:val="auto"/>
              </w:rPr>
            </w:pPr>
            <w:r>
              <w:rPr>
                <w:rFonts w:ascii="Arial" w:cs="Arial" w:eastAsia="Arial" w:hAnsi="Arial"/>
                <w:sz w:val="16"/>
                <w:szCs w:val="16"/>
                <w:b w:val="1"/>
                <w:bCs w:val="1"/>
                <w:color w:val="auto"/>
              </w:rPr>
              <w:t>exercise price</w:t>
            </w:r>
          </w:p>
        </w:tc>
        <w:tc>
          <w:tcPr>
            <w:tcW w:w="2020" w:type="dxa"/>
            <w:vAlign w:val="bottom"/>
          </w:tcPr>
          <w:p>
            <w:pPr>
              <w:jc w:val="right"/>
              <w:ind w:right="519"/>
              <w:spacing w:after="0"/>
              <w:rPr>
                <w:sz w:val="20"/>
                <w:szCs w:val="20"/>
                <w:color w:val="auto"/>
              </w:rPr>
            </w:pPr>
            <w:r>
              <w:rPr>
                <w:rFonts w:ascii="Arial" w:cs="Arial" w:eastAsia="Arial" w:hAnsi="Arial"/>
                <w:sz w:val="16"/>
                <w:szCs w:val="16"/>
                <w:b w:val="1"/>
                <w:bCs w:val="1"/>
                <w:color w:val="auto"/>
              </w:rPr>
              <w:t>life (years)</w:t>
            </w:r>
          </w:p>
        </w:tc>
        <w:tc>
          <w:tcPr>
            <w:tcW w:w="1440" w:type="dxa"/>
            <w:vAlign w:val="bottom"/>
          </w:tcPr>
          <w:p>
            <w:pPr>
              <w:jc w:val="right"/>
              <w:ind w:right="79"/>
              <w:spacing w:after="0"/>
              <w:rPr>
                <w:sz w:val="20"/>
                <w:szCs w:val="20"/>
                <w:color w:val="auto"/>
              </w:rPr>
            </w:pPr>
            <w:r>
              <w:rPr>
                <w:rFonts w:ascii="Arial" w:cs="Arial" w:eastAsia="Arial" w:hAnsi="Arial"/>
                <w:sz w:val="16"/>
                <w:szCs w:val="16"/>
                <w:b w:val="1"/>
                <w:bCs w:val="1"/>
                <w:color w:val="auto"/>
              </w:rPr>
              <w:t>value</w:t>
            </w:r>
          </w:p>
        </w:tc>
      </w:tr>
      <w:tr>
        <w:trPr>
          <w:trHeight w:val="33"/>
        </w:trPr>
        <w:tc>
          <w:tcPr>
            <w:tcW w:w="402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Outstanding, beginning of year</w:t>
            </w:r>
          </w:p>
        </w:tc>
        <w:tc>
          <w:tcPr>
            <w:tcW w:w="2000" w:type="dxa"/>
            <w:vAlign w:val="bottom"/>
            <w:tcBorders>
              <w:bottom w:val="single" w:sz="8" w:color="CCEEFF"/>
            </w:tcBorders>
            <w:shd w:val="clear" w:color="auto" w:fill="CCEEFF"/>
          </w:tcPr>
          <w:p>
            <w:pPr>
              <w:jc w:val="right"/>
              <w:ind w:right="439"/>
              <w:spacing w:after="0"/>
              <w:rPr>
                <w:sz w:val="20"/>
                <w:szCs w:val="20"/>
                <w:color w:val="auto"/>
              </w:rPr>
            </w:pPr>
            <w:r>
              <w:rPr>
                <w:rFonts w:ascii="Arial" w:cs="Arial" w:eastAsia="Arial" w:hAnsi="Arial"/>
                <w:sz w:val="16"/>
                <w:szCs w:val="16"/>
                <w:b w:val="1"/>
                <w:bCs w:val="1"/>
                <w:color w:val="auto"/>
              </w:rPr>
              <w:t>13.2</w:t>
            </w:r>
          </w:p>
        </w:tc>
        <w:tc>
          <w:tcPr>
            <w:tcW w:w="192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b w:val="1"/>
                <w:bCs w:val="1"/>
                <w:color w:val="auto"/>
              </w:rPr>
              <w:t>$47</w:t>
            </w:r>
          </w:p>
        </w:tc>
        <w:tc>
          <w:tcPr>
            <w:tcW w:w="20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37"/>
        </w:trPr>
        <w:tc>
          <w:tcPr>
            <w:tcW w:w="4020" w:type="dxa"/>
            <w:vAlign w:val="bottom"/>
          </w:tcPr>
          <w:p>
            <w:pPr>
              <w:ind w:left="40"/>
              <w:spacing w:after="0"/>
              <w:rPr>
                <w:sz w:val="20"/>
                <w:szCs w:val="20"/>
                <w:color w:val="auto"/>
              </w:rPr>
            </w:pPr>
            <w:r>
              <w:rPr>
                <w:rFonts w:ascii="Arial" w:cs="Arial" w:eastAsia="Arial" w:hAnsi="Arial"/>
                <w:sz w:val="16"/>
                <w:szCs w:val="16"/>
                <w:color w:val="auto"/>
              </w:rPr>
              <w:t>Granted</w:t>
            </w:r>
          </w:p>
        </w:tc>
        <w:tc>
          <w:tcPr>
            <w:tcW w:w="2000" w:type="dxa"/>
            <w:vAlign w:val="bottom"/>
          </w:tcPr>
          <w:p>
            <w:pPr>
              <w:jc w:val="right"/>
              <w:ind w:right="439"/>
              <w:spacing w:after="0"/>
              <w:rPr>
                <w:sz w:val="20"/>
                <w:szCs w:val="20"/>
                <w:color w:val="auto"/>
              </w:rPr>
            </w:pPr>
            <w:r>
              <w:rPr>
                <w:rFonts w:ascii="Arial" w:cs="Arial" w:eastAsia="Arial" w:hAnsi="Arial"/>
                <w:sz w:val="16"/>
                <w:szCs w:val="16"/>
                <w:b w:val="1"/>
                <w:bCs w:val="1"/>
                <w:color w:val="auto"/>
              </w:rPr>
              <w:t>2.9</w:t>
            </w:r>
          </w:p>
        </w:tc>
        <w:tc>
          <w:tcPr>
            <w:tcW w:w="1920" w:type="dxa"/>
            <w:vAlign w:val="bottom"/>
          </w:tcPr>
          <w:p>
            <w:pPr>
              <w:jc w:val="right"/>
              <w:ind w:right="419"/>
              <w:spacing w:after="0"/>
              <w:rPr>
                <w:sz w:val="20"/>
                <w:szCs w:val="20"/>
                <w:color w:val="auto"/>
              </w:rPr>
            </w:pPr>
            <w:r>
              <w:rPr>
                <w:rFonts w:ascii="Arial" w:cs="Arial" w:eastAsia="Arial" w:hAnsi="Arial"/>
                <w:sz w:val="16"/>
                <w:szCs w:val="16"/>
                <w:b w:val="1"/>
                <w:bCs w:val="1"/>
                <w:color w:val="auto"/>
              </w:rPr>
              <w:t>50</w:t>
            </w:r>
          </w:p>
        </w:tc>
        <w:tc>
          <w:tcPr>
            <w:tcW w:w="202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33"/>
        </w:trPr>
        <w:tc>
          <w:tcPr>
            <w:tcW w:w="40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Exercised</w:t>
            </w:r>
          </w:p>
        </w:tc>
        <w:tc>
          <w:tcPr>
            <w:tcW w:w="2000" w:type="dxa"/>
            <w:vAlign w:val="bottom"/>
            <w:tcBorders>
              <w:bottom w:val="single" w:sz="8" w:color="CCEEFF"/>
            </w:tcBorders>
            <w:shd w:val="clear" w:color="auto" w:fill="CCEEFF"/>
          </w:tcPr>
          <w:p>
            <w:pPr>
              <w:jc w:val="right"/>
              <w:ind w:right="399"/>
              <w:spacing w:after="0"/>
              <w:rPr>
                <w:sz w:val="20"/>
                <w:szCs w:val="20"/>
                <w:color w:val="auto"/>
              </w:rPr>
            </w:pPr>
            <w:r>
              <w:rPr>
                <w:rFonts w:ascii="Arial" w:cs="Arial" w:eastAsia="Arial" w:hAnsi="Arial"/>
                <w:sz w:val="16"/>
                <w:szCs w:val="16"/>
                <w:b w:val="1"/>
                <w:bCs w:val="1"/>
                <w:color w:val="auto"/>
              </w:rPr>
              <w:t>(1.7)</w:t>
            </w:r>
          </w:p>
        </w:tc>
        <w:tc>
          <w:tcPr>
            <w:tcW w:w="192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b w:val="1"/>
                <w:bCs w:val="1"/>
                <w:color w:val="auto"/>
              </w:rPr>
              <w:t>37</w:t>
            </w:r>
          </w:p>
        </w:tc>
        <w:tc>
          <w:tcPr>
            <w:tcW w:w="20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37"/>
        </w:trPr>
        <w:tc>
          <w:tcPr>
            <w:tcW w:w="4020" w:type="dxa"/>
            <w:vAlign w:val="bottom"/>
          </w:tcPr>
          <w:p>
            <w:pPr>
              <w:ind w:left="40"/>
              <w:spacing w:after="0"/>
              <w:rPr>
                <w:sz w:val="20"/>
                <w:szCs w:val="20"/>
                <w:color w:val="auto"/>
              </w:rPr>
            </w:pPr>
            <w:r>
              <w:rPr>
                <w:rFonts w:ascii="Arial" w:cs="Arial" w:eastAsia="Arial" w:hAnsi="Arial"/>
                <w:sz w:val="16"/>
                <w:szCs w:val="16"/>
                <w:color w:val="auto"/>
              </w:rPr>
              <w:t>Forfeited or cancelled</w:t>
            </w:r>
          </w:p>
        </w:tc>
        <w:tc>
          <w:tcPr>
            <w:tcW w:w="2000" w:type="dxa"/>
            <w:vAlign w:val="bottom"/>
          </w:tcPr>
          <w:p>
            <w:pPr>
              <w:jc w:val="right"/>
              <w:ind w:right="399"/>
              <w:spacing w:after="0"/>
              <w:rPr>
                <w:sz w:val="20"/>
                <w:szCs w:val="20"/>
                <w:color w:val="auto"/>
              </w:rPr>
            </w:pPr>
            <w:r>
              <w:rPr>
                <w:rFonts w:ascii="Arial" w:cs="Arial" w:eastAsia="Arial" w:hAnsi="Arial"/>
                <w:sz w:val="16"/>
                <w:szCs w:val="16"/>
                <w:b w:val="1"/>
                <w:bCs w:val="1"/>
                <w:color w:val="auto"/>
              </w:rPr>
              <w:t>(0.9)</w:t>
            </w:r>
          </w:p>
        </w:tc>
        <w:tc>
          <w:tcPr>
            <w:tcW w:w="1920" w:type="dxa"/>
            <w:vAlign w:val="bottom"/>
          </w:tcPr>
          <w:p>
            <w:pPr>
              <w:jc w:val="right"/>
              <w:ind w:right="419"/>
              <w:spacing w:after="0"/>
              <w:rPr>
                <w:sz w:val="20"/>
                <w:szCs w:val="20"/>
                <w:color w:val="auto"/>
              </w:rPr>
            </w:pPr>
            <w:r>
              <w:rPr>
                <w:rFonts w:ascii="Arial" w:cs="Arial" w:eastAsia="Arial" w:hAnsi="Arial"/>
                <w:sz w:val="16"/>
                <w:szCs w:val="16"/>
                <w:b w:val="1"/>
                <w:bCs w:val="1"/>
                <w:color w:val="auto"/>
              </w:rPr>
              <w:t>57</w:t>
            </w:r>
          </w:p>
        </w:tc>
        <w:tc>
          <w:tcPr>
            <w:tcW w:w="202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33"/>
        </w:trPr>
        <w:tc>
          <w:tcPr>
            <w:tcW w:w="402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69"/>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Outstanding, end of year</w:t>
            </w:r>
          </w:p>
        </w:tc>
        <w:tc>
          <w:tcPr>
            <w:tcW w:w="2000" w:type="dxa"/>
            <w:vAlign w:val="bottom"/>
            <w:tcBorders>
              <w:bottom w:val="single" w:sz="8" w:color="CCEEFF"/>
            </w:tcBorders>
            <w:shd w:val="clear" w:color="auto" w:fill="CCEEFF"/>
          </w:tcPr>
          <w:p>
            <w:pPr>
              <w:jc w:val="right"/>
              <w:ind w:right="439"/>
              <w:spacing w:after="0"/>
              <w:rPr>
                <w:sz w:val="20"/>
                <w:szCs w:val="20"/>
                <w:color w:val="auto"/>
              </w:rPr>
            </w:pPr>
            <w:r>
              <w:rPr>
                <w:rFonts w:ascii="Arial" w:cs="Arial" w:eastAsia="Arial" w:hAnsi="Arial"/>
                <w:sz w:val="16"/>
                <w:szCs w:val="16"/>
                <w:b w:val="1"/>
                <w:bCs w:val="1"/>
                <w:color w:val="auto"/>
              </w:rPr>
              <w:t>13.5</w:t>
            </w:r>
          </w:p>
        </w:tc>
        <w:tc>
          <w:tcPr>
            <w:tcW w:w="192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b w:val="1"/>
                <w:bCs w:val="1"/>
                <w:color w:val="auto"/>
              </w:rPr>
              <w:t>$48</w:t>
            </w:r>
          </w:p>
        </w:tc>
        <w:tc>
          <w:tcPr>
            <w:tcW w:w="2020" w:type="dxa"/>
            <w:vAlign w:val="bottom"/>
            <w:tcBorders>
              <w:bottom w:val="single" w:sz="8" w:color="CCEEFF"/>
            </w:tcBorders>
            <w:shd w:val="clear" w:color="auto" w:fill="CCEEFF"/>
          </w:tcPr>
          <w:p>
            <w:pPr>
              <w:jc w:val="right"/>
              <w:ind w:right="519"/>
              <w:spacing w:after="0"/>
              <w:rPr>
                <w:sz w:val="20"/>
                <w:szCs w:val="20"/>
                <w:color w:val="auto"/>
              </w:rPr>
            </w:pPr>
            <w:r>
              <w:rPr>
                <w:rFonts w:ascii="Arial" w:cs="Arial" w:eastAsia="Arial" w:hAnsi="Arial"/>
                <w:sz w:val="16"/>
                <w:szCs w:val="16"/>
                <w:b w:val="1"/>
                <w:bCs w:val="1"/>
                <w:color w:val="auto"/>
              </w:rPr>
              <w:t>6</w:t>
            </w: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$45</w:t>
            </w:r>
          </w:p>
        </w:tc>
      </w:tr>
      <w:tr>
        <w:trPr>
          <w:trHeight w:val="231"/>
        </w:trPr>
        <w:tc>
          <w:tcPr>
            <w:tcW w:w="402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Exercisable, end of year</w:t>
            </w:r>
          </w:p>
        </w:tc>
        <w:tc>
          <w:tcPr>
            <w:tcW w:w="2000" w:type="dxa"/>
            <w:vAlign w:val="bottom"/>
            <w:tcBorders>
              <w:top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8.1</w:t>
            </w:r>
          </w:p>
        </w:tc>
        <w:tc>
          <w:tcPr>
            <w:tcW w:w="1920" w:type="dxa"/>
            <w:vAlign w:val="bottom"/>
            <w:tcBorders>
              <w:top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$43</w:t>
            </w:r>
          </w:p>
        </w:tc>
        <w:tc>
          <w:tcPr>
            <w:tcW w:w="2020" w:type="dxa"/>
            <w:vAlign w:val="bottom"/>
            <w:tcBorders>
              <w:top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5</w:t>
            </w:r>
          </w:p>
        </w:tc>
        <w:tc>
          <w:tcPr>
            <w:tcW w:w="14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$43</w:t>
            </w:r>
          </w:p>
        </w:tc>
      </w:tr>
      <w:tr>
        <w:trPr>
          <w:trHeight w:val="33"/>
        </w:trPr>
        <w:tc>
          <w:tcPr>
            <w:tcW w:w="402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69"/>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Vested or expected to vest, end of year</w:t>
            </w:r>
          </w:p>
        </w:tc>
        <w:tc>
          <w:tcPr>
            <w:tcW w:w="2000" w:type="dxa"/>
            <w:vAlign w:val="bottom"/>
            <w:tcBorders>
              <w:bottom w:val="single" w:sz="8" w:color="CCEEFF"/>
            </w:tcBorders>
            <w:shd w:val="clear" w:color="auto" w:fill="CCEEFF"/>
          </w:tcPr>
          <w:p>
            <w:pPr>
              <w:jc w:val="right"/>
              <w:ind w:right="439"/>
              <w:spacing w:after="0"/>
              <w:rPr>
                <w:sz w:val="20"/>
                <w:szCs w:val="20"/>
                <w:color w:val="auto"/>
              </w:rPr>
            </w:pPr>
            <w:r>
              <w:rPr>
                <w:rFonts w:ascii="Arial" w:cs="Arial" w:eastAsia="Arial" w:hAnsi="Arial"/>
                <w:sz w:val="16"/>
                <w:szCs w:val="16"/>
                <w:b w:val="1"/>
                <w:bCs w:val="1"/>
                <w:color w:val="auto"/>
              </w:rPr>
              <w:t>13.0</w:t>
            </w:r>
          </w:p>
        </w:tc>
        <w:tc>
          <w:tcPr>
            <w:tcW w:w="192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b w:val="1"/>
                <w:bCs w:val="1"/>
                <w:color w:val="auto"/>
              </w:rPr>
              <w:t>$48</w:t>
            </w:r>
          </w:p>
        </w:tc>
        <w:tc>
          <w:tcPr>
            <w:tcW w:w="2020" w:type="dxa"/>
            <w:vAlign w:val="bottom"/>
            <w:tcBorders>
              <w:bottom w:val="single" w:sz="8" w:color="CCEEFF"/>
            </w:tcBorders>
            <w:shd w:val="clear" w:color="auto" w:fill="CCEEFF"/>
          </w:tcPr>
          <w:p>
            <w:pPr>
              <w:jc w:val="right"/>
              <w:ind w:right="519"/>
              <w:spacing w:after="0"/>
              <w:rPr>
                <w:sz w:val="20"/>
                <w:szCs w:val="20"/>
                <w:color w:val="auto"/>
              </w:rPr>
            </w:pPr>
            <w:r>
              <w:rPr>
                <w:rFonts w:ascii="Arial" w:cs="Arial" w:eastAsia="Arial" w:hAnsi="Arial"/>
                <w:sz w:val="16"/>
                <w:szCs w:val="16"/>
                <w:b w:val="1"/>
                <w:bCs w:val="1"/>
                <w:color w:val="auto"/>
              </w:rPr>
              <w:t>6</w:t>
            </w: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$45</w:t>
            </w:r>
          </w:p>
        </w:tc>
      </w:tr>
      <w:tr>
        <w:trPr>
          <w:trHeight w:val="528"/>
        </w:trPr>
        <w:tc>
          <w:tcPr>
            <w:tcW w:w="402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Fiscal year</w:t>
            </w:r>
          </w:p>
        </w:tc>
        <w:tc>
          <w:tcPr>
            <w:tcW w:w="2000" w:type="dxa"/>
            <w:vAlign w:val="bottom"/>
            <w:tcBorders>
              <w:top w:val="single" w:sz="8" w:color="auto"/>
            </w:tcBorders>
          </w:tcPr>
          <w:p>
            <w:pPr>
              <w:spacing w:after="0"/>
              <w:rPr>
                <w:sz w:val="24"/>
                <w:szCs w:val="24"/>
                <w:color w:val="auto"/>
              </w:rPr>
            </w:pPr>
          </w:p>
        </w:tc>
        <w:tc>
          <w:tcPr>
            <w:tcW w:w="1920" w:type="dxa"/>
            <w:vAlign w:val="bottom"/>
            <w:tcBorders>
              <w:top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2016</w:t>
            </w:r>
          </w:p>
        </w:tc>
        <w:tc>
          <w:tcPr>
            <w:tcW w:w="2020" w:type="dxa"/>
            <w:vAlign w:val="bottom"/>
            <w:tcBorders>
              <w:top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2015</w:t>
            </w:r>
          </w:p>
        </w:tc>
        <w:tc>
          <w:tcPr>
            <w:tcW w:w="14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2014</w:t>
            </w:r>
          </w:p>
        </w:tc>
      </w:tr>
      <w:tr>
        <w:trPr>
          <w:trHeight w:val="33"/>
        </w:trPr>
        <w:tc>
          <w:tcPr>
            <w:tcW w:w="402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Aggregate intrinsic value of options exercised</w:t>
            </w:r>
          </w:p>
        </w:tc>
        <w:tc>
          <w:tcPr>
            <w:tcW w:w="200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b w:val="1"/>
                <w:bCs w:val="1"/>
                <w:color w:val="auto"/>
              </w:rPr>
              <w:t>$30</w:t>
            </w:r>
          </w:p>
        </w:tc>
        <w:tc>
          <w:tcPr>
            <w:tcW w:w="2020" w:type="dxa"/>
            <w:vAlign w:val="bottom"/>
            <w:tcBorders>
              <w:bottom w:val="single" w:sz="8" w:color="CCEEFF"/>
            </w:tcBorders>
            <w:shd w:val="clear" w:color="auto" w:fill="CCEEFF"/>
          </w:tcPr>
          <w:p>
            <w:pPr>
              <w:jc w:val="right"/>
              <w:ind w:right="519"/>
              <w:spacing w:after="0"/>
              <w:rPr>
                <w:sz w:val="20"/>
                <w:szCs w:val="20"/>
                <w:color w:val="auto"/>
              </w:rPr>
            </w:pPr>
            <w:r>
              <w:rPr>
                <w:rFonts w:ascii="Arial" w:cs="Arial" w:eastAsia="Arial" w:hAnsi="Arial"/>
                <w:sz w:val="16"/>
                <w:szCs w:val="16"/>
                <w:color w:val="auto"/>
              </w:rPr>
              <w:t>$62</w:t>
            </w: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$97</w:t>
            </w:r>
          </w:p>
        </w:tc>
      </w:tr>
      <w:tr>
        <w:trPr>
          <w:trHeight w:val="237"/>
        </w:trPr>
        <w:tc>
          <w:tcPr>
            <w:tcW w:w="4020" w:type="dxa"/>
            <w:vAlign w:val="bottom"/>
          </w:tcPr>
          <w:p>
            <w:pPr>
              <w:ind w:left="40"/>
              <w:spacing w:after="0"/>
              <w:rPr>
                <w:sz w:val="20"/>
                <w:szCs w:val="20"/>
                <w:color w:val="auto"/>
              </w:rPr>
            </w:pPr>
            <w:r>
              <w:rPr>
                <w:rFonts w:ascii="Arial" w:cs="Arial" w:eastAsia="Arial" w:hAnsi="Arial"/>
                <w:sz w:val="16"/>
                <w:szCs w:val="16"/>
                <w:color w:val="auto"/>
              </w:rPr>
              <w:t>Fair value of stock options vested</w:t>
            </w:r>
          </w:p>
        </w:tc>
        <w:tc>
          <w:tcPr>
            <w:tcW w:w="2000" w:type="dxa"/>
            <w:vAlign w:val="bottom"/>
          </w:tcPr>
          <w:p>
            <w:pPr>
              <w:spacing w:after="0"/>
              <w:rPr>
                <w:sz w:val="20"/>
                <w:szCs w:val="20"/>
                <w:color w:val="auto"/>
              </w:rPr>
            </w:pPr>
          </w:p>
        </w:tc>
        <w:tc>
          <w:tcPr>
            <w:tcW w:w="1920" w:type="dxa"/>
            <w:vAlign w:val="bottom"/>
          </w:tcPr>
          <w:p>
            <w:pPr>
              <w:jc w:val="right"/>
              <w:ind w:right="419"/>
              <w:spacing w:after="0"/>
              <w:rPr>
                <w:sz w:val="20"/>
                <w:szCs w:val="20"/>
                <w:color w:val="auto"/>
              </w:rPr>
            </w:pPr>
            <w:r>
              <w:rPr>
                <w:rFonts w:ascii="Arial" w:cs="Arial" w:eastAsia="Arial" w:hAnsi="Arial"/>
                <w:sz w:val="16"/>
                <w:szCs w:val="16"/>
                <w:b w:val="1"/>
                <w:bCs w:val="1"/>
                <w:color w:val="auto"/>
              </w:rPr>
              <w:t>$40</w:t>
            </w:r>
          </w:p>
        </w:tc>
        <w:tc>
          <w:tcPr>
            <w:tcW w:w="2020" w:type="dxa"/>
            <w:vAlign w:val="bottom"/>
          </w:tcPr>
          <w:p>
            <w:pPr>
              <w:jc w:val="right"/>
              <w:ind w:right="519"/>
              <w:spacing w:after="0"/>
              <w:rPr>
                <w:sz w:val="20"/>
                <w:szCs w:val="20"/>
                <w:color w:val="auto"/>
              </w:rPr>
            </w:pPr>
            <w:r>
              <w:rPr>
                <w:rFonts w:ascii="Arial" w:cs="Arial" w:eastAsia="Arial" w:hAnsi="Arial"/>
                <w:sz w:val="16"/>
                <w:szCs w:val="16"/>
                <w:color w:val="auto"/>
              </w:rPr>
              <w:t>$44</w:t>
            </w: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$41</w:t>
            </w:r>
          </w:p>
        </w:tc>
      </w:tr>
      <w:tr>
        <w:trPr>
          <w:trHeight w:val="33"/>
        </w:trPr>
        <w:tc>
          <w:tcPr>
            <w:tcW w:w="402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As of January 28, 2017, the total unrecognized stock-based compensation expense related to nonvested stock options was $55, which is expected to be recognized over a weighted-average period of 28 months.</w:t>
      </w:r>
    </w:p>
    <w:p>
      <w:pPr>
        <w:sectPr>
          <w:pgSz w:w="11900" w:h="16838" w:orient="portrait"/>
          <w:cols w:equalWidth="0" w:num="1">
            <w:col w:w="11420"/>
          </w:cols>
          <w:pgMar w:left="240" w:top="126" w:right="239" w:bottom="1440" w:gutter="0" w:footer="0" w:header="0"/>
          <w:type w:val="continuous"/>
        </w:sect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56</w:t>
      </w:r>
    </w:p>
    <w:p>
      <w:pPr>
        <w:sectPr>
          <w:pgSz w:w="11900" w:h="16838" w:orient="portrait"/>
          <w:cols w:equalWidth="0" w:num="1">
            <w:col w:w="11420"/>
          </w:cols>
          <w:pgMar w:left="240" w:top="126" w:right="239" w:bottom="1440" w:gutter="0" w:footer="0" w:header="0"/>
          <w:type w:val="continuous"/>
        </w:sectPr>
      </w:pPr>
    </w:p>
    <w:bookmarkStart w:id="57" w:name="page58"/>
    <w:bookmarkEnd w:id="57"/>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Nordstrom, Inc.</w:t>
      </w:r>
    </w:p>
    <w:p>
      <w:pPr>
        <w:spacing w:after="0" w:line="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rPr>
          <w:sz w:val="20"/>
          <w:szCs w:val="20"/>
          <w:color w:val="auto"/>
        </w:rPr>
      </w:pPr>
      <w:r>
        <w:rPr>
          <w:rFonts w:ascii="Arial" w:cs="Arial" w:eastAsia="Arial" w:hAnsi="Arial"/>
          <w:sz w:val="18"/>
          <w:szCs w:val="18"/>
          <w:color w:val="auto"/>
        </w:rPr>
        <w:t>Dollar and share amounts in millions except per share, per option and per unit amounts</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w:t>
      </w:r>
    </w:p>
    <w:p>
      <w:pPr>
        <w:spacing w:after="0" w:line="27" w:lineRule="exact"/>
        <w:rPr>
          <w:sz w:val="20"/>
          <w:szCs w:val="20"/>
          <w:color w:val="auto"/>
        </w:rPr>
      </w:pPr>
    </w:p>
    <w:p>
      <w:pPr>
        <w:jc w:val="both"/>
        <w:ind w:right="100"/>
        <w:spacing w:after="0" w:line="255" w:lineRule="auto"/>
        <w:rPr>
          <w:sz w:val="20"/>
          <w:szCs w:val="20"/>
          <w:color w:val="auto"/>
        </w:rPr>
      </w:pPr>
      <w:r>
        <w:rPr>
          <w:rFonts w:ascii="Arial" w:cs="Arial" w:eastAsia="Arial" w:hAnsi="Arial"/>
          <w:sz w:val="18"/>
          <w:szCs w:val="18"/>
          <w:color w:val="auto"/>
        </w:rPr>
        <w:t>Our Compensation Committee of our Board of Directors approves grants of restricted stock units to employees. The number of units granted to an individual are determined based upon a percentage of the recipient’s base salary and the fair value of the restricted stock. Restricted stock units typically vest over four years.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A summary of restricted stock unit activity for 2016 is presented below:</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480" w:type="dxa"/>
            <w:vAlign w:val="bottom"/>
          </w:tcPr>
          <w:p>
            <w:pPr>
              <w:ind w:left="40"/>
              <w:spacing w:after="0"/>
              <w:rPr>
                <w:sz w:val="20"/>
                <w:szCs w:val="20"/>
                <w:color w:val="auto"/>
              </w:rPr>
            </w:pPr>
            <w:r>
              <w:rPr>
                <w:rFonts w:ascii="Arial" w:cs="Arial" w:eastAsia="Arial" w:hAnsi="Arial"/>
                <w:sz w:val="16"/>
                <w:szCs w:val="16"/>
                <w:b w:val="1"/>
                <w:bCs w:val="1"/>
                <w:color w:val="auto"/>
              </w:rPr>
              <w:t>Fiscal year</w:t>
            </w:r>
          </w:p>
        </w:tc>
        <w:tc>
          <w:tcPr>
            <w:tcW w:w="5940" w:type="dxa"/>
            <w:vAlign w:val="bottom"/>
            <w:gridSpan w:val="2"/>
          </w:tcPr>
          <w:p>
            <w:pPr>
              <w:jc w:val="right"/>
              <w:ind w:right="1619"/>
              <w:spacing w:after="0"/>
              <w:rPr>
                <w:sz w:val="20"/>
                <w:szCs w:val="20"/>
                <w:color w:val="auto"/>
              </w:rPr>
            </w:pPr>
            <w:r>
              <w:rPr>
                <w:rFonts w:ascii="Arial" w:cs="Arial" w:eastAsia="Arial" w:hAnsi="Arial"/>
                <w:sz w:val="16"/>
                <w:szCs w:val="16"/>
                <w:b w:val="1"/>
                <w:bCs w:val="1"/>
                <w:color w:val="auto"/>
              </w:rPr>
              <w:t>2016</w:t>
            </w:r>
          </w:p>
        </w:tc>
      </w:tr>
      <w:tr>
        <w:trPr>
          <w:trHeight w:val="33"/>
        </w:trPr>
        <w:tc>
          <w:tcPr>
            <w:tcW w:w="5480" w:type="dxa"/>
            <w:vAlign w:val="bottom"/>
            <w:tcBorders>
              <w:bottom w:val="single" w:sz="8" w:color="auto"/>
            </w:tcBorders>
          </w:tcPr>
          <w:p>
            <w:pPr>
              <w:spacing w:after="0"/>
              <w:rPr>
                <w:sz w:val="2"/>
                <w:szCs w:val="2"/>
                <w:color w:val="auto"/>
              </w:rPr>
            </w:pPr>
          </w:p>
        </w:tc>
        <w:tc>
          <w:tcPr>
            <w:tcW w:w="40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09"/>
        </w:trPr>
        <w:tc>
          <w:tcPr>
            <w:tcW w:w="548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880" w:type="dxa"/>
            <w:vAlign w:val="bottom"/>
          </w:tcPr>
          <w:p>
            <w:pPr>
              <w:jc w:val="right"/>
              <w:ind w:right="19"/>
              <w:spacing w:after="0"/>
              <w:rPr>
                <w:sz w:val="20"/>
                <w:szCs w:val="20"/>
                <w:color w:val="auto"/>
              </w:rPr>
            </w:pPr>
            <w:r>
              <w:rPr>
                <w:rFonts w:ascii="Arial" w:cs="Arial" w:eastAsia="Arial" w:hAnsi="Arial"/>
                <w:sz w:val="16"/>
                <w:szCs w:val="16"/>
                <w:b w:val="1"/>
                <w:bCs w:val="1"/>
                <w:color w:val="auto"/>
                <w:w w:val="96"/>
              </w:rPr>
              <w:t>Weighted-average grant</w:t>
            </w:r>
          </w:p>
        </w:tc>
      </w:tr>
      <w:tr>
        <w:trPr>
          <w:trHeight w:val="210"/>
        </w:trPr>
        <w:tc>
          <w:tcPr>
            <w:tcW w:w="5480" w:type="dxa"/>
            <w:vAlign w:val="bottom"/>
          </w:tcPr>
          <w:p>
            <w:pPr>
              <w:spacing w:after="0"/>
              <w:rPr>
                <w:sz w:val="18"/>
                <w:szCs w:val="18"/>
                <w:color w:val="auto"/>
              </w:rPr>
            </w:pPr>
          </w:p>
        </w:tc>
        <w:tc>
          <w:tcPr>
            <w:tcW w:w="4060" w:type="dxa"/>
            <w:vAlign w:val="bottom"/>
          </w:tcPr>
          <w:p>
            <w:pPr>
              <w:jc w:val="right"/>
              <w:ind w:right="79"/>
              <w:spacing w:after="0"/>
              <w:rPr>
                <w:sz w:val="20"/>
                <w:szCs w:val="20"/>
                <w:color w:val="auto"/>
              </w:rPr>
            </w:pPr>
            <w:r>
              <w:rPr>
                <w:rFonts w:ascii="Arial" w:cs="Arial" w:eastAsia="Arial" w:hAnsi="Arial"/>
                <w:sz w:val="16"/>
                <w:szCs w:val="16"/>
                <w:b w:val="1"/>
                <w:bCs w:val="1"/>
                <w:color w:val="auto"/>
              </w:rPr>
              <w:t>Shares</w:t>
            </w:r>
          </w:p>
        </w:tc>
        <w:tc>
          <w:tcPr>
            <w:tcW w:w="1880" w:type="dxa"/>
            <w:vAlign w:val="bottom"/>
          </w:tcPr>
          <w:p>
            <w:pPr>
              <w:jc w:val="right"/>
              <w:ind w:right="19"/>
              <w:spacing w:after="0"/>
              <w:rPr>
                <w:sz w:val="20"/>
                <w:szCs w:val="20"/>
                <w:color w:val="auto"/>
              </w:rPr>
            </w:pPr>
            <w:r>
              <w:rPr>
                <w:rFonts w:ascii="Arial" w:cs="Arial" w:eastAsia="Arial" w:hAnsi="Arial"/>
                <w:sz w:val="16"/>
                <w:szCs w:val="16"/>
                <w:b w:val="1"/>
                <w:bCs w:val="1"/>
                <w:color w:val="auto"/>
              </w:rPr>
              <w:t>date fair value per unit</w:t>
            </w:r>
          </w:p>
        </w:tc>
      </w:tr>
      <w:tr>
        <w:trPr>
          <w:trHeight w:val="33"/>
        </w:trPr>
        <w:tc>
          <w:tcPr>
            <w:tcW w:w="5480" w:type="dxa"/>
            <w:vAlign w:val="bottom"/>
            <w:tcBorders>
              <w:bottom w:val="single" w:sz="8" w:color="auto"/>
            </w:tcBorders>
          </w:tcPr>
          <w:p>
            <w:pPr>
              <w:spacing w:after="0"/>
              <w:rPr>
                <w:sz w:val="2"/>
                <w:szCs w:val="2"/>
                <w:color w:val="auto"/>
              </w:rPr>
            </w:pPr>
          </w:p>
        </w:tc>
        <w:tc>
          <w:tcPr>
            <w:tcW w:w="40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44"/>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Outstanding, beginning of year</w:t>
            </w:r>
          </w:p>
        </w:tc>
        <w:tc>
          <w:tcPr>
            <w:tcW w:w="40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0.9</w:t>
            </w:r>
          </w:p>
        </w:tc>
        <w:tc>
          <w:tcPr>
            <w:tcW w:w="1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$66</w:t>
            </w:r>
          </w:p>
        </w:tc>
      </w:tr>
      <w:tr>
        <w:trPr>
          <w:trHeight w:val="237"/>
        </w:trPr>
        <w:tc>
          <w:tcPr>
            <w:tcW w:w="5480" w:type="dxa"/>
            <w:vAlign w:val="bottom"/>
          </w:tcPr>
          <w:p>
            <w:pPr>
              <w:ind w:left="40"/>
              <w:spacing w:after="0"/>
              <w:rPr>
                <w:sz w:val="20"/>
                <w:szCs w:val="20"/>
                <w:color w:val="auto"/>
              </w:rPr>
            </w:pPr>
            <w:r>
              <w:rPr>
                <w:rFonts w:ascii="Arial" w:cs="Arial" w:eastAsia="Arial" w:hAnsi="Arial"/>
                <w:sz w:val="16"/>
                <w:szCs w:val="16"/>
                <w:color w:val="auto"/>
              </w:rPr>
              <w:t>Granted</w:t>
            </w:r>
          </w:p>
        </w:tc>
        <w:tc>
          <w:tcPr>
            <w:tcW w:w="4060" w:type="dxa"/>
            <w:vAlign w:val="bottom"/>
          </w:tcPr>
          <w:p>
            <w:pPr>
              <w:jc w:val="right"/>
              <w:ind w:right="79"/>
              <w:spacing w:after="0"/>
              <w:rPr>
                <w:sz w:val="20"/>
                <w:szCs w:val="20"/>
                <w:color w:val="auto"/>
              </w:rPr>
            </w:pPr>
            <w:r>
              <w:rPr>
                <w:rFonts w:ascii="Arial" w:cs="Arial" w:eastAsia="Arial" w:hAnsi="Arial"/>
                <w:sz w:val="16"/>
                <w:szCs w:val="16"/>
                <w:b w:val="1"/>
                <w:bCs w:val="1"/>
                <w:color w:val="auto"/>
              </w:rPr>
              <w:t>1.9</w:t>
            </w:r>
          </w:p>
        </w:tc>
        <w:tc>
          <w:tcPr>
            <w:tcW w:w="1880" w:type="dxa"/>
            <w:vAlign w:val="bottom"/>
          </w:tcPr>
          <w:p>
            <w:pPr>
              <w:jc w:val="right"/>
              <w:ind w:right="19"/>
              <w:spacing w:after="0"/>
              <w:rPr>
                <w:sz w:val="20"/>
                <w:szCs w:val="20"/>
                <w:color w:val="auto"/>
              </w:rPr>
            </w:pPr>
            <w:r>
              <w:rPr>
                <w:rFonts w:ascii="Arial" w:cs="Arial" w:eastAsia="Arial" w:hAnsi="Arial"/>
                <w:sz w:val="16"/>
                <w:szCs w:val="16"/>
                <w:b w:val="1"/>
                <w:bCs w:val="1"/>
                <w:color w:val="auto"/>
              </w:rPr>
              <w:t>44</w:t>
            </w:r>
          </w:p>
        </w:tc>
      </w:tr>
      <w:tr>
        <w:trPr>
          <w:trHeight w:val="33"/>
        </w:trPr>
        <w:tc>
          <w:tcPr>
            <w:tcW w:w="5480" w:type="dxa"/>
            <w:vAlign w:val="bottom"/>
          </w:tcPr>
          <w:p>
            <w:pPr>
              <w:spacing w:after="0"/>
              <w:rPr>
                <w:sz w:val="2"/>
                <w:szCs w:val="2"/>
                <w:color w:val="auto"/>
              </w:rPr>
            </w:pPr>
          </w:p>
        </w:tc>
        <w:tc>
          <w:tcPr>
            <w:tcW w:w="406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Vested</w:t>
            </w:r>
          </w:p>
        </w:tc>
        <w:tc>
          <w:tcPr>
            <w:tcW w:w="4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(0.3)</w:t>
            </w:r>
          </w:p>
        </w:tc>
        <w:tc>
          <w:tcPr>
            <w:tcW w:w="1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65</w:t>
            </w:r>
          </w:p>
        </w:tc>
      </w:tr>
      <w:tr>
        <w:trPr>
          <w:trHeight w:val="237"/>
        </w:trPr>
        <w:tc>
          <w:tcPr>
            <w:tcW w:w="5480" w:type="dxa"/>
            <w:vAlign w:val="bottom"/>
          </w:tcPr>
          <w:p>
            <w:pPr>
              <w:ind w:left="40"/>
              <w:spacing w:after="0"/>
              <w:rPr>
                <w:sz w:val="20"/>
                <w:szCs w:val="20"/>
                <w:color w:val="auto"/>
              </w:rPr>
            </w:pPr>
            <w:r>
              <w:rPr>
                <w:rFonts w:ascii="Arial" w:cs="Arial" w:eastAsia="Arial" w:hAnsi="Arial"/>
                <w:sz w:val="16"/>
                <w:szCs w:val="16"/>
                <w:color w:val="auto"/>
              </w:rPr>
              <w:t>Forfeited or cancelled</w:t>
            </w:r>
          </w:p>
        </w:tc>
        <w:tc>
          <w:tcPr>
            <w:tcW w:w="4060" w:type="dxa"/>
            <w:vAlign w:val="bottom"/>
          </w:tcPr>
          <w:p>
            <w:pPr>
              <w:jc w:val="right"/>
              <w:ind w:right="19"/>
              <w:spacing w:after="0"/>
              <w:rPr>
                <w:sz w:val="20"/>
                <w:szCs w:val="20"/>
                <w:color w:val="auto"/>
              </w:rPr>
            </w:pPr>
            <w:r>
              <w:rPr>
                <w:rFonts w:ascii="Arial" w:cs="Arial" w:eastAsia="Arial" w:hAnsi="Arial"/>
                <w:sz w:val="16"/>
                <w:szCs w:val="16"/>
                <w:b w:val="1"/>
                <w:bCs w:val="1"/>
                <w:color w:val="auto"/>
              </w:rPr>
              <w:t>(0.2)</w:t>
            </w:r>
          </w:p>
        </w:tc>
        <w:tc>
          <w:tcPr>
            <w:tcW w:w="1880" w:type="dxa"/>
            <w:vAlign w:val="bottom"/>
          </w:tcPr>
          <w:p>
            <w:pPr>
              <w:jc w:val="right"/>
              <w:ind w:right="19"/>
              <w:spacing w:after="0"/>
              <w:rPr>
                <w:sz w:val="20"/>
                <w:szCs w:val="20"/>
                <w:color w:val="auto"/>
              </w:rPr>
            </w:pPr>
            <w:r>
              <w:rPr>
                <w:rFonts w:ascii="Arial" w:cs="Arial" w:eastAsia="Arial" w:hAnsi="Arial"/>
                <w:sz w:val="16"/>
                <w:szCs w:val="16"/>
                <w:b w:val="1"/>
                <w:bCs w:val="1"/>
                <w:color w:val="auto"/>
              </w:rPr>
              <w:t>55</w:t>
            </w:r>
          </w:p>
        </w:tc>
      </w:tr>
      <w:tr>
        <w:trPr>
          <w:trHeight w:val="33"/>
        </w:trPr>
        <w:tc>
          <w:tcPr>
            <w:tcW w:w="5480" w:type="dxa"/>
            <w:vAlign w:val="bottom"/>
            <w:tcBorders>
              <w:bottom w:val="single" w:sz="8" w:color="auto"/>
            </w:tcBorders>
          </w:tcPr>
          <w:p>
            <w:pPr>
              <w:spacing w:after="0"/>
              <w:rPr>
                <w:sz w:val="2"/>
                <w:szCs w:val="2"/>
                <w:color w:val="auto"/>
              </w:rPr>
            </w:pPr>
          </w:p>
        </w:tc>
        <w:tc>
          <w:tcPr>
            <w:tcW w:w="40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44"/>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Outstanding, end of year</w:t>
            </w:r>
          </w:p>
        </w:tc>
        <w:tc>
          <w:tcPr>
            <w:tcW w:w="40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2.3</w:t>
            </w:r>
          </w:p>
        </w:tc>
        <w:tc>
          <w:tcPr>
            <w:tcW w:w="1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$49</w:t>
            </w:r>
          </w:p>
        </w:tc>
      </w:tr>
      <w:tr>
        <w:trPr>
          <w:trHeight w:val="20"/>
        </w:trPr>
        <w:tc>
          <w:tcPr>
            <w:tcW w:w="5480" w:type="dxa"/>
            <w:vAlign w:val="bottom"/>
            <w:shd w:val="clear" w:color="auto" w:fill="000000"/>
          </w:tcPr>
          <w:p>
            <w:pPr>
              <w:spacing w:after="0" w:line="20" w:lineRule="exact"/>
              <w:rPr>
                <w:sz w:val="1"/>
                <w:szCs w:val="1"/>
                <w:color w:val="auto"/>
              </w:rPr>
            </w:pPr>
          </w:p>
        </w:tc>
        <w:tc>
          <w:tcPr>
            <w:tcW w:w="4060" w:type="dxa"/>
            <w:vAlign w:val="bottom"/>
            <w:shd w:val="clear" w:color="auto" w:fill="000000"/>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r>
    </w:tbl>
    <w:p>
      <w:pPr>
        <w:spacing w:after="0" w:line="148"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The aggregate fair value of restricted stock units vested during 2016, 2015 and 2014 was $17, $11, and $1. As of January 28, 2017 and January 30, 2016, there were 0.1 and 0.3 awards outstanding which were issued to employees as part of the Trunk Club acquisition in 2014. As of January 28, 2017, the total unrecognized stock-based compensation expense related to nonvested restricted stock units and awards was $86 and less than $1, which is expected to be recognized over a weighted-average period of 29 months and seven months.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Share Units</w:t>
      </w:r>
    </w:p>
    <w:p>
      <w:pPr>
        <w:spacing w:after="0" w:line="27"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We grant performance share units to executive officers as one of the ways to align compensation with shareholder interests. Performance share units are earned after a three-year performance cycle only when our total shareholder return (reflecting daily stock price appreciation and compounded reinvestment of dividends) outperforms companies in a defined peer group determined by the Compensation Committee of our Board of Directors. The percentage of units that are earned depends on our relative position at the end of the performance cycle and can range from 0% to 175% of the number of units granted. Beginning in 2016, performance share units are payable only in Company stock and are classified as equity awards.</w:t>
      </w:r>
    </w:p>
    <w:p>
      <w:pPr>
        <w:spacing w:after="0" w:line="17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Our 2015 and 2014 performance share units, which are liability-based awards, are remeasured, with a corresponding adjustment to earnings, at each fiscal quarter-end during the performance cycle. The performance share unit liability is remeasured using the estimated percentage of units earned multiplied by the closing market price of our common stock on the current period-end date and is pro-rated based on the amount of time that has passed in the vesting period. The price used to determine the amount of cash or stock settled for the performance share units upon vesting is the closing market price of our common stock on the last day of the performance cycle.</w:t>
      </w:r>
    </w:p>
    <w:p>
      <w:pPr>
        <w:spacing w:after="0" w:line="13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summary of performance share unit activity, which assumes performance share units vest at 100% of the number of units granted:</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680" w:type="dxa"/>
            <w:vAlign w:val="bottom"/>
          </w:tcPr>
          <w:p>
            <w:pPr>
              <w:ind w:left="40"/>
              <w:spacing w:after="0"/>
              <w:rPr>
                <w:sz w:val="20"/>
                <w:szCs w:val="20"/>
                <w:color w:val="auto"/>
              </w:rPr>
            </w:pPr>
            <w:r>
              <w:rPr>
                <w:rFonts w:ascii="Arial" w:cs="Arial" w:eastAsia="Arial" w:hAnsi="Arial"/>
                <w:sz w:val="16"/>
                <w:szCs w:val="16"/>
                <w:b w:val="1"/>
                <w:bCs w:val="1"/>
                <w:color w:val="auto"/>
              </w:rPr>
              <w:t>Fiscal year</w:t>
            </w:r>
          </w:p>
        </w:tc>
        <w:tc>
          <w:tcPr>
            <w:tcW w:w="4720" w:type="dxa"/>
            <w:vAlign w:val="bottom"/>
          </w:tcPr>
          <w:p>
            <w:pPr>
              <w:jc w:val="right"/>
              <w:ind w:right="39"/>
              <w:spacing w:after="0"/>
              <w:rPr>
                <w:sz w:val="20"/>
                <w:szCs w:val="20"/>
                <w:color w:val="auto"/>
              </w:rPr>
            </w:pPr>
            <w:r>
              <w:rPr>
                <w:rFonts w:ascii="Arial" w:cs="Arial" w:eastAsia="Arial" w:hAnsi="Arial"/>
                <w:sz w:val="16"/>
                <w:szCs w:val="16"/>
                <w:b w:val="1"/>
                <w:bCs w:val="1"/>
                <w:color w:val="auto"/>
              </w:rPr>
              <w:t>2016</w:t>
            </w:r>
          </w:p>
        </w:tc>
      </w:tr>
      <w:tr>
        <w:trPr>
          <w:trHeight w:val="33"/>
        </w:trPr>
        <w:tc>
          <w:tcPr>
            <w:tcW w:w="6680" w:type="dxa"/>
            <w:vAlign w:val="bottom"/>
            <w:tcBorders>
              <w:bottom w:val="single" w:sz="8" w:color="auto"/>
            </w:tcBorders>
          </w:tcPr>
          <w:p>
            <w:pPr>
              <w:spacing w:after="0"/>
              <w:rPr>
                <w:sz w:val="2"/>
                <w:szCs w:val="2"/>
                <w:color w:val="auto"/>
              </w:rPr>
            </w:pPr>
          </w:p>
        </w:tc>
        <w:tc>
          <w:tcPr>
            <w:tcW w:w="4720" w:type="dxa"/>
            <w:vAlign w:val="bottom"/>
            <w:tcBorders>
              <w:bottom w:val="single" w:sz="8" w:color="auto"/>
            </w:tcBorders>
          </w:tcPr>
          <w:p>
            <w:pPr>
              <w:spacing w:after="0"/>
              <w:rPr>
                <w:sz w:val="2"/>
                <w:szCs w:val="2"/>
                <w:color w:val="auto"/>
              </w:rPr>
            </w:pPr>
          </w:p>
        </w:tc>
      </w:tr>
      <w:tr>
        <w:trPr>
          <w:trHeight w:val="230"/>
        </w:trPr>
        <w:tc>
          <w:tcPr>
            <w:tcW w:w="6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Outstanding units, beginning of year</w:t>
            </w:r>
          </w:p>
        </w:tc>
        <w:tc>
          <w:tcPr>
            <w:tcW w:w="4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0.3</w:t>
            </w:r>
          </w:p>
        </w:tc>
      </w:tr>
      <w:tr>
        <w:trPr>
          <w:trHeight w:val="224"/>
        </w:trPr>
        <w:tc>
          <w:tcPr>
            <w:tcW w:w="6680" w:type="dxa"/>
            <w:vAlign w:val="bottom"/>
          </w:tcPr>
          <w:p>
            <w:pPr>
              <w:ind w:left="40"/>
              <w:spacing w:after="0"/>
              <w:rPr>
                <w:sz w:val="20"/>
                <w:szCs w:val="20"/>
                <w:color w:val="auto"/>
              </w:rPr>
            </w:pPr>
            <w:r>
              <w:rPr>
                <w:rFonts w:ascii="Arial" w:cs="Arial" w:eastAsia="Arial" w:hAnsi="Arial"/>
                <w:sz w:val="16"/>
                <w:szCs w:val="16"/>
                <w:color w:val="auto"/>
              </w:rPr>
              <w:t>Granted</w:t>
            </w:r>
          </w:p>
        </w:tc>
        <w:tc>
          <w:tcPr>
            <w:tcW w:w="4720" w:type="dxa"/>
            <w:vAlign w:val="bottom"/>
          </w:tcPr>
          <w:p>
            <w:pPr>
              <w:jc w:val="right"/>
              <w:ind w:right="39"/>
              <w:spacing w:after="0"/>
              <w:rPr>
                <w:sz w:val="20"/>
                <w:szCs w:val="20"/>
                <w:color w:val="auto"/>
              </w:rPr>
            </w:pPr>
            <w:r>
              <w:rPr>
                <w:rFonts w:ascii="Arial" w:cs="Arial" w:eastAsia="Arial" w:hAnsi="Arial"/>
                <w:sz w:val="16"/>
                <w:szCs w:val="16"/>
                <w:b w:val="1"/>
                <w:bCs w:val="1"/>
                <w:color w:val="auto"/>
              </w:rPr>
              <w:t>0.1</w:t>
            </w:r>
          </w:p>
        </w:tc>
      </w:tr>
      <w:tr>
        <w:trPr>
          <w:trHeight w:val="33"/>
        </w:trPr>
        <w:tc>
          <w:tcPr>
            <w:tcW w:w="6680" w:type="dxa"/>
            <w:vAlign w:val="bottom"/>
          </w:tcPr>
          <w:p>
            <w:pPr>
              <w:spacing w:after="0"/>
              <w:rPr>
                <w:sz w:val="2"/>
                <w:szCs w:val="2"/>
                <w:color w:val="auto"/>
              </w:rPr>
            </w:pPr>
          </w:p>
        </w:tc>
        <w:tc>
          <w:tcPr>
            <w:tcW w:w="4720" w:type="dxa"/>
            <w:vAlign w:val="bottom"/>
          </w:tcPr>
          <w:p>
            <w:pPr>
              <w:spacing w:after="0"/>
              <w:rPr>
                <w:sz w:val="2"/>
                <w:szCs w:val="2"/>
                <w:color w:val="auto"/>
              </w:rPr>
            </w:pPr>
          </w:p>
        </w:tc>
      </w:tr>
      <w:tr>
        <w:trPr>
          <w:trHeight w:val="237"/>
        </w:trPr>
        <w:tc>
          <w:tcPr>
            <w:tcW w:w="6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Vested</w:t>
            </w:r>
          </w:p>
        </w:tc>
        <w:tc>
          <w:tcPr>
            <w:tcW w:w="4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(0.1)</w:t>
            </w:r>
          </w:p>
        </w:tc>
      </w:tr>
      <w:tr>
        <w:trPr>
          <w:trHeight w:val="224"/>
        </w:trPr>
        <w:tc>
          <w:tcPr>
            <w:tcW w:w="6680" w:type="dxa"/>
            <w:vAlign w:val="bottom"/>
          </w:tcPr>
          <w:p>
            <w:pPr>
              <w:ind w:left="40"/>
              <w:spacing w:after="0"/>
              <w:rPr>
                <w:sz w:val="20"/>
                <w:szCs w:val="20"/>
                <w:color w:val="auto"/>
              </w:rPr>
            </w:pPr>
            <w:r>
              <w:rPr>
                <w:rFonts w:ascii="Arial" w:cs="Arial" w:eastAsia="Arial" w:hAnsi="Arial"/>
                <w:sz w:val="16"/>
                <w:szCs w:val="16"/>
                <w:color w:val="auto"/>
              </w:rPr>
              <w:t>Forfeited or cancelled</w:t>
            </w:r>
          </w:p>
        </w:tc>
        <w:tc>
          <w:tcPr>
            <w:tcW w:w="4720" w:type="dxa"/>
            <w:vAlign w:val="bottom"/>
          </w:tcPr>
          <w:p>
            <w:pPr>
              <w:jc w:val="right"/>
              <w:spacing w:after="0"/>
              <w:rPr>
                <w:sz w:val="20"/>
                <w:szCs w:val="20"/>
                <w:color w:val="auto"/>
              </w:rPr>
            </w:pPr>
            <w:r>
              <w:rPr>
                <w:rFonts w:ascii="Arial" w:cs="Arial" w:eastAsia="Arial" w:hAnsi="Arial"/>
                <w:sz w:val="16"/>
                <w:szCs w:val="16"/>
                <w:b w:val="1"/>
                <w:bCs w:val="1"/>
                <w:color w:val="auto"/>
              </w:rPr>
              <w:t>(0.1)</w:t>
            </w:r>
          </w:p>
        </w:tc>
      </w:tr>
      <w:tr>
        <w:trPr>
          <w:trHeight w:val="33"/>
        </w:trPr>
        <w:tc>
          <w:tcPr>
            <w:tcW w:w="6680" w:type="dxa"/>
            <w:vAlign w:val="bottom"/>
            <w:tcBorders>
              <w:bottom w:val="single" w:sz="8" w:color="auto"/>
            </w:tcBorders>
          </w:tcPr>
          <w:p>
            <w:pPr>
              <w:spacing w:after="0"/>
              <w:rPr>
                <w:sz w:val="2"/>
                <w:szCs w:val="2"/>
                <w:color w:val="auto"/>
              </w:rPr>
            </w:pPr>
          </w:p>
        </w:tc>
        <w:tc>
          <w:tcPr>
            <w:tcW w:w="4720" w:type="dxa"/>
            <w:vAlign w:val="bottom"/>
            <w:tcBorders>
              <w:bottom w:val="single" w:sz="8" w:color="auto"/>
            </w:tcBorders>
          </w:tcPr>
          <w:p>
            <w:pPr>
              <w:spacing w:after="0"/>
              <w:rPr>
                <w:sz w:val="2"/>
                <w:szCs w:val="2"/>
                <w:color w:val="auto"/>
              </w:rPr>
            </w:pPr>
          </w:p>
        </w:tc>
      </w:tr>
      <w:tr>
        <w:trPr>
          <w:trHeight w:val="230"/>
        </w:trPr>
        <w:tc>
          <w:tcPr>
            <w:tcW w:w="6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Outstanding units, end of year</w:t>
            </w:r>
          </w:p>
        </w:tc>
        <w:tc>
          <w:tcPr>
            <w:tcW w:w="4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0.2</w:t>
            </w:r>
          </w:p>
        </w:tc>
      </w:tr>
      <w:tr>
        <w:trPr>
          <w:trHeight w:val="20"/>
        </w:trPr>
        <w:tc>
          <w:tcPr>
            <w:tcW w:w="6680" w:type="dxa"/>
            <w:vAlign w:val="bottom"/>
            <w:shd w:val="clear" w:color="auto" w:fill="000000"/>
          </w:tcPr>
          <w:p>
            <w:pPr>
              <w:spacing w:after="0" w:line="20" w:lineRule="exact"/>
              <w:rPr>
                <w:sz w:val="1"/>
                <w:szCs w:val="1"/>
                <w:color w:val="auto"/>
              </w:rPr>
            </w:pPr>
          </w:p>
        </w:tc>
        <w:tc>
          <w:tcPr>
            <w:tcW w:w="4720" w:type="dxa"/>
            <w:vAlign w:val="bottom"/>
            <w:shd w:val="clear" w:color="auto" w:fill="000000"/>
          </w:tcPr>
          <w:p>
            <w:pPr>
              <w:spacing w:after="0" w:line="20" w:lineRule="exact"/>
              <w:rPr>
                <w:sz w:val="1"/>
                <w:szCs w:val="1"/>
                <w:color w:val="auto"/>
              </w:rPr>
            </w:pPr>
          </w:p>
        </w:tc>
      </w:tr>
    </w:tbl>
    <w:p>
      <w:pPr>
        <w:spacing w:after="0" w:line="1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both 2016 and 2015, performance share units earned and vested at 75% and there was a stock and cash settlement of $3 in both years. In 2015, performance share units earned were less than 0.1 and no performance share units vested during 2014.</w:t>
      </w:r>
    </w:p>
    <w:p>
      <w:pPr>
        <w:spacing w:after="0" w:line="11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As of January 28, 2017, there were no liabilities recorded for performance share units and there was $3 in remaining unrecognized stock-based compensation expense for unvested performance share units.</w:t>
      </w:r>
    </w:p>
    <w:p>
      <w:pPr>
        <w:spacing w:after="0" w:line="364" w:lineRule="exact"/>
        <w:rPr>
          <w:sz w:val="20"/>
          <w:szCs w:val="20"/>
          <w:color w:val="auto"/>
        </w:rPr>
      </w:pPr>
    </w:p>
    <w:p>
      <w:pPr>
        <w:jc w:val="right"/>
        <w:spacing w:after="0"/>
        <w:rPr>
          <w:sz w:val="20"/>
          <w:szCs w:val="20"/>
          <w:color w:val="auto"/>
        </w:rPr>
      </w:pPr>
      <w:r>
        <w:rPr>
          <w:rFonts w:ascii="Arial" w:cs="Arial" w:eastAsia="Arial" w:hAnsi="Arial"/>
          <w:sz w:val="13"/>
          <w:szCs w:val="13"/>
          <w:color w:val="auto"/>
        </w:rPr>
        <w:t xml:space="preserve">Nordstrom, Inc. and subsidiaries </w:t>
      </w:r>
      <w:r>
        <w:rPr>
          <w:rFonts w:ascii="Arial" w:cs="Arial" w:eastAsia="Arial" w:hAnsi="Arial"/>
          <w:sz w:val="16"/>
          <w:szCs w:val="16"/>
          <w:color w:val="auto"/>
        </w:rPr>
        <w:t>57</w:t>
      </w:r>
    </w:p>
    <w:p>
      <w:pPr>
        <w:sectPr>
          <w:pgSz w:w="11900" w:h="16838" w:orient="portrait"/>
          <w:cols w:equalWidth="0" w:num="1">
            <w:col w:w="11420"/>
          </w:cols>
          <w:pgMar w:left="240" w:top="126" w:right="239" w:bottom="1440" w:gutter="0" w:footer="0" w:header="0"/>
        </w:sectPr>
      </w:pPr>
    </w:p>
    <w:bookmarkStart w:id="58" w:name="page59"/>
    <w:bookmarkEnd w:id="58"/>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Nordstrom, Inc.</w:t>
      </w:r>
    </w:p>
    <w:p>
      <w:pPr>
        <w:spacing w:after="0" w:line="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rPr>
          <w:sz w:val="20"/>
          <w:szCs w:val="20"/>
          <w:color w:val="auto"/>
        </w:rPr>
      </w:pPr>
      <w:r>
        <w:rPr>
          <w:rFonts w:ascii="Arial" w:cs="Arial" w:eastAsia="Arial" w:hAnsi="Arial"/>
          <w:sz w:val="18"/>
          <w:szCs w:val="18"/>
          <w:color w:val="auto"/>
        </w:rPr>
        <w:t>Dollar and share amounts in millions except per share, per option and per unit amounts</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INCOME TAXES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U.S. and foreign components of earnings before income taxes were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600" w:type="dxa"/>
            <w:vAlign w:val="bottom"/>
          </w:tcPr>
          <w:p>
            <w:pPr>
              <w:ind w:left="40"/>
              <w:spacing w:after="0"/>
              <w:rPr>
                <w:sz w:val="20"/>
                <w:szCs w:val="20"/>
                <w:color w:val="auto"/>
              </w:rPr>
            </w:pPr>
            <w:r>
              <w:rPr>
                <w:rFonts w:ascii="Arial" w:cs="Arial" w:eastAsia="Arial" w:hAnsi="Arial"/>
                <w:sz w:val="16"/>
                <w:szCs w:val="16"/>
                <w:b w:val="1"/>
                <w:bCs w:val="1"/>
                <w:color w:val="auto"/>
              </w:rPr>
              <w:t>Fiscal year</w:t>
            </w:r>
          </w:p>
        </w:tc>
        <w:tc>
          <w:tcPr>
            <w:tcW w:w="3660" w:type="dxa"/>
            <w:vAlign w:val="bottom"/>
          </w:tcPr>
          <w:p>
            <w:pPr>
              <w:jc w:val="right"/>
              <w:ind w:right="739"/>
              <w:spacing w:after="0"/>
              <w:rPr>
                <w:sz w:val="20"/>
                <w:szCs w:val="20"/>
                <w:color w:val="auto"/>
              </w:rPr>
            </w:pPr>
            <w:r>
              <w:rPr>
                <w:rFonts w:ascii="Arial" w:cs="Arial" w:eastAsia="Arial" w:hAnsi="Arial"/>
                <w:sz w:val="16"/>
                <w:szCs w:val="16"/>
                <w:b w:val="1"/>
                <w:bCs w:val="1"/>
                <w:color w:val="auto"/>
              </w:rPr>
              <w:t>2016</w:t>
            </w:r>
          </w:p>
        </w:tc>
        <w:tc>
          <w:tcPr>
            <w:tcW w:w="1880" w:type="dxa"/>
            <w:vAlign w:val="bottom"/>
          </w:tcPr>
          <w:p>
            <w:pPr>
              <w:jc w:val="right"/>
              <w:ind w:right="699"/>
              <w:spacing w:after="0"/>
              <w:rPr>
                <w:sz w:val="20"/>
                <w:szCs w:val="20"/>
                <w:color w:val="auto"/>
              </w:rPr>
            </w:pPr>
            <w:r>
              <w:rPr>
                <w:rFonts w:ascii="Arial" w:cs="Arial" w:eastAsia="Arial" w:hAnsi="Arial"/>
                <w:sz w:val="16"/>
                <w:szCs w:val="16"/>
                <w:b w:val="1"/>
                <w:bCs w:val="1"/>
                <w:color w:val="auto"/>
              </w:rPr>
              <w:t>2015</w:t>
            </w:r>
          </w:p>
        </w:tc>
        <w:tc>
          <w:tcPr>
            <w:tcW w:w="1260" w:type="dxa"/>
            <w:vAlign w:val="bottom"/>
          </w:tcPr>
          <w:p>
            <w:pPr>
              <w:jc w:val="right"/>
              <w:ind w:right="39"/>
              <w:spacing w:after="0"/>
              <w:rPr>
                <w:sz w:val="20"/>
                <w:szCs w:val="20"/>
                <w:color w:val="auto"/>
              </w:rPr>
            </w:pPr>
            <w:r>
              <w:rPr>
                <w:rFonts w:ascii="Arial" w:cs="Arial" w:eastAsia="Arial" w:hAnsi="Arial"/>
                <w:sz w:val="16"/>
                <w:szCs w:val="16"/>
                <w:b w:val="1"/>
                <w:bCs w:val="1"/>
                <w:color w:val="auto"/>
              </w:rPr>
              <w:t>2014</w:t>
            </w:r>
          </w:p>
        </w:tc>
      </w:tr>
      <w:tr>
        <w:trPr>
          <w:trHeight w:val="33"/>
        </w:trPr>
        <w:tc>
          <w:tcPr>
            <w:tcW w:w="460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4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U.S.</w:t>
            </w:r>
          </w:p>
        </w:tc>
        <w:tc>
          <w:tcPr>
            <w:tcW w:w="366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b w:val="1"/>
                <w:bCs w:val="1"/>
                <w:color w:val="auto"/>
              </w:rPr>
              <w:t>$687</w:t>
            </w:r>
          </w:p>
        </w:tc>
        <w:tc>
          <w:tcPr>
            <w:tcW w:w="188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6"/>
                <w:szCs w:val="16"/>
                <w:color w:val="auto"/>
              </w:rPr>
              <w:t>$996</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$1,196</w:t>
            </w:r>
          </w:p>
        </w:tc>
      </w:tr>
      <w:tr>
        <w:trPr>
          <w:trHeight w:val="237"/>
        </w:trPr>
        <w:tc>
          <w:tcPr>
            <w:tcW w:w="4600" w:type="dxa"/>
            <w:vAlign w:val="bottom"/>
          </w:tcPr>
          <w:p>
            <w:pPr>
              <w:ind w:left="40"/>
              <w:spacing w:after="0"/>
              <w:rPr>
                <w:sz w:val="20"/>
                <w:szCs w:val="20"/>
                <w:color w:val="auto"/>
              </w:rPr>
            </w:pPr>
            <w:r>
              <w:rPr>
                <w:rFonts w:ascii="Arial" w:cs="Arial" w:eastAsia="Arial" w:hAnsi="Arial"/>
                <w:sz w:val="16"/>
                <w:szCs w:val="16"/>
                <w:color w:val="auto"/>
              </w:rPr>
              <w:t>Foreign</w:t>
            </w:r>
          </w:p>
        </w:tc>
        <w:tc>
          <w:tcPr>
            <w:tcW w:w="3660" w:type="dxa"/>
            <w:vAlign w:val="bottom"/>
          </w:tcPr>
          <w:p>
            <w:pPr>
              <w:jc w:val="right"/>
              <w:ind w:right="699"/>
              <w:spacing w:after="0"/>
              <w:rPr>
                <w:sz w:val="20"/>
                <w:szCs w:val="20"/>
                <w:color w:val="auto"/>
              </w:rPr>
            </w:pPr>
            <w:r>
              <w:rPr>
                <w:rFonts w:ascii="Arial" w:cs="Arial" w:eastAsia="Arial" w:hAnsi="Arial"/>
                <w:sz w:val="16"/>
                <w:szCs w:val="16"/>
                <w:b w:val="1"/>
                <w:bCs w:val="1"/>
                <w:color w:val="auto"/>
              </w:rPr>
              <w:t>(3)</w:t>
            </w:r>
          </w:p>
        </w:tc>
        <w:tc>
          <w:tcPr>
            <w:tcW w:w="1880" w:type="dxa"/>
            <w:vAlign w:val="bottom"/>
          </w:tcPr>
          <w:p>
            <w:pPr>
              <w:jc w:val="right"/>
              <w:ind w:right="639"/>
              <w:spacing w:after="0"/>
              <w:rPr>
                <w:sz w:val="20"/>
                <w:szCs w:val="20"/>
                <w:color w:val="auto"/>
              </w:rPr>
            </w:pPr>
            <w:r>
              <w:rPr>
                <w:rFonts w:ascii="Arial" w:cs="Arial" w:eastAsia="Arial" w:hAnsi="Arial"/>
                <w:sz w:val="16"/>
                <w:szCs w:val="16"/>
                <w:color w:val="auto"/>
              </w:rPr>
              <w:t>(20)</w:t>
            </w:r>
          </w:p>
        </w:tc>
        <w:tc>
          <w:tcPr>
            <w:tcW w:w="126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33"/>
        </w:trPr>
        <w:tc>
          <w:tcPr>
            <w:tcW w:w="460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4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Earnings before income taxes</w:t>
            </w:r>
          </w:p>
        </w:tc>
        <w:tc>
          <w:tcPr>
            <w:tcW w:w="366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b w:val="1"/>
                <w:bCs w:val="1"/>
                <w:color w:val="auto"/>
              </w:rPr>
              <w:t>$684</w:t>
            </w:r>
          </w:p>
        </w:tc>
        <w:tc>
          <w:tcPr>
            <w:tcW w:w="188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6"/>
                <w:szCs w:val="16"/>
                <w:color w:val="auto"/>
              </w:rPr>
              <w:t>$976</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$1,185</w:t>
            </w:r>
          </w:p>
        </w:tc>
      </w:tr>
      <w:tr>
        <w:trPr>
          <w:trHeight w:val="20"/>
        </w:trPr>
        <w:tc>
          <w:tcPr>
            <w:tcW w:w="4600" w:type="dxa"/>
            <w:vAlign w:val="bottom"/>
            <w:shd w:val="clear" w:color="auto" w:fill="000000"/>
          </w:tcPr>
          <w:p>
            <w:pPr>
              <w:spacing w:after="0" w:line="20" w:lineRule="exact"/>
              <w:rPr>
                <w:sz w:val="1"/>
                <w:szCs w:val="1"/>
                <w:color w:val="auto"/>
              </w:rPr>
            </w:pPr>
          </w:p>
        </w:tc>
        <w:tc>
          <w:tcPr>
            <w:tcW w:w="3660" w:type="dxa"/>
            <w:vAlign w:val="bottom"/>
            <w:shd w:val="clear" w:color="auto" w:fill="000000"/>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Income tax expense consists of the following:</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980" w:type="dxa"/>
            <w:vAlign w:val="bottom"/>
          </w:tcPr>
          <w:p>
            <w:pPr>
              <w:ind w:left="40"/>
              <w:spacing w:after="0"/>
              <w:rPr>
                <w:sz w:val="20"/>
                <w:szCs w:val="20"/>
                <w:color w:val="auto"/>
              </w:rPr>
            </w:pPr>
            <w:r>
              <w:rPr>
                <w:rFonts w:ascii="Arial" w:cs="Arial" w:eastAsia="Arial" w:hAnsi="Arial"/>
                <w:sz w:val="16"/>
                <w:szCs w:val="16"/>
                <w:b w:val="1"/>
                <w:bCs w:val="1"/>
                <w:color w:val="auto"/>
              </w:rPr>
              <w:t>Fiscal year</w:t>
            </w:r>
          </w:p>
        </w:tc>
        <w:tc>
          <w:tcPr>
            <w:tcW w:w="3280" w:type="dxa"/>
            <w:vAlign w:val="bottom"/>
          </w:tcPr>
          <w:p>
            <w:pPr>
              <w:jc w:val="right"/>
              <w:ind w:right="739"/>
              <w:spacing w:after="0"/>
              <w:rPr>
                <w:sz w:val="20"/>
                <w:szCs w:val="20"/>
                <w:color w:val="auto"/>
              </w:rPr>
            </w:pPr>
            <w:r>
              <w:rPr>
                <w:rFonts w:ascii="Arial" w:cs="Arial" w:eastAsia="Arial" w:hAnsi="Arial"/>
                <w:sz w:val="16"/>
                <w:szCs w:val="16"/>
                <w:b w:val="1"/>
                <w:bCs w:val="1"/>
                <w:color w:val="auto"/>
              </w:rPr>
              <w:t>2016</w:t>
            </w:r>
          </w:p>
        </w:tc>
        <w:tc>
          <w:tcPr>
            <w:tcW w:w="1940" w:type="dxa"/>
            <w:vAlign w:val="bottom"/>
          </w:tcPr>
          <w:p>
            <w:pPr>
              <w:jc w:val="right"/>
              <w:ind w:right="759"/>
              <w:spacing w:after="0"/>
              <w:rPr>
                <w:sz w:val="20"/>
                <w:szCs w:val="20"/>
                <w:color w:val="auto"/>
              </w:rPr>
            </w:pPr>
            <w:r>
              <w:rPr>
                <w:rFonts w:ascii="Arial" w:cs="Arial" w:eastAsia="Arial" w:hAnsi="Arial"/>
                <w:sz w:val="16"/>
                <w:szCs w:val="16"/>
                <w:b w:val="1"/>
                <w:bCs w:val="1"/>
                <w:color w:val="auto"/>
              </w:rPr>
              <w:t>2015</w:t>
            </w:r>
          </w:p>
        </w:tc>
        <w:tc>
          <w:tcPr>
            <w:tcW w:w="1200" w:type="dxa"/>
            <w:vAlign w:val="bottom"/>
          </w:tcPr>
          <w:p>
            <w:pPr>
              <w:jc w:val="right"/>
              <w:ind w:right="39"/>
              <w:spacing w:after="0"/>
              <w:rPr>
                <w:sz w:val="20"/>
                <w:szCs w:val="20"/>
                <w:color w:val="auto"/>
              </w:rPr>
            </w:pPr>
            <w:r>
              <w:rPr>
                <w:rFonts w:ascii="Arial" w:cs="Arial" w:eastAsia="Arial" w:hAnsi="Arial"/>
                <w:sz w:val="16"/>
                <w:szCs w:val="16"/>
                <w:b w:val="1"/>
                <w:bCs w:val="1"/>
                <w:color w:val="auto"/>
              </w:rPr>
              <w:t>2014</w:t>
            </w:r>
          </w:p>
        </w:tc>
      </w:tr>
      <w:tr>
        <w:trPr>
          <w:trHeight w:val="33"/>
        </w:trPr>
        <w:tc>
          <w:tcPr>
            <w:tcW w:w="4980" w:type="dxa"/>
            <w:vAlign w:val="bottom"/>
            <w:tcBorders>
              <w:bottom w:val="single" w:sz="8" w:color="auto"/>
            </w:tcBorders>
          </w:tcPr>
          <w:p>
            <w:pPr>
              <w:spacing w:after="0"/>
              <w:rPr>
                <w:sz w:val="2"/>
                <w:szCs w:val="2"/>
                <w:color w:val="auto"/>
              </w:rPr>
            </w:pPr>
          </w:p>
        </w:tc>
        <w:tc>
          <w:tcPr>
            <w:tcW w:w="32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income taxes:</w:t>
            </w:r>
          </w:p>
        </w:tc>
        <w:tc>
          <w:tcPr>
            <w:tcW w:w="328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37"/>
        </w:trPr>
        <w:tc>
          <w:tcPr>
            <w:tcW w:w="4980" w:type="dxa"/>
            <w:vAlign w:val="bottom"/>
          </w:tcPr>
          <w:p>
            <w:pPr>
              <w:ind w:left="280"/>
              <w:spacing w:after="0"/>
              <w:rPr>
                <w:sz w:val="20"/>
                <w:szCs w:val="20"/>
                <w:color w:val="auto"/>
              </w:rPr>
            </w:pPr>
            <w:r>
              <w:rPr>
                <w:rFonts w:ascii="Arial" w:cs="Arial" w:eastAsia="Arial" w:hAnsi="Arial"/>
                <w:sz w:val="16"/>
                <w:szCs w:val="16"/>
                <w:color w:val="auto"/>
              </w:rPr>
              <w:t>Federal</w:t>
            </w:r>
          </w:p>
        </w:tc>
        <w:tc>
          <w:tcPr>
            <w:tcW w:w="3280" w:type="dxa"/>
            <w:vAlign w:val="bottom"/>
          </w:tcPr>
          <w:p>
            <w:pPr>
              <w:jc w:val="right"/>
              <w:ind w:right="739"/>
              <w:spacing w:after="0"/>
              <w:rPr>
                <w:sz w:val="20"/>
                <w:szCs w:val="20"/>
                <w:color w:val="auto"/>
              </w:rPr>
            </w:pPr>
            <w:r>
              <w:rPr>
                <w:rFonts w:ascii="Arial" w:cs="Arial" w:eastAsia="Arial" w:hAnsi="Arial"/>
                <w:sz w:val="16"/>
                <w:szCs w:val="16"/>
                <w:b w:val="1"/>
                <w:bCs w:val="1"/>
                <w:color w:val="auto"/>
              </w:rPr>
              <w:t>$290</w:t>
            </w:r>
          </w:p>
        </w:tc>
        <w:tc>
          <w:tcPr>
            <w:tcW w:w="1940" w:type="dxa"/>
            <w:vAlign w:val="bottom"/>
          </w:tcPr>
          <w:p>
            <w:pPr>
              <w:jc w:val="right"/>
              <w:ind w:right="759"/>
              <w:spacing w:after="0"/>
              <w:rPr>
                <w:sz w:val="20"/>
                <w:szCs w:val="20"/>
                <w:color w:val="auto"/>
              </w:rPr>
            </w:pPr>
            <w:r>
              <w:rPr>
                <w:rFonts w:ascii="Arial" w:cs="Arial" w:eastAsia="Arial" w:hAnsi="Arial"/>
                <w:sz w:val="16"/>
                <w:szCs w:val="16"/>
                <w:color w:val="auto"/>
              </w:rPr>
              <w:t>$202</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$397</w:t>
            </w:r>
          </w:p>
        </w:tc>
      </w:tr>
      <w:tr>
        <w:trPr>
          <w:trHeight w:val="33"/>
        </w:trPr>
        <w:tc>
          <w:tcPr>
            <w:tcW w:w="498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State and local</w:t>
            </w:r>
          </w:p>
        </w:tc>
        <w:tc>
          <w:tcPr>
            <w:tcW w:w="328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b w:val="1"/>
                <w:bCs w:val="1"/>
                <w:color w:val="auto"/>
              </w:rPr>
              <w:t>54</w:t>
            </w:r>
          </w:p>
        </w:tc>
        <w:tc>
          <w:tcPr>
            <w:tcW w:w="194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color w:val="auto"/>
              </w:rPr>
              <w:t>32</w:t>
            </w: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61</w:t>
            </w:r>
          </w:p>
        </w:tc>
      </w:tr>
      <w:tr>
        <w:trPr>
          <w:trHeight w:val="237"/>
        </w:trPr>
        <w:tc>
          <w:tcPr>
            <w:tcW w:w="4980" w:type="dxa"/>
            <w:vAlign w:val="bottom"/>
          </w:tcPr>
          <w:p>
            <w:pPr>
              <w:ind w:left="280"/>
              <w:spacing w:after="0"/>
              <w:rPr>
                <w:sz w:val="20"/>
                <w:szCs w:val="20"/>
                <w:color w:val="auto"/>
              </w:rPr>
            </w:pPr>
            <w:r>
              <w:rPr>
                <w:rFonts w:ascii="Arial" w:cs="Arial" w:eastAsia="Arial" w:hAnsi="Arial"/>
                <w:sz w:val="16"/>
                <w:szCs w:val="16"/>
                <w:color w:val="auto"/>
              </w:rPr>
              <w:t>Foreign</w:t>
            </w:r>
          </w:p>
        </w:tc>
        <w:tc>
          <w:tcPr>
            <w:tcW w:w="3280" w:type="dxa"/>
            <w:vAlign w:val="bottom"/>
          </w:tcPr>
          <w:p>
            <w:pPr>
              <w:jc w:val="right"/>
              <w:ind w:right="739"/>
              <w:spacing w:after="0"/>
              <w:rPr>
                <w:sz w:val="20"/>
                <w:szCs w:val="20"/>
                <w:color w:val="auto"/>
              </w:rPr>
            </w:pPr>
            <w:r>
              <w:rPr>
                <w:rFonts w:ascii="Arial" w:cs="Arial" w:eastAsia="Arial" w:hAnsi="Arial"/>
                <w:sz w:val="16"/>
                <w:szCs w:val="16"/>
                <w:b w:val="1"/>
                <w:bCs w:val="1"/>
                <w:color w:val="auto"/>
              </w:rPr>
              <w:t>1</w:t>
            </w:r>
          </w:p>
        </w:tc>
        <w:tc>
          <w:tcPr>
            <w:tcW w:w="1940" w:type="dxa"/>
            <w:vAlign w:val="bottom"/>
          </w:tcPr>
          <w:p>
            <w:pPr>
              <w:jc w:val="right"/>
              <w:ind w:right="75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33"/>
        </w:trPr>
        <w:tc>
          <w:tcPr>
            <w:tcW w:w="4980" w:type="dxa"/>
            <w:vAlign w:val="bottom"/>
            <w:tcBorders>
              <w:bottom w:val="single" w:sz="8" w:color="auto"/>
            </w:tcBorders>
          </w:tcPr>
          <w:p>
            <w:pPr>
              <w:spacing w:after="0"/>
              <w:rPr>
                <w:sz w:val="2"/>
                <w:szCs w:val="2"/>
                <w:color w:val="auto"/>
              </w:rPr>
            </w:pPr>
          </w:p>
        </w:tc>
        <w:tc>
          <w:tcPr>
            <w:tcW w:w="32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9"/>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current income tax expense</w:t>
            </w:r>
          </w:p>
        </w:tc>
        <w:tc>
          <w:tcPr>
            <w:tcW w:w="328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b w:val="1"/>
                <w:bCs w:val="1"/>
                <w:color w:val="auto"/>
              </w:rPr>
              <w:t>345</w:t>
            </w:r>
          </w:p>
        </w:tc>
        <w:tc>
          <w:tcPr>
            <w:tcW w:w="194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color w:val="auto"/>
              </w:rPr>
              <w:t>234</w:t>
            </w: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458</w:t>
            </w:r>
          </w:p>
        </w:tc>
      </w:tr>
      <w:tr>
        <w:trPr>
          <w:trHeight w:val="231"/>
        </w:trPr>
        <w:tc>
          <w:tcPr>
            <w:tcW w:w="498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Deferred income taxes:</w:t>
            </w:r>
          </w:p>
        </w:tc>
        <w:tc>
          <w:tcPr>
            <w:tcW w:w="3280" w:type="dxa"/>
            <w:vAlign w:val="bottom"/>
            <w:tcBorders>
              <w:top w:val="single" w:sz="8" w:color="auto"/>
            </w:tcBorders>
          </w:tcPr>
          <w:p>
            <w:pPr>
              <w:spacing w:after="0"/>
              <w:rPr>
                <w:sz w:val="20"/>
                <w:szCs w:val="20"/>
                <w:color w:val="auto"/>
              </w:rPr>
            </w:pPr>
          </w:p>
        </w:tc>
        <w:tc>
          <w:tcPr>
            <w:tcW w:w="19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r>
      <w:tr>
        <w:trPr>
          <w:trHeight w:val="33"/>
        </w:trPr>
        <w:tc>
          <w:tcPr>
            <w:tcW w:w="498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Federal</w:t>
            </w:r>
          </w:p>
        </w:tc>
        <w:tc>
          <w:tcPr>
            <w:tcW w:w="328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6"/>
                <w:szCs w:val="16"/>
                <w:b w:val="1"/>
                <w:bCs w:val="1"/>
                <w:color w:val="auto"/>
              </w:rPr>
              <w:t>(17)</w:t>
            </w:r>
          </w:p>
        </w:tc>
        <w:tc>
          <w:tcPr>
            <w:tcW w:w="194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color w:val="auto"/>
              </w:rPr>
              <w:t>123</w:t>
            </w: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w:t>
            </w:r>
          </w:p>
        </w:tc>
      </w:tr>
      <w:tr>
        <w:trPr>
          <w:trHeight w:val="237"/>
        </w:trPr>
        <w:tc>
          <w:tcPr>
            <w:tcW w:w="4980" w:type="dxa"/>
            <w:vAlign w:val="bottom"/>
          </w:tcPr>
          <w:p>
            <w:pPr>
              <w:ind w:left="280"/>
              <w:spacing w:after="0"/>
              <w:rPr>
                <w:sz w:val="20"/>
                <w:szCs w:val="20"/>
                <w:color w:val="auto"/>
              </w:rPr>
            </w:pPr>
            <w:r>
              <w:rPr>
                <w:rFonts w:ascii="Arial" w:cs="Arial" w:eastAsia="Arial" w:hAnsi="Arial"/>
                <w:sz w:val="16"/>
                <w:szCs w:val="16"/>
                <w:color w:val="auto"/>
              </w:rPr>
              <w:t>State and local</w:t>
            </w:r>
          </w:p>
        </w:tc>
        <w:tc>
          <w:tcPr>
            <w:tcW w:w="3280" w:type="dxa"/>
            <w:vAlign w:val="bottom"/>
          </w:tcPr>
          <w:p>
            <w:pPr>
              <w:jc w:val="right"/>
              <w:ind w:right="699"/>
              <w:spacing w:after="0"/>
              <w:rPr>
                <w:sz w:val="20"/>
                <w:szCs w:val="20"/>
                <w:color w:val="auto"/>
              </w:rPr>
            </w:pPr>
            <w:r>
              <w:rPr>
                <w:rFonts w:ascii="Arial" w:cs="Arial" w:eastAsia="Arial" w:hAnsi="Arial"/>
                <w:sz w:val="16"/>
                <w:szCs w:val="16"/>
                <w:b w:val="1"/>
                <w:bCs w:val="1"/>
                <w:color w:val="auto"/>
              </w:rPr>
              <w:t>(5)</w:t>
            </w:r>
          </w:p>
        </w:tc>
        <w:tc>
          <w:tcPr>
            <w:tcW w:w="1940" w:type="dxa"/>
            <w:vAlign w:val="bottom"/>
          </w:tcPr>
          <w:p>
            <w:pPr>
              <w:jc w:val="right"/>
              <w:ind w:right="759"/>
              <w:spacing w:after="0"/>
              <w:rPr>
                <w:sz w:val="20"/>
                <w:szCs w:val="20"/>
                <w:color w:val="auto"/>
              </w:rPr>
            </w:pPr>
            <w:r>
              <w:rPr>
                <w:rFonts w:ascii="Arial" w:cs="Arial" w:eastAsia="Arial" w:hAnsi="Arial"/>
                <w:sz w:val="16"/>
                <w:szCs w:val="16"/>
                <w:color w:val="auto"/>
              </w:rPr>
              <w:t>23</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2</w:t>
            </w:r>
          </w:p>
        </w:tc>
      </w:tr>
      <w:tr>
        <w:trPr>
          <w:trHeight w:val="33"/>
        </w:trPr>
        <w:tc>
          <w:tcPr>
            <w:tcW w:w="498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5"/>
        </w:trPr>
        <w:tc>
          <w:tcPr>
            <w:tcW w:w="4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Foreign</w:t>
            </w:r>
          </w:p>
        </w:tc>
        <w:tc>
          <w:tcPr>
            <w:tcW w:w="328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b w:val="1"/>
                <w:bCs w:val="1"/>
                <w:color w:val="auto"/>
              </w:rPr>
              <w:t>7</w:t>
            </w:r>
          </w:p>
        </w:tc>
        <w:tc>
          <w:tcPr>
            <w:tcW w:w="194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6"/>
                <w:szCs w:val="16"/>
                <w:color w:val="auto"/>
              </w:rPr>
              <w:t>(4)</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r>
      <w:tr>
        <w:trPr>
          <w:trHeight w:val="231"/>
        </w:trPr>
        <w:tc>
          <w:tcPr>
            <w:tcW w:w="498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Total deferred income tax (benefit) expense</w:t>
            </w:r>
          </w:p>
        </w:tc>
        <w:tc>
          <w:tcPr>
            <w:tcW w:w="3280" w:type="dxa"/>
            <w:vAlign w:val="bottom"/>
            <w:tcBorders>
              <w:top w:val="single" w:sz="8" w:color="auto"/>
            </w:tcBorders>
          </w:tcPr>
          <w:p>
            <w:pPr>
              <w:jc w:val="right"/>
              <w:ind w:right="699"/>
              <w:spacing w:after="0"/>
              <w:rPr>
                <w:sz w:val="20"/>
                <w:szCs w:val="20"/>
                <w:color w:val="auto"/>
              </w:rPr>
            </w:pPr>
            <w:r>
              <w:rPr>
                <w:rFonts w:ascii="Arial" w:cs="Arial" w:eastAsia="Arial" w:hAnsi="Arial"/>
                <w:sz w:val="16"/>
                <w:szCs w:val="16"/>
                <w:b w:val="1"/>
                <w:bCs w:val="1"/>
                <w:color w:val="auto"/>
              </w:rPr>
              <w:t>(15)</w:t>
            </w:r>
          </w:p>
        </w:tc>
        <w:tc>
          <w:tcPr>
            <w:tcW w:w="1940" w:type="dxa"/>
            <w:vAlign w:val="bottom"/>
            <w:tcBorders>
              <w:top w:val="single" w:sz="8" w:color="auto"/>
            </w:tcBorders>
          </w:tcPr>
          <w:p>
            <w:pPr>
              <w:jc w:val="right"/>
              <w:ind w:right="759"/>
              <w:spacing w:after="0"/>
              <w:rPr>
                <w:sz w:val="20"/>
                <w:szCs w:val="20"/>
                <w:color w:val="auto"/>
              </w:rPr>
            </w:pPr>
            <w:r>
              <w:rPr>
                <w:rFonts w:ascii="Arial" w:cs="Arial" w:eastAsia="Arial" w:hAnsi="Arial"/>
                <w:sz w:val="16"/>
                <w:szCs w:val="16"/>
                <w:color w:val="auto"/>
              </w:rPr>
              <w:t>142</w:t>
            </w:r>
          </w:p>
        </w:tc>
        <w:tc>
          <w:tcPr>
            <w:tcW w:w="12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w:t>
            </w:r>
          </w:p>
        </w:tc>
      </w:tr>
      <w:tr>
        <w:trPr>
          <w:trHeight w:val="33"/>
        </w:trPr>
        <w:tc>
          <w:tcPr>
            <w:tcW w:w="4980" w:type="dxa"/>
            <w:vAlign w:val="bottom"/>
            <w:tcBorders>
              <w:bottom w:val="single" w:sz="8" w:color="auto"/>
            </w:tcBorders>
          </w:tcPr>
          <w:p>
            <w:pPr>
              <w:spacing w:after="0"/>
              <w:rPr>
                <w:sz w:val="2"/>
                <w:szCs w:val="2"/>
                <w:color w:val="auto"/>
              </w:rPr>
            </w:pPr>
          </w:p>
        </w:tc>
        <w:tc>
          <w:tcPr>
            <w:tcW w:w="32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income tax expense</w:t>
            </w:r>
          </w:p>
        </w:tc>
        <w:tc>
          <w:tcPr>
            <w:tcW w:w="328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b w:val="1"/>
                <w:bCs w:val="1"/>
                <w:color w:val="auto"/>
              </w:rPr>
              <w:t>$330</w:t>
            </w:r>
          </w:p>
        </w:tc>
        <w:tc>
          <w:tcPr>
            <w:tcW w:w="194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color w:val="auto"/>
              </w:rPr>
              <w:t>$376</w:t>
            </w: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$465</w:t>
            </w:r>
          </w:p>
        </w:tc>
      </w:tr>
      <w:tr>
        <w:trPr>
          <w:trHeight w:val="20"/>
        </w:trPr>
        <w:tc>
          <w:tcPr>
            <w:tcW w:w="4980" w:type="dxa"/>
            <w:vAlign w:val="bottom"/>
            <w:shd w:val="clear" w:color="auto" w:fill="000000"/>
          </w:tcPr>
          <w:p>
            <w:pPr>
              <w:spacing w:after="0" w:line="20" w:lineRule="exact"/>
              <w:rPr>
                <w:sz w:val="1"/>
                <w:szCs w:val="1"/>
                <w:color w:val="auto"/>
              </w:rPr>
            </w:pPr>
          </w:p>
        </w:tc>
        <w:tc>
          <w:tcPr>
            <w:tcW w:w="3280" w:type="dxa"/>
            <w:vAlign w:val="bottom"/>
            <w:shd w:val="clear" w:color="auto" w:fill="000000"/>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statutory federal income tax rate to the effective tax rate on earnings before income taxes is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280" w:type="dxa"/>
            <w:vAlign w:val="bottom"/>
          </w:tcPr>
          <w:p>
            <w:pPr>
              <w:ind w:left="40"/>
              <w:spacing w:after="0"/>
              <w:rPr>
                <w:sz w:val="20"/>
                <w:szCs w:val="20"/>
                <w:color w:val="auto"/>
              </w:rPr>
            </w:pPr>
            <w:r>
              <w:rPr>
                <w:rFonts w:ascii="Arial" w:cs="Arial" w:eastAsia="Arial" w:hAnsi="Arial"/>
                <w:sz w:val="16"/>
                <w:szCs w:val="16"/>
                <w:b w:val="1"/>
                <w:bCs w:val="1"/>
                <w:color w:val="auto"/>
              </w:rPr>
              <w:t>Fiscal year</w:t>
            </w:r>
          </w:p>
        </w:tc>
        <w:tc>
          <w:tcPr>
            <w:tcW w:w="2860" w:type="dxa"/>
            <w:vAlign w:val="bottom"/>
          </w:tcPr>
          <w:p>
            <w:pPr>
              <w:jc w:val="right"/>
              <w:ind w:right="879"/>
              <w:spacing w:after="0"/>
              <w:rPr>
                <w:sz w:val="20"/>
                <w:szCs w:val="20"/>
                <w:color w:val="auto"/>
              </w:rPr>
            </w:pPr>
            <w:r>
              <w:rPr>
                <w:rFonts w:ascii="Arial" w:cs="Arial" w:eastAsia="Arial" w:hAnsi="Arial"/>
                <w:sz w:val="16"/>
                <w:szCs w:val="16"/>
                <w:b w:val="1"/>
                <w:bCs w:val="1"/>
                <w:color w:val="auto"/>
              </w:rPr>
              <w:t>2016</w:t>
            </w:r>
          </w:p>
        </w:tc>
        <w:tc>
          <w:tcPr>
            <w:tcW w:w="1980" w:type="dxa"/>
            <w:vAlign w:val="bottom"/>
          </w:tcPr>
          <w:p>
            <w:pPr>
              <w:jc w:val="right"/>
              <w:ind w:right="839"/>
              <w:spacing w:after="0"/>
              <w:rPr>
                <w:sz w:val="20"/>
                <w:szCs w:val="20"/>
                <w:color w:val="auto"/>
              </w:rPr>
            </w:pPr>
            <w:r>
              <w:rPr>
                <w:rFonts w:ascii="Arial" w:cs="Arial" w:eastAsia="Arial" w:hAnsi="Arial"/>
                <w:sz w:val="16"/>
                <w:szCs w:val="16"/>
                <w:b w:val="1"/>
                <w:bCs w:val="1"/>
                <w:color w:val="auto"/>
              </w:rPr>
              <w:t>2015</w:t>
            </w:r>
          </w:p>
        </w:tc>
        <w:tc>
          <w:tcPr>
            <w:tcW w:w="1280" w:type="dxa"/>
            <w:vAlign w:val="bottom"/>
          </w:tcPr>
          <w:p>
            <w:pPr>
              <w:jc w:val="right"/>
              <w:ind w:right="139"/>
              <w:spacing w:after="0"/>
              <w:rPr>
                <w:sz w:val="20"/>
                <w:szCs w:val="20"/>
                <w:color w:val="auto"/>
              </w:rPr>
            </w:pPr>
            <w:r>
              <w:rPr>
                <w:rFonts w:ascii="Arial" w:cs="Arial" w:eastAsia="Arial" w:hAnsi="Arial"/>
                <w:sz w:val="16"/>
                <w:szCs w:val="16"/>
                <w:b w:val="1"/>
                <w:bCs w:val="1"/>
                <w:color w:val="auto"/>
              </w:rPr>
              <w:t>2014</w:t>
            </w:r>
          </w:p>
        </w:tc>
      </w:tr>
      <w:tr>
        <w:trPr>
          <w:trHeight w:val="33"/>
        </w:trPr>
        <w:tc>
          <w:tcPr>
            <w:tcW w:w="528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Statutory rate</w:t>
            </w:r>
          </w:p>
        </w:tc>
        <w:tc>
          <w:tcPr>
            <w:tcW w:w="2860" w:type="dxa"/>
            <w:vAlign w:val="bottom"/>
            <w:tcBorders>
              <w:bottom w:val="single" w:sz="8" w:color="CCEEFF"/>
            </w:tcBorders>
            <w:shd w:val="clear" w:color="auto" w:fill="CCEEFF"/>
          </w:tcPr>
          <w:p>
            <w:pPr>
              <w:jc w:val="right"/>
              <w:ind w:right="719"/>
              <w:spacing w:after="0"/>
              <w:rPr>
                <w:sz w:val="20"/>
                <w:szCs w:val="20"/>
                <w:color w:val="auto"/>
              </w:rPr>
            </w:pPr>
            <w:r>
              <w:rPr>
                <w:rFonts w:ascii="Arial" w:cs="Arial" w:eastAsia="Arial" w:hAnsi="Arial"/>
                <w:sz w:val="16"/>
                <w:szCs w:val="16"/>
                <w:b w:val="1"/>
                <w:bCs w:val="1"/>
                <w:color w:val="auto"/>
              </w:rPr>
              <w:t>35.0%</w:t>
            </w:r>
          </w:p>
        </w:tc>
        <w:tc>
          <w:tcPr>
            <w:tcW w:w="1980" w:type="dxa"/>
            <w:vAlign w:val="bottom"/>
            <w:tcBorders>
              <w:bottom w:val="single" w:sz="8" w:color="CCEEFF"/>
            </w:tcBorders>
            <w:shd w:val="clear" w:color="auto" w:fill="CCEEFF"/>
          </w:tcPr>
          <w:p>
            <w:pPr>
              <w:jc w:val="right"/>
              <w:ind w:right="719"/>
              <w:spacing w:after="0"/>
              <w:rPr>
                <w:sz w:val="20"/>
                <w:szCs w:val="20"/>
                <w:color w:val="auto"/>
              </w:rPr>
            </w:pPr>
            <w:r>
              <w:rPr>
                <w:rFonts w:ascii="Arial" w:cs="Arial" w:eastAsia="Arial" w:hAnsi="Arial"/>
                <w:sz w:val="16"/>
                <w:szCs w:val="16"/>
                <w:color w:val="auto"/>
              </w:rPr>
              <w:t>35.0%</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35.0%</w:t>
            </w:r>
          </w:p>
        </w:tc>
      </w:tr>
      <w:tr>
        <w:trPr>
          <w:trHeight w:val="237"/>
        </w:trPr>
        <w:tc>
          <w:tcPr>
            <w:tcW w:w="5280" w:type="dxa"/>
            <w:vAlign w:val="bottom"/>
          </w:tcPr>
          <w:p>
            <w:pPr>
              <w:ind w:left="40"/>
              <w:spacing w:after="0"/>
              <w:rPr>
                <w:sz w:val="20"/>
                <w:szCs w:val="20"/>
                <w:color w:val="auto"/>
              </w:rPr>
            </w:pPr>
            <w:r>
              <w:rPr>
                <w:rFonts w:ascii="Arial" w:cs="Arial" w:eastAsia="Arial" w:hAnsi="Arial"/>
                <w:sz w:val="16"/>
                <w:szCs w:val="16"/>
                <w:color w:val="auto"/>
              </w:rPr>
              <w:t>Goodwill impairment</w:t>
            </w:r>
          </w:p>
        </w:tc>
        <w:tc>
          <w:tcPr>
            <w:tcW w:w="2860" w:type="dxa"/>
            <w:vAlign w:val="bottom"/>
          </w:tcPr>
          <w:p>
            <w:pPr>
              <w:jc w:val="right"/>
              <w:ind w:right="719"/>
              <w:spacing w:after="0"/>
              <w:rPr>
                <w:sz w:val="20"/>
                <w:szCs w:val="20"/>
                <w:color w:val="auto"/>
              </w:rPr>
            </w:pPr>
            <w:r>
              <w:rPr>
                <w:rFonts w:ascii="Arial" w:cs="Arial" w:eastAsia="Arial" w:hAnsi="Arial"/>
                <w:sz w:val="16"/>
                <w:szCs w:val="16"/>
                <w:b w:val="1"/>
                <w:bCs w:val="1"/>
                <w:color w:val="auto"/>
              </w:rPr>
              <w:t>10.1%</w:t>
            </w:r>
          </w:p>
        </w:tc>
        <w:tc>
          <w:tcPr>
            <w:tcW w:w="1980" w:type="dxa"/>
            <w:vAlign w:val="bottom"/>
          </w:tcPr>
          <w:p>
            <w:pPr>
              <w:jc w:val="right"/>
              <w:ind w:right="83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39"/>
              <w:spacing w:after="0"/>
              <w:rPr>
                <w:sz w:val="20"/>
                <w:szCs w:val="20"/>
                <w:color w:val="auto"/>
              </w:rPr>
            </w:pPr>
            <w:r>
              <w:rPr>
                <w:rFonts w:ascii="Arial" w:cs="Arial" w:eastAsia="Arial" w:hAnsi="Arial"/>
                <w:sz w:val="16"/>
                <w:szCs w:val="16"/>
                <w:color w:val="auto"/>
              </w:rPr>
              <w:t>—</w:t>
            </w:r>
          </w:p>
        </w:tc>
      </w:tr>
      <w:tr>
        <w:trPr>
          <w:trHeight w:val="33"/>
        </w:trPr>
        <w:tc>
          <w:tcPr>
            <w:tcW w:w="528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State and local income taxes, net of federal income taxes</w:t>
            </w:r>
          </w:p>
        </w:tc>
        <w:tc>
          <w:tcPr>
            <w:tcW w:w="2860" w:type="dxa"/>
            <w:vAlign w:val="bottom"/>
            <w:tcBorders>
              <w:bottom w:val="single" w:sz="8" w:color="CCEEFF"/>
            </w:tcBorders>
            <w:shd w:val="clear" w:color="auto" w:fill="CCEEFF"/>
          </w:tcPr>
          <w:p>
            <w:pPr>
              <w:jc w:val="right"/>
              <w:ind w:right="719"/>
              <w:spacing w:after="0"/>
              <w:rPr>
                <w:sz w:val="20"/>
                <w:szCs w:val="20"/>
                <w:color w:val="auto"/>
              </w:rPr>
            </w:pPr>
            <w:r>
              <w:rPr>
                <w:rFonts w:ascii="Arial" w:cs="Arial" w:eastAsia="Arial" w:hAnsi="Arial"/>
                <w:sz w:val="16"/>
                <w:szCs w:val="16"/>
                <w:b w:val="1"/>
                <w:bCs w:val="1"/>
                <w:color w:val="auto"/>
              </w:rPr>
              <w:t>5.1%</w:t>
            </w:r>
          </w:p>
        </w:tc>
        <w:tc>
          <w:tcPr>
            <w:tcW w:w="1980" w:type="dxa"/>
            <w:vAlign w:val="bottom"/>
            <w:tcBorders>
              <w:bottom w:val="single" w:sz="8" w:color="CCEEFF"/>
            </w:tcBorders>
            <w:shd w:val="clear" w:color="auto" w:fill="CCEEFF"/>
          </w:tcPr>
          <w:p>
            <w:pPr>
              <w:jc w:val="right"/>
              <w:ind w:right="719"/>
              <w:spacing w:after="0"/>
              <w:rPr>
                <w:sz w:val="20"/>
                <w:szCs w:val="20"/>
                <w:color w:val="auto"/>
              </w:rPr>
            </w:pPr>
            <w:r>
              <w:rPr>
                <w:rFonts w:ascii="Arial" w:cs="Arial" w:eastAsia="Arial" w:hAnsi="Arial"/>
                <w:sz w:val="16"/>
                <w:szCs w:val="16"/>
                <w:color w:val="auto"/>
              </w:rPr>
              <w:t>4.1%</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w:t>
            </w:r>
          </w:p>
        </w:tc>
      </w:tr>
      <w:tr>
        <w:trPr>
          <w:trHeight w:val="237"/>
        </w:trPr>
        <w:tc>
          <w:tcPr>
            <w:tcW w:w="5280" w:type="dxa"/>
            <w:vAlign w:val="bottom"/>
          </w:tcPr>
          <w:p>
            <w:pPr>
              <w:ind w:left="40"/>
              <w:spacing w:after="0"/>
              <w:rPr>
                <w:sz w:val="20"/>
                <w:szCs w:val="20"/>
                <w:color w:val="auto"/>
              </w:rPr>
            </w:pPr>
            <w:r>
              <w:rPr>
                <w:rFonts w:ascii="Arial" w:cs="Arial" w:eastAsia="Arial" w:hAnsi="Arial"/>
                <w:sz w:val="16"/>
                <w:szCs w:val="16"/>
                <w:color w:val="auto"/>
              </w:rPr>
              <w:t>Non-deductible acquisition-related items</w:t>
            </w:r>
          </w:p>
        </w:tc>
        <w:tc>
          <w:tcPr>
            <w:tcW w:w="2860" w:type="dxa"/>
            <w:vAlign w:val="bottom"/>
          </w:tcPr>
          <w:p>
            <w:pPr>
              <w:jc w:val="right"/>
              <w:ind w:right="719"/>
              <w:spacing w:after="0"/>
              <w:rPr>
                <w:sz w:val="20"/>
                <w:szCs w:val="20"/>
                <w:color w:val="auto"/>
              </w:rPr>
            </w:pPr>
            <w:r>
              <w:rPr>
                <w:rFonts w:ascii="Arial" w:cs="Arial" w:eastAsia="Arial" w:hAnsi="Arial"/>
                <w:sz w:val="16"/>
                <w:szCs w:val="16"/>
                <w:b w:val="1"/>
                <w:bCs w:val="1"/>
                <w:color w:val="auto"/>
              </w:rPr>
              <w:t>0.6%</w:t>
            </w:r>
          </w:p>
        </w:tc>
        <w:tc>
          <w:tcPr>
            <w:tcW w:w="1980" w:type="dxa"/>
            <w:vAlign w:val="bottom"/>
          </w:tcPr>
          <w:p>
            <w:pPr>
              <w:jc w:val="right"/>
              <w:ind w:right="719"/>
              <w:spacing w:after="0"/>
              <w:rPr>
                <w:sz w:val="20"/>
                <w:szCs w:val="20"/>
                <w:color w:val="auto"/>
              </w:rPr>
            </w:pPr>
            <w:r>
              <w:rPr>
                <w:rFonts w:ascii="Arial" w:cs="Arial" w:eastAsia="Arial" w:hAnsi="Arial"/>
                <w:sz w:val="16"/>
                <w:szCs w:val="16"/>
                <w:color w:val="auto"/>
              </w:rPr>
              <w:t>0.4%</w:t>
            </w:r>
          </w:p>
        </w:tc>
        <w:tc>
          <w:tcPr>
            <w:tcW w:w="1280" w:type="dxa"/>
            <w:vAlign w:val="bottom"/>
          </w:tcPr>
          <w:p>
            <w:pPr>
              <w:jc w:val="right"/>
              <w:spacing w:after="0"/>
              <w:rPr>
                <w:sz w:val="20"/>
                <w:szCs w:val="20"/>
                <w:color w:val="auto"/>
              </w:rPr>
            </w:pPr>
            <w:r>
              <w:rPr>
                <w:rFonts w:ascii="Arial" w:cs="Arial" w:eastAsia="Arial" w:hAnsi="Arial"/>
                <w:sz w:val="16"/>
                <w:szCs w:val="16"/>
                <w:color w:val="auto"/>
              </w:rPr>
              <w:t>0.9%</w:t>
            </w:r>
          </w:p>
        </w:tc>
      </w:tr>
      <w:tr>
        <w:trPr>
          <w:trHeight w:val="33"/>
        </w:trPr>
        <w:tc>
          <w:tcPr>
            <w:tcW w:w="528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Federal credits</w:t>
            </w:r>
          </w:p>
        </w:tc>
        <w:tc>
          <w:tcPr>
            <w:tcW w:w="2860" w:type="dxa"/>
            <w:vAlign w:val="bottom"/>
            <w:tcBorders>
              <w:bottom w:val="single" w:sz="8" w:color="CCEEFF"/>
            </w:tcBorders>
            <w:shd w:val="clear" w:color="auto" w:fill="CCEEFF"/>
          </w:tcPr>
          <w:p>
            <w:pPr>
              <w:jc w:val="right"/>
              <w:ind w:right="659"/>
              <w:spacing w:after="0"/>
              <w:rPr>
                <w:sz w:val="20"/>
                <w:szCs w:val="20"/>
                <w:color w:val="auto"/>
              </w:rPr>
            </w:pPr>
            <w:r>
              <w:rPr>
                <w:rFonts w:ascii="Arial" w:cs="Arial" w:eastAsia="Arial" w:hAnsi="Arial"/>
                <w:sz w:val="16"/>
                <w:szCs w:val="16"/>
                <w:b w:val="1"/>
                <w:bCs w:val="1"/>
                <w:color w:val="auto"/>
              </w:rPr>
              <w:t>(0.6%)</w:t>
            </w:r>
          </w:p>
        </w:tc>
        <w:tc>
          <w:tcPr>
            <w:tcW w:w="1980" w:type="dxa"/>
            <w:vAlign w:val="bottom"/>
            <w:tcBorders>
              <w:bottom w:val="single" w:sz="8" w:color="CCEEFF"/>
            </w:tcBorders>
            <w:shd w:val="clear" w:color="auto" w:fill="CCEEFF"/>
          </w:tcPr>
          <w:p>
            <w:pPr>
              <w:jc w:val="right"/>
              <w:ind w:right="659"/>
              <w:spacing w:after="0"/>
              <w:rPr>
                <w:sz w:val="20"/>
                <w:szCs w:val="20"/>
                <w:color w:val="auto"/>
              </w:rPr>
            </w:pPr>
            <w:r>
              <w:rPr>
                <w:rFonts w:ascii="Arial" w:cs="Arial" w:eastAsia="Arial" w:hAnsi="Arial"/>
                <w:sz w:val="16"/>
                <w:szCs w:val="16"/>
                <w:color w:val="auto"/>
              </w:rPr>
              <w:t>(0.6%)</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w:t>
            </w:r>
          </w:p>
        </w:tc>
      </w:tr>
      <w:tr>
        <w:trPr>
          <w:trHeight w:val="237"/>
        </w:trPr>
        <w:tc>
          <w:tcPr>
            <w:tcW w:w="5280" w:type="dxa"/>
            <w:vAlign w:val="bottom"/>
          </w:tcPr>
          <w:p>
            <w:pPr>
              <w:ind w:left="40"/>
              <w:spacing w:after="0"/>
              <w:rPr>
                <w:sz w:val="20"/>
                <w:szCs w:val="20"/>
                <w:color w:val="auto"/>
              </w:rPr>
            </w:pPr>
            <w:r>
              <w:rPr>
                <w:rFonts w:ascii="Arial" w:cs="Arial" w:eastAsia="Arial" w:hAnsi="Arial"/>
                <w:sz w:val="16"/>
                <w:szCs w:val="16"/>
                <w:color w:val="auto"/>
              </w:rPr>
              <w:t>Other, net</w:t>
            </w:r>
          </w:p>
        </w:tc>
        <w:tc>
          <w:tcPr>
            <w:tcW w:w="2860" w:type="dxa"/>
            <w:vAlign w:val="bottom"/>
          </w:tcPr>
          <w:p>
            <w:pPr>
              <w:jc w:val="right"/>
              <w:ind w:right="659"/>
              <w:spacing w:after="0"/>
              <w:rPr>
                <w:sz w:val="20"/>
                <w:szCs w:val="20"/>
                <w:color w:val="auto"/>
              </w:rPr>
            </w:pPr>
            <w:r>
              <w:rPr>
                <w:rFonts w:ascii="Arial" w:cs="Arial" w:eastAsia="Arial" w:hAnsi="Arial"/>
                <w:sz w:val="16"/>
                <w:szCs w:val="16"/>
                <w:b w:val="1"/>
                <w:bCs w:val="1"/>
                <w:color w:val="auto"/>
              </w:rPr>
              <w:t>(2.0%)</w:t>
            </w:r>
          </w:p>
        </w:tc>
        <w:tc>
          <w:tcPr>
            <w:tcW w:w="1980" w:type="dxa"/>
            <w:vAlign w:val="bottom"/>
          </w:tcPr>
          <w:p>
            <w:pPr>
              <w:jc w:val="right"/>
              <w:ind w:right="659"/>
              <w:spacing w:after="0"/>
              <w:rPr>
                <w:sz w:val="20"/>
                <w:szCs w:val="20"/>
                <w:color w:val="auto"/>
              </w:rPr>
            </w:pPr>
            <w:r>
              <w:rPr>
                <w:rFonts w:ascii="Arial" w:cs="Arial" w:eastAsia="Arial" w:hAnsi="Arial"/>
                <w:sz w:val="16"/>
                <w:szCs w:val="16"/>
                <w:color w:val="auto"/>
              </w:rPr>
              <w:t>(0.3%)</w:t>
            </w:r>
          </w:p>
        </w:tc>
        <w:tc>
          <w:tcPr>
            <w:tcW w:w="1280" w:type="dxa"/>
            <w:vAlign w:val="bottom"/>
          </w:tcPr>
          <w:p>
            <w:pPr>
              <w:jc w:val="right"/>
              <w:spacing w:after="0"/>
              <w:rPr>
                <w:sz w:val="20"/>
                <w:szCs w:val="20"/>
                <w:color w:val="auto"/>
              </w:rPr>
            </w:pPr>
            <w:r>
              <w:rPr>
                <w:rFonts w:ascii="Arial" w:cs="Arial" w:eastAsia="Arial" w:hAnsi="Arial"/>
                <w:sz w:val="16"/>
                <w:szCs w:val="16"/>
                <w:color w:val="auto"/>
              </w:rPr>
              <w:t>(0.3%)</w:t>
            </w:r>
          </w:p>
        </w:tc>
      </w:tr>
      <w:tr>
        <w:trPr>
          <w:trHeight w:val="33"/>
        </w:trPr>
        <w:tc>
          <w:tcPr>
            <w:tcW w:w="528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9"/>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Effective tax rate</w:t>
            </w:r>
          </w:p>
        </w:tc>
        <w:tc>
          <w:tcPr>
            <w:tcW w:w="2860" w:type="dxa"/>
            <w:vAlign w:val="bottom"/>
            <w:tcBorders>
              <w:bottom w:val="single" w:sz="8" w:color="CCEEFF"/>
            </w:tcBorders>
            <w:shd w:val="clear" w:color="auto" w:fill="CCEEFF"/>
          </w:tcPr>
          <w:p>
            <w:pPr>
              <w:jc w:val="right"/>
              <w:ind w:right="719"/>
              <w:spacing w:after="0"/>
              <w:rPr>
                <w:sz w:val="20"/>
                <w:szCs w:val="20"/>
                <w:color w:val="auto"/>
              </w:rPr>
            </w:pPr>
            <w:r>
              <w:rPr>
                <w:rFonts w:ascii="Arial" w:cs="Arial" w:eastAsia="Arial" w:hAnsi="Arial"/>
                <w:sz w:val="16"/>
                <w:szCs w:val="16"/>
                <w:b w:val="1"/>
                <w:bCs w:val="1"/>
                <w:color w:val="auto"/>
              </w:rPr>
              <w:t>48.2%</w:t>
            </w:r>
          </w:p>
        </w:tc>
        <w:tc>
          <w:tcPr>
            <w:tcW w:w="1980" w:type="dxa"/>
            <w:vAlign w:val="bottom"/>
            <w:tcBorders>
              <w:bottom w:val="single" w:sz="8" w:color="CCEEFF"/>
            </w:tcBorders>
            <w:shd w:val="clear" w:color="auto" w:fill="CCEEFF"/>
          </w:tcPr>
          <w:p>
            <w:pPr>
              <w:jc w:val="right"/>
              <w:ind w:right="719"/>
              <w:spacing w:after="0"/>
              <w:rPr>
                <w:sz w:val="20"/>
                <w:szCs w:val="20"/>
                <w:color w:val="auto"/>
              </w:rPr>
            </w:pPr>
            <w:r>
              <w:rPr>
                <w:rFonts w:ascii="Arial" w:cs="Arial" w:eastAsia="Arial" w:hAnsi="Arial"/>
                <w:sz w:val="16"/>
                <w:szCs w:val="16"/>
                <w:color w:val="auto"/>
              </w:rPr>
              <w:t>38.6%</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39.2%</w:t>
            </w:r>
          </w:p>
        </w:tc>
      </w:tr>
      <w:tr>
        <w:trPr>
          <w:trHeight w:val="649"/>
        </w:trPr>
        <w:tc>
          <w:tcPr>
            <w:tcW w:w="528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58</w:t>
            </w:r>
          </w:p>
        </w:tc>
        <w:tc>
          <w:tcPr>
            <w:tcW w:w="2860" w:type="dxa"/>
            <w:vAlign w:val="bottom"/>
            <w:tcBorders>
              <w:top w:val="single" w:sz="8" w:color="auto"/>
            </w:tcBorders>
          </w:tcPr>
          <w:p>
            <w:pPr>
              <w:spacing w:after="0"/>
              <w:rPr>
                <w:sz w:val="24"/>
                <w:szCs w:val="24"/>
                <w:color w:val="auto"/>
              </w:rPr>
            </w:pPr>
          </w:p>
        </w:tc>
        <w:tc>
          <w:tcPr>
            <w:tcW w:w="198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r>
    </w:tbl>
    <w:p>
      <w:pPr>
        <w:sectPr>
          <w:pgSz w:w="11900" w:h="16838" w:orient="portrait"/>
          <w:cols w:equalWidth="0" w:num="1">
            <w:col w:w="11400"/>
          </w:cols>
          <w:pgMar w:left="240" w:top="126" w:right="259" w:bottom="1440" w:gutter="0" w:footer="0" w:header="0"/>
        </w:sectPr>
      </w:pPr>
    </w:p>
    <w:bookmarkStart w:id="59" w:name="page60"/>
    <w:bookmarkEnd w:id="59"/>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Nordstrom, Inc.</w:t>
      </w:r>
    </w:p>
    <w:p>
      <w:pPr>
        <w:spacing w:after="0" w:line="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rPr>
          <w:sz w:val="20"/>
          <w:szCs w:val="20"/>
          <w:color w:val="auto"/>
        </w:rPr>
      </w:pPr>
      <w:r>
        <w:rPr>
          <w:rFonts w:ascii="Arial" w:cs="Arial" w:eastAsia="Arial" w:hAnsi="Arial"/>
          <w:sz w:val="18"/>
          <w:szCs w:val="18"/>
          <w:color w:val="auto"/>
        </w:rPr>
        <w:t>Dollar and share amounts in millions except per share, per option and per unit amounts</w:t>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deferred tax assets and liabilities are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100" w:type="dxa"/>
            <w:vAlign w:val="bottom"/>
          </w:tcPr>
          <w:p>
            <w:pPr>
              <w:spacing w:after="0"/>
              <w:rPr>
                <w:sz w:val="18"/>
                <w:szCs w:val="18"/>
                <w:color w:val="auto"/>
              </w:rPr>
            </w:pPr>
          </w:p>
        </w:tc>
        <w:tc>
          <w:tcPr>
            <w:tcW w:w="3500" w:type="dxa"/>
            <w:vAlign w:val="bottom"/>
          </w:tcPr>
          <w:p>
            <w:pPr>
              <w:jc w:val="right"/>
              <w:ind w:right="359"/>
              <w:spacing w:after="0"/>
              <w:rPr>
                <w:sz w:val="20"/>
                <w:szCs w:val="20"/>
                <w:color w:val="auto"/>
              </w:rPr>
            </w:pPr>
            <w:r>
              <w:rPr>
                <w:rFonts w:ascii="Arial" w:cs="Arial" w:eastAsia="Arial" w:hAnsi="Arial"/>
                <w:sz w:val="16"/>
                <w:szCs w:val="16"/>
                <w:b w:val="1"/>
                <w:bCs w:val="1"/>
                <w:color w:val="auto"/>
              </w:rPr>
              <w:t>January 28, 2017</w:t>
            </w:r>
          </w:p>
        </w:tc>
        <w:tc>
          <w:tcPr>
            <w:tcW w:w="1800" w:type="dxa"/>
            <w:vAlign w:val="bottom"/>
          </w:tcPr>
          <w:p>
            <w:pPr>
              <w:jc w:val="right"/>
              <w:ind w:right="139"/>
              <w:spacing w:after="0"/>
              <w:rPr>
                <w:sz w:val="20"/>
                <w:szCs w:val="20"/>
                <w:color w:val="auto"/>
              </w:rPr>
            </w:pPr>
            <w:r>
              <w:rPr>
                <w:rFonts w:ascii="Arial" w:cs="Arial" w:eastAsia="Arial" w:hAnsi="Arial"/>
                <w:sz w:val="16"/>
                <w:szCs w:val="16"/>
                <w:b w:val="1"/>
                <w:bCs w:val="1"/>
                <w:color w:val="auto"/>
              </w:rPr>
              <w:t>January 30, 2016</w:t>
            </w:r>
          </w:p>
        </w:tc>
      </w:tr>
      <w:tr>
        <w:trPr>
          <w:trHeight w:val="33"/>
        </w:trPr>
        <w:tc>
          <w:tcPr>
            <w:tcW w:w="6100" w:type="dxa"/>
            <w:vAlign w:val="bottom"/>
            <w:tcBorders>
              <w:bottom w:val="single" w:sz="8" w:color="auto"/>
            </w:tcBorders>
          </w:tcPr>
          <w:p>
            <w:pPr>
              <w:spacing w:after="0"/>
              <w:rPr>
                <w:sz w:val="2"/>
                <w:szCs w:val="2"/>
                <w:color w:val="auto"/>
              </w:rPr>
            </w:pPr>
          </w:p>
        </w:tc>
        <w:tc>
          <w:tcPr>
            <w:tcW w:w="35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44"/>
        </w:trPr>
        <w:tc>
          <w:tcPr>
            <w:tcW w:w="6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Compensation and benefits accruals</w:t>
            </w:r>
          </w:p>
        </w:tc>
        <w:tc>
          <w:tcPr>
            <w:tcW w:w="350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b w:val="1"/>
                <w:bCs w:val="1"/>
                <w:color w:val="auto"/>
              </w:rPr>
              <w:t>$209</w:t>
            </w:r>
          </w:p>
        </w:tc>
        <w:tc>
          <w:tcPr>
            <w:tcW w:w="18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$194</w:t>
            </w:r>
          </w:p>
        </w:tc>
      </w:tr>
      <w:tr>
        <w:trPr>
          <w:trHeight w:val="237"/>
        </w:trPr>
        <w:tc>
          <w:tcPr>
            <w:tcW w:w="6100" w:type="dxa"/>
            <w:vAlign w:val="bottom"/>
          </w:tcPr>
          <w:p>
            <w:pPr>
              <w:ind w:left="40"/>
              <w:spacing w:after="0"/>
              <w:rPr>
                <w:sz w:val="20"/>
                <w:szCs w:val="20"/>
                <w:color w:val="auto"/>
              </w:rPr>
            </w:pPr>
            <w:r>
              <w:rPr>
                <w:rFonts w:ascii="Arial" w:cs="Arial" w:eastAsia="Arial" w:hAnsi="Arial"/>
                <w:sz w:val="16"/>
                <w:szCs w:val="16"/>
                <w:color w:val="auto"/>
              </w:rPr>
              <w:t>Allowance for sales returns</w:t>
            </w:r>
          </w:p>
        </w:tc>
        <w:tc>
          <w:tcPr>
            <w:tcW w:w="3500" w:type="dxa"/>
            <w:vAlign w:val="bottom"/>
          </w:tcPr>
          <w:p>
            <w:pPr>
              <w:jc w:val="right"/>
              <w:ind w:right="359"/>
              <w:spacing w:after="0"/>
              <w:rPr>
                <w:sz w:val="20"/>
                <w:szCs w:val="20"/>
                <w:color w:val="auto"/>
              </w:rPr>
            </w:pPr>
            <w:r>
              <w:rPr>
                <w:rFonts w:ascii="Arial" w:cs="Arial" w:eastAsia="Arial" w:hAnsi="Arial"/>
                <w:sz w:val="16"/>
                <w:szCs w:val="16"/>
                <w:b w:val="1"/>
                <w:bCs w:val="1"/>
                <w:color w:val="auto"/>
              </w:rPr>
              <w:t>76</w:t>
            </w:r>
          </w:p>
        </w:tc>
        <w:tc>
          <w:tcPr>
            <w:tcW w:w="1800" w:type="dxa"/>
            <w:vAlign w:val="bottom"/>
          </w:tcPr>
          <w:p>
            <w:pPr>
              <w:jc w:val="right"/>
              <w:ind w:right="139"/>
              <w:spacing w:after="0"/>
              <w:rPr>
                <w:sz w:val="20"/>
                <w:szCs w:val="20"/>
                <w:color w:val="auto"/>
              </w:rPr>
            </w:pPr>
            <w:r>
              <w:rPr>
                <w:rFonts w:ascii="Arial" w:cs="Arial" w:eastAsia="Arial" w:hAnsi="Arial"/>
                <w:sz w:val="16"/>
                <w:szCs w:val="16"/>
                <w:color w:val="auto"/>
              </w:rPr>
              <w:t>73</w:t>
            </w:r>
          </w:p>
        </w:tc>
      </w:tr>
      <w:tr>
        <w:trPr>
          <w:trHeight w:val="33"/>
        </w:trPr>
        <w:tc>
          <w:tcPr>
            <w:tcW w:w="6100" w:type="dxa"/>
            <w:vAlign w:val="bottom"/>
          </w:tcPr>
          <w:p>
            <w:pPr>
              <w:spacing w:after="0"/>
              <w:rPr>
                <w:sz w:val="2"/>
                <w:szCs w:val="2"/>
                <w:color w:val="auto"/>
              </w:rPr>
            </w:pPr>
          </w:p>
        </w:tc>
        <w:tc>
          <w:tcPr>
            <w:tcW w:w="350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6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Credit card receivable transaction</w:t>
            </w:r>
          </w:p>
        </w:tc>
        <w:tc>
          <w:tcPr>
            <w:tcW w:w="350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b w:val="1"/>
                <w:bCs w:val="1"/>
                <w:color w:val="auto"/>
              </w:rPr>
              <w:t>13</w:t>
            </w:r>
          </w:p>
        </w:tc>
        <w:tc>
          <w:tcPr>
            <w:tcW w:w="18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28</w:t>
            </w:r>
          </w:p>
        </w:tc>
      </w:tr>
      <w:tr>
        <w:trPr>
          <w:trHeight w:val="237"/>
        </w:trPr>
        <w:tc>
          <w:tcPr>
            <w:tcW w:w="6100" w:type="dxa"/>
            <w:vAlign w:val="bottom"/>
          </w:tcPr>
          <w:p>
            <w:pPr>
              <w:ind w:left="40"/>
              <w:spacing w:after="0"/>
              <w:rPr>
                <w:sz w:val="20"/>
                <w:szCs w:val="20"/>
                <w:color w:val="auto"/>
              </w:rPr>
            </w:pPr>
            <w:r>
              <w:rPr>
                <w:rFonts w:ascii="Arial" w:cs="Arial" w:eastAsia="Arial" w:hAnsi="Arial"/>
                <w:sz w:val="16"/>
                <w:szCs w:val="16"/>
                <w:color w:val="auto"/>
              </w:rPr>
              <w:t>Accrued expenses</w:t>
            </w:r>
          </w:p>
        </w:tc>
        <w:tc>
          <w:tcPr>
            <w:tcW w:w="3500" w:type="dxa"/>
            <w:vAlign w:val="bottom"/>
          </w:tcPr>
          <w:p>
            <w:pPr>
              <w:jc w:val="right"/>
              <w:ind w:right="359"/>
              <w:spacing w:after="0"/>
              <w:rPr>
                <w:sz w:val="20"/>
                <w:szCs w:val="20"/>
                <w:color w:val="auto"/>
              </w:rPr>
            </w:pPr>
            <w:r>
              <w:rPr>
                <w:rFonts w:ascii="Arial" w:cs="Arial" w:eastAsia="Arial" w:hAnsi="Arial"/>
                <w:sz w:val="16"/>
                <w:szCs w:val="16"/>
                <w:b w:val="1"/>
                <w:bCs w:val="1"/>
                <w:color w:val="auto"/>
              </w:rPr>
              <w:t>39</w:t>
            </w:r>
          </w:p>
        </w:tc>
        <w:tc>
          <w:tcPr>
            <w:tcW w:w="1800" w:type="dxa"/>
            <w:vAlign w:val="bottom"/>
          </w:tcPr>
          <w:p>
            <w:pPr>
              <w:jc w:val="right"/>
              <w:ind w:right="139"/>
              <w:spacing w:after="0"/>
              <w:rPr>
                <w:sz w:val="20"/>
                <w:szCs w:val="20"/>
                <w:color w:val="auto"/>
              </w:rPr>
            </w:pPr>
            <w:r>
              <w:rPr>
                <w:rFonts w:ascii="Arial" w:cs="Arial" w:eastAsia="Arial" w:hAnsi="Arial"/>
                <w:sz w:val="16"/>
                <w:szCs w:val="16"/>
                <w:color w:val="auto"/>
              </w:rPr>
              <w:t>48</w:t>
            </w:r>
          </w:p>
        </w:tc>
      </w:tr>
      <w:tr>
        <w:trPr>
          <w:trHeight w:val="33"/>
        </w:trPr>
        <w:tc>
          <w:tcPr>
            <w:tcW w:w="6100" w:type="dxa"/>
            <w:vAlign w:val="bottom"/>
          </w:tcPr>
          <w:p>
            <w:pPr>
              <w:spacing w:after="0"/>
              <w:rPr>
                <w:sz w:val="2"/>
                <w:szCs w:val="2"/>
                <w:color w:val="auto"/>
              </w:rPr>
            </w:pPr>
          </w:p>
        </w:tc>
        <w:tc>
          <w:tcPr>
            <w:tcW w:w="350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6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Merchandise inventories</w:t>
            </w:r>
          </w:p>
        </w:tc>
        <w:tc>
          <w:tcPr>
            <w:tcW w:w="350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b w:val="1"/>
                <w:bCs w:val="1"/>
                <w:color w:val="auto"/>
              </w:rPr>
              <w:t>43</w:t>
            </w:r>
          </w:p>
        </w:tc>
        <w:tc>
          <w:tcPr>
            <w:tcW w:w="18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35</w:t>
            </w:r>
          </w:p>
        </w:tc>
      </w:tr>
      <w:tr>
        <w:trPr>
          <w:trHeight w:val="237"/>
        </w:trPr>
        <w:tc>
          <w:tcPr>
            <w:tcW w:w="6100" w:type="dxa"/>
            <w:vAlign w:val="bottom"/>
          </w:tcPr>
          <w:p>
            <w:pPr>
              <w:ind w:left="40"/>
              <w:spacing w:after="0"/>
              <w:rPr>
                <w:sz w:val="20"/>
                <w:szCs w:val="20"/>
                <w:color w:val="auto"/>
              </w:rPr>
            </w:pPr>
            <w:r>
              <w:rPr>
                <w:rFonts w:ascii="Arial" w:cs="Arial" w:eastAsia="Arial" w:hAnsi="Arial"/>
                <w:sz w:val="16"/>
                <w:szCs w:val="16"/>
                <w:color w:val="auto"/>
              </w:rPr>
              <w:t>Gift cards</w:t>
            </w:r>
          </w:p>
        </w:tc>
        <w:tc>
          <w:tcPr>
            <w:tcW w:w="3500" w:type="dxa"/>
            <w:vAlign w:val="bottom"/>
          </w:tcPr>
          <w:p>
            <w:pPr>
              <w:jc w:val="right"/>
              <w:ind w:right="359"/>
              <w:spacing w:after="0"/>
              <w:rPr>
                <w:sz w:val="20"/>
                <w:szCs w:val="20"/>
                <w:color w:val="auto"/>
              </w:rPr>
            </w:pPr>
            <w:r>
              <w:rPr>
                <w:rFonts w:ascii="Arial" w:cs="Arial" w:eastAsia="Arial" w:hAnsi="Arial"/>
                <w:sz w:val="16"/>
                <w:szCs w:val="16"/>
                <w:b w:val="1"/>
                <w:bCs w:val="1"/>
                <w:color w:val="auto"/>
              </w:rPr>
              <w:t>33</w:t>
            </w:r>
          </w:p>
        </w:tc>
        <w:tc>
          <w:tcPr>
            <w:tcW w:w="1800" w:type="dxa"/>
            <w:vAlign w:val="bottom"/>
          </w:tcPr>
          <w:p>
            <w:pPr>
              <w:jc w:val="right"/>
              <w:ind w:right="139"/>
              <w:spacing w:after="0"/>
              <w:rPr>
                <w:sz w:val="20"/>
                <w:szCs w:val="20"/>
                <w:color w:val="auto"/>
              </w:rPr>
            </w:pPr>
            <w:r>
              <w:rPr>
                <w:rFonts w:ascii="Arial" w:cs="Arial" w:eastAsia="Arial" w:hAnsi="Arial"/>
                <w:sz w:val="16"/>
                <w:szCs w:val="16"/>
                <w:color w:val="auto"/>
              </w:rPr>
              <w:t>29</w:t>
            </w:r>
          </w:p>
        </w:tc>
      </w:tr>
      <w:tr>
        <w:trPr>
          <w:trHeight w:val="33"/>
        </w:trPr>
        <w:tc>
          <w:tcPr>
            <w:tcW w:w="6100" w:type="dxa"/>
            <w:vAlign w:val="bottom"/>
          </w:tcPr>
          <w:p>
            <w:pPr>
              <w:spacing w:after="0"/>
              <w:rPr>
                <w:sz w:val="2"/>
                <w:szCs w:val="2"/>
                <w:color w:val="auto"/>
              </w:rPr>
            </w:pPr>
          </w:p>
        </w:tc>
        <w:tc>
          <w:tcPr>
            <w:tcW w:w="350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6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Nordstrom Notes</w:t>
            </w:r>
          </w:p>
        </w:tc>
        <w:tc>
          <w:tcPr>
            <w:tcW w:w="350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b w:val="1"/>
                <w:bCs w:val="1"/>
                <w:color w:val="auto"/>
              </w:rPr>
              <w:t>—</w:t>
            </w:r>
          </w:p>
        </w:tc>
        <w:tc>
          <w:tcPr>
            <w:tcW w:w="18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24</w:t>
            </w:r>
          </w:p>
        </w:tc>
      </w:tr>
      <w:tr>
        <w:trPr>
          <w:trHeight w:val="237"/>
        </w:trPr>
        <w:tc>
          <w:tcPr>
            <w:tcW w:w="6100" w:type="dxa"/>
            <w:vAlign w:val="bottom"/>
          </w:tcPr>
          <w:p>
            <w:pPr>
              <w:ind w:left="40"/>
              <w:spacing w:after="0"/>
              <w:rPr>
                <w:sz w:val="20"/>
                <w:szCs w:val="20"/>
                <w:color w:val="auto"/>
              </w:rPr>
            </w:pPr>
            <w:r>
              <w:rPr>
                <w:rFonts w:ascii="Arial" w:cs="Arial" w:eastAsia="Arial" w:hAnsi="Arial"/>
                <w:sz w:val="16"/>
                <w:szCs w:val="16"/>
                <w:color w:val="auto"/>
              </w:rPr>
              <w:t>Federal benefit of state taxes</w:t>
            </w:r>
          </w:p>
        </w:tc>
        <w:tc>
          <w:tcPr>
            <w:tcW w:w="3500" w:type="dxa"/>
            <w:vAlign w:val="bottom"/>
          </w:tcPr>
          <w:p>
            <w:pPr>
              <w:jc w:val="right"/>
              <w:ind w:right="359"/>
              <w:spacing w:after="0"/>
              <w:rPr>
                <w:sz w:val="20"/>
                <w:szCs w:val="20"/>
                <w:color w:val="auto"/>
              </w:rPr>
            </w:pPr>
            <w:r>
              <w:rPr>
                <w:rFonts w:ascii="Arial" w:cs="Arial" w:eastAsia="Arial" w:hAnsi="Arial"/>
                <w:sz w:val="16"/>
                <w:szCs w:val="16"/>
                <w:b w:val="1"/>
                <w:bCs w:val="1"/>
                <w:color w:val="auto"/>
              </w:rPr>
              <w:t>18</w:t>
            </w:r>
          </w:p>
        </w:tc>
        <w:tc>
          <w:tcPr>
            <w:tcW w:w="1800" w:type="dxa"/>
            <w:vAlign w:val="bottom"/>
          </w:tcPr>
          <w:p>
            <w:pPr>
              <w:jc w:val="right"/>
              <w:ind w:right="139"/>
              <w:spacing w:after="0"/>
              <w:rPr>
                <w:sz w:val="20"/>
                <w:szCs w:val="20"/>
                <w:color w:val="auto"/>
              </w:rPr>
            </w:pPr>
            <w:r>
              <w:rPr>
                <w:rFonts w:ascii="Arial" w:cs="Arial" w:eastAsia="Arial" w:hAnsi="Arial"/>
                <w:sz w:val="16"/>
                <w:szCs w:val="16"/>
                <w:color w:val="auto"/>
              </w:rPr>
              <w:t>4</w:t>
            </w:r>
          </w:p>
        </w:tc>
      </w:tr>
      <w:tr>
        <w:trPr>
          <w:trHeight w:val="33"/>
        </w:trPr>
        <w:tc>
          <w:tcPr>
            <w:tcW w:w="6100" w:type="dxa"/>
            <w:vAlign w:val="bottom"/>
          </w:tcPr>
          <w:p>
            <w:pPr>
              <w:spacing w:after="0"/>
              <w:rPr>
                <w:sz w:val="2"/>
                <w:szCs w:val="2"/>
                <w:color w:val="auto"/>
              </w:rPr>
            </w:pPr>
          </w:p>
        </w:tc>
        <w:tc>
          <w:tcPr>
            <w:tcW w:w="350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6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operating losses</w:t>
            </w:r>
          </w:p>
        </w:tc>
        <w:tc>
          <w:tcPr>
            <w:tcW w:w="350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b w:val="1"/>
                <w:bCs w:val="1"/>
                <w:color w:val="auto"/>
              </w:rPr>
              <w:t>12</w:t>
            </w:r>
          </w:p>
        </w:tc>
        <w:tc>
          <w:tcPr>
            <w:tcW w:w="18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7</w:t>
            </w:r>
          </w:p>
        </w:tc>
      </w:tr>
      <w:tr>
        <w:trPr>
          <w:trHeight w:val="237"/>
        </w:trPr>
        <w:tc>
          <w:tcPr>
            <w:tcW w:w="6100" w:type="dxa"/>
            <w:vAlign w:val="bottom"/>
          </w:tcPr>
          <w:p>
            <w:pPr>
              <w:ind w:left="40"/>
              <w:spacing w:after="0"/>
              <w:rPr>
                <w:sz w:val="20"/>
                <w:szCs w:val="20"/>
                <w:color w:val="auto"/>
              </w:rPr>
            </w:pPr>
            <w:r>
              <w:rPr>
                <w:rFonts w:ascii="Arial" w:cs="Arial" w:eastAsia="Arial" w:hAnsi="Arial"/>
                <w:sz w:val="16"/>
                <w:szCs w:val="16"/>
                <w:color w:val="auto"/>
              </w:rPr>
              <w:t>Gain on sale of interest rate swap</w:t>
            </w:r>
          </w:p>
        </w:tc>
        <w:tc>
          <w:tcPr>
            <w:tcW w:w="3500" w:type="dxa"/>
            <w:vAlign w:val="bottom"/>
          </w:tcPr>
          <w:p>
            <w:pPr>
              <w:jc w:val="right"/>
              <w:ind w:right="359"/>
              <w:spacing w:after="0"/>
              <w:rPr>
                <w:sz w:val="20"/>
                <w:szCs w:val="20"/>
                <w:color w:val="auto"/>
              </w:rPr>
            </w:pPr>
            <w:r>
              <w:rPr>
                <w:rFonts w:ascii="Arial" w:cs="Arial" w:eastAsia="Arial" w:hAnsi="Arial"/>
                <w:sz w:val="16"/>
                <w:szCs w:val="16"/>
                <w:b w:val="1"/>
                <w:bCs w:val="1"/>
                <w:color w:val="auto"/>
              </w:rPr>
              <w:t>4</w:t>
            </w:r>
          </w:p>
        </w:tc>
        <w:tc>
          <w:tcPr>
            <w:tcW w:w="1800" w:type="dxa"/>
            <w:vAlign w:val="bottom"/>
          </w:tcPr>
          <w:p>
            <w:pPr>
              <w:jc w:val="right"/>
              <w:ind w:right="139"/>
              <w:spacing w:after="0"/>
              <w:rPr>
                <w:sz w:val="20"/>
                <w:szCs w:val="20"/>
                <w:color w:val="auto"/>
              </w:rPr>
            </w:pPr>
            <w:r>
              <w:rPr>
                <w:rFonts w:ascii="Arial" w:cs="Arial" w:eastAsia="Arial" w:hAnsi="Arial"/>
                <w:sz w:val="16"/>
                <w:szCs w:val="16"/>
                <w:color w:val="auto"/>
              </w:rPr>
              <w:t>9</w:t>
            </w:r>
          </w:p>
        </w:tc>
      </w:tr>
      <w:tr>
        <w:trPr>
          <w:trHeight w:val="33"/>
        </w:trPr>
        <w:tc>
          <w:tcPr>
            <w:tcW w:w="6100" w:type="dxa"/>
            <w:vAlign w:val="bottom"/>
          </w:tcPr>
          <w:p>
            <w:pPr>
              <w:spacing w:after="0"/>
              <w:rPr>
                <w:sz w:val="2"/>
                <w:szCs w:val="2"/>
                <w:color w:val="auto"/>
              </w:rPr>
            </w:pPr>
          </w:p>
        </w:tc>
        <w:tc>
          <w:tcPr>
            <w:tcW w:w="350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5"/>
        </w:trPr>
        <w:tc>
          <w:tcPr>
            <w:tcW w:w="6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350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b w:val="1"/>
                <w:bCs w:val="1"/>
                <w:color w:val="auto"/>
              </w:rPr>
              <w:t>18</w:t>
            </w:r>
          </w:p>
        </w:tc>
        <w:tc>
          <w:tcPr>
            <w:tcW w:w="18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7</w:t>
            </w:r>
          </w:p>
        </w:tc>
      </w:tr>
      <w:tr>
        <w:trPr>
          <w:trHeight w:val="231"/>
        </w:trPr>
        <w:tc>
          <w:tcPr>
            <w:tcW w:w="610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Total deferred tax assets</w:t>
            </w:r>
          </w:p>
        </w:tc>
        <w:tc>
          <w:tcPr>
            <w:tcW w:w="3500" w:type="dxa"/>
            <w:vAlign w:val="bottom"/>
            <w:tcBorders>
              <w:top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465</w:t>
            </w:r>
          </w:p>
        </w:tc>
        <w:tc>
          <w:tcPr>
            <w:tcW w:w="180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458</w:t>
            </w:r>
          </w:p>
        </w:tc>
      </w:tr>
      <w:tr>
        <w:trPr>
          <w:trHeight w:val="33"/>
        </w:trPr>
        <w:tc>
          <w:tcPr>
            <w:tcW w:w="6100" w:type="dxa"/>
            <w:vAlign w:val="bottom"/>
          </w:tcPr>
          <w:p>
            <w:pPr>
              <w:spacing w:after="0"/>
              <w:rPr>
                <w:sz w:val="2"/>
                <w:szCs w:val="2"/>
                <w:color w:val="auto"/>
              </w:rPr>
            </w:pPr>
          </w:p>
        </w:tc>
        <w:tc>
          <w:tcPr>
            <w:tcW w:w="350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5"/>
        </w:trPr>
        <w:tc>
          <w:tcPr>
            <w:tcW w:w="6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Valuation allowance</w:t>
            </w:r>
          </w:p>
        </w:tc>
        <w:tc>
          <w:tcPr>
            <w:tcW w:w="350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b w:val="1"/>
                <w:bCs w:val="1"/>
                <w:color w:val="auto"/>
              </w:rPr>
              <w:t>(37)</w:t>
            </w:r>
          </w:p>
        </w:tc>
        <w:tc>
          <w:tcPr>
            <w:tcW w:w="18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w:t>
            </w:r>
          </w:p>
        </w:tc>
      </w:tr>
      <w:tr>
        <w:trPr>
          <w:trHeight w:val="231"/>
        </w:trPr>
        <w:tc>
          <w:tcPr>
            <w:tcW w:w="610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Total net deferred tax assets</w:t>
            </w:r>
          </w:p>
        </w:tc>
        <w:tc>
          <w:tcPr>
            <w:tcW w:w="3500" w:type="dxa"/>
            <w:vAlign w:val="bottom"/>
            <w:tcBorders>
              <w:top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428</w:t>
            </w:r>
          </w:p>
        </w:tc>
        <w:tc>
          <w:tcPr>
            <w:tcW w:w="180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457</w:t>
            </w:r>
          </w:p>
        </w:tc>
      </w:tr>
      <w:tr>
        <w:trPr>
          <w:trHeight w:val="33"/>
        </w:trPr>
        <w:tc>
          <w:tcPr>
            <w:tcW w:w="6100" w:type="dxa"/>
            <w:vAlign w:val="bottom"/>
            <w:tcBorders>
              <w:bottom w:val="single" w:sz="8" w:color="auto"/>
            </w:tcBorders>
          </w:tcPr>
          <w:p>
            <w:pPr>
              <w:spacing w:after="0"/>
              <w:rPr>
                <w:sz w:val="2"/>
                <w:szCs w:val="2"/>
                <w:color w:val="auto"/>
              </w:rPr>
            </w:pPr>
          </w:p>
        </w:tc>
        <w:tc>
          <w:tcPr>
            <w:tcW w:w="35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44"/>
        </w:trPr>
        <w:tc>
          <w:tcPr>
            <w:tcW w:w="6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Land, property and equipment basis and depreciation differences</w:t>
            </w:r>
          </w:p>
        </w:tc>
        <w:tc>
          <w:tcPr>
            <w:tcW w:w="350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b w:val="1"/>
                <w:bCs w:val="1"/>
                <w:color w:val="auto"/>
              </w:rPr>
              <w:t>(258)</w:t>
            </w:r>
          </w:p>
        </w:tc>
        <w:tc>
          <w:tcPr>
            <w:tcW w:w="18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(301)</w:t>
            </w:r>
          </w:p>
        </w:tc>
      </w:tr>
      <w:tr>
        <w:trPr>
          <w:trHeight w:val="237"/>
        </w:trPr>
        <w:tc>
          <w:tcPr>
            <w:tcW w:w="6100" w:type="dxa"/>
            <w:vAlign w:val="bottom"/>
          </w:tcPr>
          <w:p>
            <w:pPr>
              <w:ind w:left="40"/>
              <w:spacing w:after="0"/>
              <w:rPr>
                <w:sz w:val="20"/>
                <w:szCs w:val="20"/>
                <w:color w:val="auto"/>
              </w:rPr>
            </w:pPr>
            <w:r>
              <w:rPr>
                <w:rFonts w:ascii="Arial" w:cs="Arial" w:eastAsia="Arial" w:hAnsi="Arial"/>
                <w:sz w:val="16"/>
                <w:szCs w:val="16"/>
                <w:color w:val="auto"/>
              </w:rPr>
              <w:t>Debt exchange premium</w:t>
            </w:r>
          </w:p>
        </w:tc>
        <w:tc>
          <w:tcPr>
            <w:tcW w:w="3500" w:type="dxa"/>
            <w:vAlign w:val="bottom"/>
          </w:tcPr>
          <w:p>
            <w:pPr>
              <w:jc w:val="right"/>
              <w:ind w:right="299"/>
              <w:spacing w:after="0"/>
              <w:rPr>
                <w:sz w:val="20"/>
                <w:szCs w:val="20"/>
                <w:color w:val="auto"/>
              </w:rPr>
            </w:pPr>
            <w:r>
              <w:rPr>
                <w:rFonts w:ascii="Arial" w:cs="Arial" w:eastAsia="Arial" w:hAnsi="Arial"/>
                <w:sz w:val="16"/>
                <w:szCs w:val="16"/>
                <w:b w:val="1"/>
                <w:bCs w:val="1"/>
                <w:color w:val="auto"/>
              </w:rPr>
              <w:t>(23)</w:t>
            </w:r>
          </w:p>
        </w:tc>
        <w:tc>
          <w:tcPr>
            <w:tcW w:w="1800" w:type="dxa"/>
            <w:vAlign w:val="bottom"/>
          </w:tcPr>
          <w:p>
            <w:pPr>
              <w:jc w:val="right"/>
              <w:ind w:right="79"/>
              <w:spacing w:after="0"/>
              <w:rPr>
                <w:sz w:val="20"/>
                <w:szCs w:val="20"/>
                <w:color w:val="auto"/>
              </w:rPr>
            </w:pPr>
            <w:r>
              <w:rPr>
                <w:rFonts w:ascii="Arial" w:cs="Arial" w:eastAsia="Arial" w:hAnsi="Arial"/>
                <w:sz w:val="16"/>
                <w:szCs w:val="16"/>
                <w:color w:val="auto"/>
              </w:rPr>
              <w:t>(23)</w:t>
            </w:r>
          </w:p>
        </w:tc>
      </w:tr>
      <w:tr>
        <w:trPr>
          <w:trHeight w:val="33"/>
        </w:trPr>
        <w:tc>
          <w:tcPr>
            <w:tcW w:w="6100" w:type="dxa"/>
            <w:vAlign w:val="bottom"/>
            <w:tcBorders>
              <w:bottom w:val="single" w:sz="8" w:color="auto"/>
            </w:tcBorders>
          </w:tcPr>
          <w:p>
            <w:pPr>
              <w:spacing w:after="0"/>
              <w:rPr>
                <w:sz w:val="2"/>
                <w:szCs w:val="2"/>
                <w:color w:val="auto"/>
              </w:rPr>
            </w:pPr>
          </w:p>
        </w:tc>
        <w:tc>
          <w:tcPr>
            <w:tcW w:w="35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69"/>
        </w:trPr>
        <w:tc>
          <w:tcPr>
            <w:tcW w:w="6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deferred tax liabilities</w:t>
            </w:r>
          </w:p>
        </w:tc>
        <w:tc>
          <w:tcPr>
            <w:tcW w:w="350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b w:val="1"/>
                <w:bCs w:val="1"/>
                <w:color w:val="auto"/>
              </w:rPr>
              <w:t>(281)</w:t>
            </w:r>
          </w:p>
        </w:tc>
        <w:tc>
          <w:tcPr>
            <w:tcW w:w="18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(324)</w:t>
            </w:r>
          </w:p>
        </w:tc>
      </w:tr>
      <w:tr>
        <w:trPr>
          <w:trHeight w:val="231"/>
        </w:trPr>
        <w:tc>
          <w:tcPr>
            <w:tcW w:w="610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Net deferred tax assets</w:t>
            </w:r>
          </w:p>
        </w:tc>
        <w:tc>
          <w:tcPr>
            <w:tcW w:w="3500" w:type="dxa"/>
            <w:vAlign w:val="bottom"/>
            <w:tcBorders>
              <w:top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$147</w:t>
            </w:r>
          </w:p>
        </w:tc>
        <w:tc>
          <w:tcPr>
            <w:tcW w:w="180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$133</w:t>
            </w:r>
          </w:p>
        </w:tc>
      </w:tr>
      <w:tr>
        <w:trPr>
          <w:trHeight w:val="33"/>
        </w:trPr>
        <w:tc>
          <w:tcPr>
            <w:tcW w:w="6100" w:type="dxa"/>
            <w:vAlign w:val="bottom"/>
            <w:tcBorders>
              <w:bottom w:val="single" w:sz="8" w:color="auto"/>
            </w:tcBorders>
          </w:tcPr>
          <w:p>
            <w:pPr>
              <w:spacing w:after="0"/>
              <w:rPr>
                <w:sz w:val="2"/>
                <w:szCs w:val="2"/>
                <w:color w:val="auto"/>
              </w:rPr>
            </w:pPr>
          </w:p>
        </w:tc>
        <w:tc>
          <w:tcPr>
            <w:tcW w:w="35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As of January 28, 2017, our state and foreign net operating loss carryforwards for income tax purposes were approximately $11 and $37, respectively. As of January 30, 2016, our state and foreign net operating loss carryforwards for income tax purposes were approximately $12 and $23, respectively. The net operating loss carryforwards are subject to certain statutory limitations of the Internal Revenue Code, applicable state laws and applicable foreign laws. If not utilized, a portion of our state and foreign net operating loss carryforwards will begin to expire in 2031 and 2033, respectively. Management believes it is more likely than not that certain state and foreign net operating loss carryforwards and deferred tax assets of foreign subsidiaries will not be realized in the foreseeable future. As such, a valuation allowance of $37 and $1 have been recorded as of January 28, 2017 and January 30, 2016, respectively.</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beginning and ending amount of unrecognized tax benefits is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20" w:type="dxa"/>
            <w:vAlign w:val="bottom"/>
          </w:tcPr>
          <w:p>
            <w:pPr>
              <w:ind w:left="40"/>
              <w:spacing w:after="0"/>
              <w:rPr>
                <w:sz w:val="20"/>
                <w:szCs w:val="20"/>
                <w:color w:val="auto"/>
              </w:rPr>
            </w:pPr>
            <w:r>
              <w:rPr>
                <w:rFonts w:ascii="Arial" w:cs="Arial" w:eastAsia="Arial" w:hAnsi="Arial"/>
                <w:sz w:val="16"/>
                <w:szCs w:val="16"/>
                <w:b w:val="1"/>
                <w:bCs w:val="1"/>
                <w:color w:val="auto"/>
              </w:rPr>
              <w:t>Fiscal year</w:t>
            </w:r>
          </w:p>
        </w:tc>
        <w:tc>
          <w:tcPr>
            <w:tcW w:w="3140" w:type="dxa"/>
            <w:vAlign w:val="bottom"/>
          </w:tcPr>
          <w:p>
            <w:pPr>
              <w:jc w:val="right"/>
              <w:ind w:right="739"/>
              <w:spacing w:after="0"/>
              <w:rPr>
                <w:sz w:val="20"/>
                <w:szCs w:val="20"/>
                <w:color w:val="auto"/>
              </w:rPr>
            </w:pPr>
            <w:r>
              <w:rPr>
                <w:rFonts w:ascii="Arial" w:cs="Arial" w:eastAsia="Arial" w:hAnsi="Arial"/>
                <w:sz w:val="16"/>
                <w:szCs w:val="16"/>
                <w:b w:val="1"/>
                <w:bCs w:val="1"/>
                <w:color w:val="auto"/>
              </w:rPr>
              <w:t>2016</w:t>
            </w:r>
          </w:p>
        </w:tc>
        <w:tc>
          <w:tcPr>
            <w:tcW w:w="1940" w:type="dxa"/>
            <w:vAlign w:val="bottom"/>
          </w:tcPr>
          <w:p>
            <w:pPr>
              <w:jc w:val="right"/>
              <w:ind w:right="759"/>
              <w:spacing w:after="0"/>
              <w:rPr>
                <w:sz w:val="20"/>
                <w:szCs w:val="20"/>
                <w:color w:val="auto"/>
              </w:rPr>
            </w:pPr>
            <w:r>
              <w:rPr>
                <w:rFonts w:ascii="Arial" w:cs="Arial" w:eastAsia="Arial" w:hAnsi="Arial"/>
                <w:sz w:val="16"/>
                <w:szCs w:val="16"/>
                <w:b w:val="1"/>
                <w:bCs w:val="1"/>
                <w:color w:val="auto"/>
              </w:rPr>
              <w:t>2015</w:t>
            </w:r>
          </w:p>
        </w:tc>
        <w:tc>
          <w:tcPr>
            <w:tcW w:w="1200" w:type="dxa"/>
            <w:vAlign w:val="bottom"/>
          </w:tcPr>
          <w:p>
            <w:pPr>
              <w:jc w:val="right"/>
              <w:ind w:right="39"/>
              <w:spacing w:after="0"/>
              <w:rPr>
                <w:sz w:val="20"/>
                <w:szCs w:val="20"/>
                <w:color w:val="auto"/>
              </w:rPr>
            </w:pPr>
            <w:r>
              <w:rPr>
                <w:rFonts w:ascii="Arial" w:cs="Arial" w:eastAsia="Arial" w:hAnsi="Arial"/>
                <w:sz w:val="16"/>
                <w:szCs w:val="16"/>
                <w:b w:val="1"/>
                <w:bCs w:val="1"/>
                <w:color w:val="auto"/>
              </w:rPr>
              <w:t>2014</w:t>
            </w:r>
          </w:p>
        </w:tc>
      </w:tr>
      <w:tr>
        <w:trPr>
          <w:trHeight w:val="33"/>
        </w:trPr>
        <w:tc>
          <w:tcPr>
            <w:tcW w:w="5120" w:type="dxa"/>
            <w:vAlign w:val="bottom"/>
            <w:tcBorders>
              <w:bottom w:val="single" w:sz="8" w:color="auto"/>
            </w:tcBorders>
          </w:tcPr>
          <w:p>
            <w:pPr>
              <w:spacing w:after="0"/>
              <w:rPr>
                <w:sz w:val="2"/>
                <w:szCs w:val="2"/>
                <w:color w:val="auto"/>
              </w:rPr>
            </w:pPr>
          </w:p>
        </w:tc>
        <w:tc>
          <w:tcPr>
            <w:tcW w:w="31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Unrecognized tax benefit at beginning of year</w:t>
            </w:r>
          </w:p>
        </w:tc>
        <w:tc>
          <w:tcPr>
            <w:tcW w:w="314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b w:val="1"/>
                <w:bCs w:val="1"/>
                <w:color w:val="auto"/>
              </w:rPr>
              <w:t>$19</w:t>
            </w:r>
          </w:p>
        </w:tc>
        <w:tc>
          <w:tcPr>
            <w:tcW w:w="194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color w:val="auto"/>
              </w:rPr>
              <w:t>$15</w:t>
            </w: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w:t>
            </w:r>
          </w:p>
        </w:tc>
      </w:tr>
      <w:tr>
        <w:trPr>
          <w:trHeight w:val="237"/>
        </w:trPr>
        <w:tc>
          <w:tcPr>
            <w:tcW w:w="5120" w:type="dxa"/>
            <w:vAlign w:val="bottom"/>
          </w:tcPr>
          <w:p>
            <w:pPr>
              <w:ind w:left="40"/>
              <w:spacing w:after="0"/>
              <w:rPr>
                <w:sz w:val="20"/>
                <w:szCs w:val="20"/>
                <w:color w:val="auto"/>
              </w:rPr>
            </w:pPr>
            <w:r>
              <w:rPr>
                <w:rFonts w:ascii="Arial" w:cs="Arial" w:eastAsia="Arial" w:hAnsi="Arial"/>
                <w:sz w:val="16"/>
                <w:szCs w:val="16"/>
                <w:color w:val="auto"/>
              </w:rPr>
              <w:t>Gross increase to tax positions in prior periods</w:t>
            </w:r>
          </w:p>
        </w:tc>
        <w:tc>
          <w:tcPr>
            <w:tcW w:w="3140" w:type="dxa"/>
            <w:vAlign w:val="bottom"/>
          </w:tcPr>
          <w:p>
            <w:pPr>
              <w:jc w:val="right"/>
              <w:ind w:right="739"/>
              <w:spacing w:after="0"/>
              <w:rPr>
                <w:sz w:val="20"/>
                <w:szCs w:val="20"/>
                <w:color w:val="auto"/>
              </w:rPr>
            </w:pPr>
            <w:r>
              <w:rPr>
                <w:rFonts w:ascii="Arial" w:cs="Arial" w:eastAsia="Arial" w:hAnsi="Arial"/>
                <w:sz w:val="16"/>
                <w:szCs w:val="16"/>
                <w:b w:val="1"/>
                <w:bCs w:val="1"/>
                <w:color w:val="auto"/>
              </w:rPr>
              <w:t>16</w:t>
            </w:r>
          </w:p>
        </w:tc>
        <w:tc>
          <w:tcPr>
            <w:tcW w:w="1940" w:type="dxa"/>
            <w:vAlign w:val="bottom"/>
          </w:tcPr>
          <w:p>
            <w:pPr>
              <w:jc w:val="right"/>
              <w:ind w:right="759"/>
              <w:spacing w:after="0"/>
              <w:rPr>
                <w:sz w:val="20"/>
                <w:szCs w:val="20"/>
                <w:color w:val="auto"/>
              </w:rPr>
            </w:pPr>
            <w:r>
              <w:rPr>
                <w:rFonts w:ascii="Arial" w:cs="Arial" w:eastAsia="Arial" w:hAnsi="Arial"/>
                <w:sz w:val="16"/>
                <w:szCs w:val="16"/>
                <w:color w:val="auto"/>
              </w:rPr>
              <w:t>6</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9</w:t>
            </w:r>
          </w:p>
        </w:tc>
      </w:tr>
      <w:tr>
        <w:trPr>
          <w:trHeight w:val="33"/>
        </w:trPr>
        <w:tc>
          <w:tcPr>
            <w:tcW w:w="5120" w:type="dxa"/>
            <w:vAlign w:val="bottom"/>
          </w:tcPr>
          <w:p>
            <w:pPr>
              <w:spacing w:after="0"/>
              <w:rPr>
                <w:sz w:val="2"/>
                <w:szCs w:val="2"/>
                <w:color w:val="auto"/>
              </w:rPr>
            </w:pPr>
          </w:p>
        </w:tc>
        <w:tc>
          <w:tcPr>
            <w:tcW w:w="31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Gross decrease to tax positions in prior periods</w:t>
            </w:r>
          </w:p>
        </w:tc>
        <w:tc>
          <w:tcPr>
            <w:tcW w:w="314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b w:val="1"/>
                <w:bCs w:val="1"/>
                <w:color w:val="auto"/>
              </w:rPr>
              <w:t>—</w:t>
            </w:r>
          </w:p>
        </w:tc>
        <w:tc>
          <w:tcPr>
            <w:tcW w:w="194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6"/>
                <w:szCs w:val="16"/>
                <w:color w:val="auto"/>
              </w:rPr>
              <w:t>(2)</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37"/>
        </w:trPr>
        <w:tc>
          <w:tcPr>
            <w:tcW w:w="5120" w:type="dxa"/>
            <w:vAlign w:val="bottom"/>
          </w:tcPr>
          <w:p>
            <w:pPr>
              <w:ind w:left="40"/>
              <w:spacing w:after="0"/>
              <w:rPr>
                <w:sz w:val="20"/>
                <w:szCs w:val="20"/>
                <w:color w:val="auto"/>
              </w:rPr>
            </w:pPr>
            <w:r>
              <w:rPr>
                <w:rFonts w:ascii="Arial" w:cs="Arial" w:eastAsia="Arial" w:hAnsi="Arial"/>
                <w:sz w:val="16"/>
                <w:szCs w:val="16"/>
                <w:color w:val="auto"/>
              </w:rPr>
              <w:t>Gross increase to tax positions in current period</w:t>
            </w:r>
          </w:p>
        </w:tc>
        <w:tc>
          <w:tcPr>
            <w:tcW w:w="3140" w:type="dxa"/>
            <w:vAlign w:val="bottom"/>
          </w:tcPr>
          <w:p>
            <w:pPr>
              <w:jc w:val="right"/>
              <w:ind w:right="739"/>
              <w:spacing w:after="0"/>
              <w:rPr>
                <w:sz w:val="20"/>
                <w:szCs w:val="20"/>
                <w:color w:val="auto"/>
              </w:rPr>
            </w:pPr>
            <w:r>
              <w:rPr>
                <w:rFonts w:ascii="Arial" w:cs="Arial" w:eastAsia="Arial" w:hAnsi="Arial"/>
                <w:sz w:val="16"/>
                <w:szCs w:val="16"/>
                <w:b w:val="1"/>
                <w:bCs w:val="1"/>
                <w:color w:val="auto"/>
              </w:rPr>
              <w:t>2</w:t>
            </w:r>
          </w:p>
        </w:tc>
        <w:tc>
          <w:tcPr>
            <w:tcW w:w="1940" w:type="dxa"/>
            <w:vAlign w:val="bottom"/>
          </w:tcPr>
          <w:p>
            <w:pPr>
              <w:jc w:val="right"/>
              <w:ind w:right="759"/>
              <w:spacing w:after="0"/>
              <w:rPr>
                <w:sz w:val="20"/>
                <w:szCs w:val="20"/>
                <w:color w:val="auto"/>
              </w:rPr>
            </w:pPr>
            <w:r>
              <w:rPr>
                <w:rFonts w:ascii="Arial" w:cs="Arial" w:eastAsia="Arial" w:hAnsi="Arial"/>
                <w:sz w:val="16"/>
                <w:szCs w:val="16"/>
                <w:color w:val="auto"/>
              </w:rPr>
              <w:t>2</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2</w:t>
            </w:r>
          </w:p>
        </w:tc>
      </w:tr>
      <w:tr>
        <w:trPr>
          <w:trHeight w:val="33"/>
        </w:trPr>
        <w:tc>
          <w:tcPr>
            <w:tcW w:w="5120" w:type="dxa"/>
            <w:vAlign w:val="bottom"/>
          </w:tcPr>
          <w:p>
            <w:pPr>
              <w:spacing w:after="0"/>
              <w:rPr>
                <w:sz w:val="2"/>
                <w:szCs w:val="2"/>
                <w:color w:val="auto"/>
              </w:rPr>
            </w:pPr>
          </w:p>
        </w:tc>
        <w:tc>
          <w:tcPr>
            <w:tcW w:w="31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Lapses in statute</w:t>
            </w:r>
          </w:p>
        </w:tc>
        <w:tc>
          <w:tcPr>
            <w:tcW w:w="314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6"/>
                <w:szCs w:val="16"/>
                <w:b w:val="1"/>
                <w:bCs w:val="1"/>
                <w:color w:val="auto"/>
              </w:rPr>
              <w:t>(5)</w:t>
            </w:r>
          </w:p>
        </w:tc>
        <w:tc>
          <w:tcPr>
            <w:tcW w:w="194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6"/>
                <w:szCs w:val="16"/>
                <w:color w:val="auto"/>
              </w:rPr>
              <w:t>(2)</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r>
      <w:tr>
        <w:trPr>
          <w:trHeight w:val="237"/>
        </w:trPr>
        <w:tc>
          <w:tcPr>
            <w:tcW w:w="5120" w:type="dxa"/>
            <w:vAlign w:val="bottom"/>
          </w:tcPr>
          <w:p>
            <w:pPr>
              <w:ind w:left="40"/>
              <w:spacing w:after="0"/>
              <w:rPr>
                <w:sz w:val="20"/>
                <w:szCs w:val="20"/>
                <w:color w:val="auto"/>
              </w:rPr>
            </w:pPr>
            <w:r>
              <w:rPr>
                <w:rFonts w:ascii="Arial" w:cs="Arial" w:eastAsia="Arial" w:hAnsi="Arial"/>
                <w:sz w:val="16"/>
                <w:szCs w:val="16"/>
                <w:color w:val="auto"/>
              </w:rPr>
              <w:t>Settlements</w:t>
            </w:r>
          </w:p>
        </w:tc>
        <w:tc>
          <w:tcPr>
            <w:tcW w:w="3140" w:type="dxa"/>
            <w:vAlign w:val="bottom"/>
          </w:tcPr>
          <w:p>
            <w:pPr>
              <w:jc w:val="right"/>
              <w:ind w:right="739"/>
              <w:spacing w:after="0"/>
              <w:rPr>
                <w:sz w:val="20"/>
                <w:szCs w:val="20"/>
                <w:color w:val="auto"/>
              </w:rPr>
            </w:pPr>
            <w:r>
              <w:rPr>
                <w:rFonts w:ascii="Arial" w:cs="Arial" w:eastAsia="Arial" w:hAnsi="Arial"/>
                <w:sz w:val="16"/>
                <w:szCs w:val="16"/>
                <w:b w:val="1"/>
                <w:bCs w:val="1"/>
                <w:color w:val="auto"/>
              </w:rPr>
              <w:t>—</w:t>
            </w:r>
          </w:p>
        </w:tc>
        <w:tc>
          <w:tcPr>
            <w:tcW w:w="1940" w:type="dxa"/>
            <w:vAlign w:val="bottom"/>
          </w:tcPr>
          <w:p>
            <w:pPr>
              <w:jc w:val="right"/>
              <w:ind w:right="759"/>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33"/>
        </w:trPr>
        <w:tc>
          <w:tcPr>
            <w:tcW w:w="5120" w:type="dxa"/>
            <w:vAlign w:val="bottom"/>
            <w:tcBorders>
              <w:bottom w:val="single" w:sz="8" w:color="auto"/>
            </w:tcBorders>
          </w:tcPr>
          <w:p>
            <w:pPr>
              <w:spacing w:after="0"/>
              <w:rPr>
                <w:sz w:val="2"/>
                <w:szCs w:val="2"/>
                <w:color w:val="auto"/>
              </w:rPr>
            </w:pPr>
          </w:p>
        </w:tc>
        <w:tc>
          <w:tcPr>
            <w:tcW w:w="31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Unrecognized tax benefit at end of year</w:t>
            </w:r>
          </w:p>
        </w:tc>
        <w:tc>
          <w:tcPr>
            <w:tcW w:w="314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b w:val="1"/>
                <w:bCs w:val="1"/>
                <w:color w:val="auto"/>
              </w:rPr>
              <w:t>$32</w:t>
            </w:r>
          </w:p>
        </w:tc>
        <w:tc>
          <w:tcPr>
            <w:tcW w:w="194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color w:val="auto"/>
              </w:rPr>
              <w:t>$19</w:t>
            </w: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w:t>
            </w:r>
          </w:p>
        </w:tc>
      </w:tr>
      <w:tr>
        <w:trPr>
          <w:trHeight w:val="20"/>
        </w:trPr>
        <w:tc>
          <w:tcPr>
            <w:tcW w:w="5120" w:type="dxa"/>
            <w:vAlign w:val="bottom"/>
            <w:shd w:val="clear" w:color="auto" w:fill="000000"/>
          </w:tcPr>
          <w:p>
            <w:pPr>
              <w:spacing w:after="0" w:line="20" w:lineRule="exact"/>
              <w:rPr>
                <w:sz w:val="1"/>
                <w:szCs w:val="1"/>
                <w:color w:val="auto"/>
              </w:rPr>
            </w:pPr>
          </w:p>
        </w:tc>
        <w:tc>
          <w:tcPr>
            <w:tcW w:w="3140" w:type="dxa"/>
            <w:vAlign w:val="bottom"/>
            <w:shd w:val="clear" w:color="auto" w:fill="000000"/>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r>
    </w:tbl>
    <w:p>
      <w:pPr>
        <w:spacing w:after="0" w:line="14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At the end of 2016 and 2015, $14 and $15 of the ending gross unrecognized tax benefit related to items which, if recognized, would affect the effective tax rate.</w:t>
      </w:r>
    </w:p>
    <w:p>
      <w:pPr>
        <w:spacing w:after="0" w:line="116"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There were no significant changes to expense in 2016, 2015 and 2014 for tax-related interest and penalties. At the end of 2016 and 2015, our liability for interest and penalties was $2.</w:t>
      </w:r>
    </w:p>
    <w:p>
      <w:pPr>
        <w:spacing w:after="0" w:line="116"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We file income tax returns in the U.S. and a limited number of foreign jurisdictions. With few exceptions, we are no longer subject to federal, state and local, or non-U.S. income tax examinations for years before 2012. Unrecognized tax benefits related to federal, state and local tax positions may decrease by $4 by February 3, 2018, due to the completion of examinations and the expiration of various statutes of limitations.</w:t>
      </w:r>
    </w:p>
    <w:p>
      <w:pPr>
        <w:sectPr>
          <w:pgSz w:w="11900" w:h="16838" w:orient="portrait"/>
          <w:cols w:equalWidth="0" w:num="1">
            <w:col w:w="11420"/>
          </w:cols>
          <w:pgMar w:left="240" w:top="126" w:right="239" w:bottom="1440" w:gutter="0" w:footer="0" w:header="0"/>
        </w:sectPr>
      </w:pPr>
    </w:p>
    <w:p>
      <w:pPr>
        <w:spacing w:after="0" w:line="375" w:lineRule="exact"/>
        <w:rPr>
          <w:sz w:val="20"/>
          <w:szCs w:val="20"/>
          <w:color w:val="auto"/>
        </w:rPr>
      </w:pPr>
    </w:p>
    <w:p>
      <w:pPr>
        <w:ind w:left="9580"/>
        <w:spacing w:after="0"/>
        <w:rPr>
          <w:sz w:val="20"/>
          <w:szCs w:val="20"/>
          <w:color w:val="auto"/>
        </w:rPr>
      </w:pPr>
      <w:r>
        <w:rPr>
          <w:rFonts w:ascii="Arial" w:cs="Arial" w:eastAsia="Arial" w:hAnsi="Arial"/>
          <w:sz w:val="11"/>
          <w:szCs w:val="11"/>
          <w:color w:val="auto"/>
        </w:rPr>
        <w:t xml:space="preserve">Nordstrom, Inc. and subsidiaries </w:t>
      </w:r>
      <w:r>
        <w:rPr>
          <w:rFonts w:ascii="Arial" w:cs="Arial" w:eastAsia="Arial" w:hAnsi="Arial"/>
          <w:sz w:val="14"/>
          <w:szCs w:val="14"/>
          <w:color w:val="auto"/>
        </w:rPr>
        <w:t>59</w:t>
      </w:r>
    </w:p>
    <w:p>
      <w:pPr>
        <w:sectPr>
          <w:pgSz w:w="11900" w:h="16838" w:orient="portrait"/>
          <w:cols w:equalWidth="0" w:num="1">
            <w:col w:w="11420"/>
          </w:cols>
          <w:pgMar w:left="240" w:top="126" w:right="239" w:bottom="1440" w:gutter="0" w:footer="0" w:header="0"/>
          <w:type w:val="continuous"/>
        </w:sectPr>
      </w:pPr>
    </w:p>
    <w:bookmarkStart w:id="60" w:name="page61"/>
    <w:bookmarkEnd w:id="60"/>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Nordstrom, Inc.</w:t>
      </w:r>
    </w:p>
    <w:p>
      <w:pPr>
        <w:spacing w:after="0" w:line="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rPr>
          <w:sz w:val="20"/>
          <w:szCs w:val="20"/>
          <w:color w:val="auto"/>
        </w:rPr>
      </w:pPr>
      <w:r>
        <w:rPr>
          <w:rFonts w:ascii="Arial" w:cs="Arial" w:eastAsia="Arial" w:hAnsi="Arial"/>
          <w:sz w:val="18"/>
          <w:szCs w:val="18"/>
          <w:color w:val="auto"/>
        </w:rPr>
        <w:t>Dollar and share amounts in millions except per share, per option and per unit amounts</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EARNINGS PER SHARE</w:t>
      </w:r>
    </w:p>
    <w:p>
      <w:pPr>
        <w:spacing w:after="0" w:line="2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Earnings per basic share is computed using the weighted-average number of common shares outstanding during the year. Earnings per diluted share uses the weighted-average number of common shares outstanding during the year plus dilutive common stock equivalents, primarily stock options and restricted stock. Dilutive common stock is calculated using the treasury stock method and includes unvested RSUs and outstanding options that would reduce the amount of earnings for which each share is entitled. Anti-dilutive shares (including stock options and other shares) are excluded from the calculation of diluted shares and earnings per diluted share because their impact could increase earnings per diluted share.</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The computation of earnings per share is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000" w:type="dxa"/>
            <w:vAlign w:val="bottom"/>
          </w:tcPr>
          <w:p>
            <w:pPr>
              <w:ind w:left="40"/>
              <w:spacing w:after="0"/>
              <w:rPr>
                <w:sz w:val="20"/>
                <w:szCs w:val="20"/>
                <w:color w:val="auto"/>
              </w:rPr>
            </w:pPr>
            <w:r>
              <w:rPr>
                <w:rFonts w:ascii="Arial" w:cs="Arial" w:eastAsia="Arial" w:hAnsi="Arial"/>
                <w:sz w:val="16"/>
                <w:szCs w:val="16"/>
                <w:b w:val="1"/>
                <w:bCs w:val="1"/>
                <w:color w:val="auto"/>
              </w:rPr>
              <w:t>Fiscal year</w:t>
            </w:r>
          </w:p>
        </w:tc>
        <w:tc>
          <w:tcPr>
            <w:tcW w:w="3220" w:type="dxa"/>
            <w:vAlign w:val="bottom"/>
          </w:tcPr>
          <w:p>
            <w:pPr>
              <w:jc w:val="right"/>
              <w:ind w:right="699"/>
              <w:spacing w:after="0"/>
              <w:rPr>
                <w:sz w:val="20"/>
                <w:szCs w:val="20"/>
                <w:color w:val="auto"/>
              </w:rPr>
            </w:pPr>
            <w:r>
              <w:rPr>
                <w:rFonts w:ascii="Arial" w:cs="Arial" w:eastAsia="Arial" w:hAnsi="Arial"/>
                <w:sz w:val="16"/>
                <w:szCs w:val="16"/>
                <w:b w:val="1"/>
                <w:bCs w:val="1"/>
                <w:color w:val="auto"/>
              </w:rPr>
              <w:t>2016</w:t>
            </w:r>
          </w:p>
        </w:tc>
        <w:tc>
          <w:tcPr>
            <w:tcW w:w="1920" w:type="dxa"/>
            <w:vAlign w:val="bottom"/>
          </w:tcPr>
          <w:p>
            <w:pPr>
              <w:jc w:val="right"/>
              <w:ind w:right="699"/>
              <w:spacing w:after="0"/>
              <w:rPr>
                <w:sz w:val="20"/>
                <w:szCs w:val="20"/>
                <w:color w:val="auto"/>
              </w:rPr>
            </w:pPr>
            <w:r>
              <w:rPr>
                <w:rFonts w:ascii="Arial" w:cs="Arial" w:eastAsia="Arial" w:hAnsi="Arial"/>
                <w:sz w:val="16"/>
                <w:szCs w:val="16"/>
                <w:b w:val="1"/>
                <w:bCs w:val="1"/>
                <w:color w:val="auto"/>
              </w:rPr>
              <w:t>2015</w:t>
            </w:r>
          </w:p>
        </w:tc>
        <w:tc>
          <w:tcPr>
            <w:tcW w:w="1260" w:type="dxa"/>
            <w:vAlign w:val="bottom"/>
          </w:tcPr>
          <w:p>
            <w:pPr>
              <w:jc w:val="right"/>
              <w:ind w:right="39"/>
              <w:spacing w:after="0"/>
              <w:rPr>
                <w:sz w:val="20"/>
                <w:szCs w:val="20"/>
                <w:color w:val="auto"/>
              </w:rPr>
            </w:pPr>
            <w:r>
              <w:rPr>
                <w:rFonts w:ascii="Arial" w:cs="Arial" w:eastAsia="Arial" w:hAnsi="Arial"/>
                <w:sz w:val="16"/>
                <w:szCs w:val="16"/>
                <w:b w:val="1"/>
                <w:bCs w:val="1"/>
                <w:color w:val="auto"/>
              </w:rPr>
              <w:t>2014</w:t>
            </w:r>
          </w:p>
        </w:tc>
      </w:tr>
      <w:tr>
        <w:trPr>
          <w:trHeight w:val="33"/>
        </w:trPr>
        <w:tc>
          <w:tcPr>
            <w:tcW w:w="500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9"/>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earnings</w:t>
            </w:r>
          </w:p>
        </w:tc>
        <w:tc>
          <w:tcPr>
            <w:tcW w:w="322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6"/>
                <w:szCs w:val="16"/>
                <w:b w:val="1"/>
                <w:bCs w:val="1"/>
                <w:color w:val="auto"/>
              </w:rPr>
              <w:t>$354</w:t>
            </w:r>
          </w:p>
        </w:tc>
        <w:tc>
          <w:tcPr>
            <w:tcW w:w="192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6"/>
                <w:szCs w:val="16"/>
                <w:color w:val="auto"/>
              </w:rPr>
              <w:t>$600</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$720</w:t>
            </w:r>
          </w:p>
        </w:tc>
      </w:tr>
      <w:tr>
        <w:trPr>
          <w:trHeight w:val="291"/>
        </w:trPr>
        <w:tc>
          <w:tcPr>
            <w:tcW w:w="5000" w:type="dxa"/>
            <w:vAlign w:val="bottom"/>
            <w:tcBorders>
              <w:top w:val="single" w:sz="8" w:color="auto"/>
            </w:tcBorders>
          </w:tcPr>
          <w:p>
            <w:pPr>
              <w:spacing w:after="0"/>
              <w:rPr>
                <w:sz w:val="24"/>
                <w:szCs w:val="24"/>
                <w:color w:val="auto"/>
              </w:rPr>
            </w:pPr>
          </w:p>
        </w:tc>
        <w:tc>
          <w:tcPr>
            <w:tcW w:w="3220" w:type="dxa"/>
            <w:vAlign w:val="bottom"/>
            <w:tcBorders>
              <w:top w:val="single" w:sz="8" w:color="auto"/>
            </w:tcBorders>
          </w:tcPr>
          <w:p>
            <w:pPr>
              <w:spacing w:after="0"/>
              <w:rPr>
                <w:sz w:val="24"/>
                <w:szCs w:val="24"/>
                <w:color w:val="auto"/>
              </w:rPr>
            </w:pPr>
          </w:p>
        </w:tc>
        <w:tc>
          <w:tcPr>
            <w:tcW w:w="192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r>
      <w:tr>
        <w:trPr>
          <w:trHeight w:val="25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Basic shares</w:t>
            </w:r>
          </w:p>
        </w:tc>
        <w:tc>
          <w:tcPr>
            <w:tcW w:w="322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6"/>
                <w:szCs w:val="16"/>
                <w:b w:val="1"/>
                <w:bCs w:val="1"/>
                <w:color w:val="auto"/>
              </w:rPr>
              <w:t>173.2</w:t>
            </w:r>
          </w:p>
        </w:tc>
        <w:tc>
          <w:tcPr>
            <w:tcW w:w="192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6"/>
                <w:szCs w:val="16"/>
                <w:color w:val="auto"/>
              </w:rPr>
              <w:t>186.3</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190.0</w:t>
            </w:r>
          </w:p>
        </w:tc>
      </w:tr>
      <w:tr>
        <w:trPr>
          <w:trHeight w:val="237"/>
        </w:trPr>
        <w:tc>
          <w:tcPr>
            <w:tcW w:w="5000" w:type="dxa"/>
            <w:vAlign w:val="bottom"/>
          </w:tcPr>
          <w:p>
            <w:pPr>
              <w:ind w:left="40"/>
              <w:spacing w:after="0"/>
              <w:rPr>
                <w:sz w:val="20"/>
                <w:szCs w:val="20"/>
                <w:color w:val="auto"/>
              </w:rPr>
            </w:pPr>
            <w:r>
              <w:rPr>
                <w:rFonts w:ascii="Arial" w:cs="Arial" w:eastAsia="Arial" w:hAnsi="Arial"/>
                <w:sz w:val="16"/>
                <w:szCs w:val="16"/>
                <w:color w:val="auto"/>
              </w:rPr>
              <w:t>Dilutive effect of common stock equivalents</w:t>
            </w:r>
          </w:p>
        </w:tc>
        <w:tc>
          <w:tcPr>
            <w:tcW w:w="3220" w:type="dxa"/>
            <w:vAlign w:val="bottom"/>
          </w:tcPr>
          <w:p>
            <w:pPr>
              <w:jc w:val="right"/>
              <w:ind w:right="699"/>
              <w:spacing w:after="0"/>
              <w:rPr>
                <w:sz w:val="20"/>
                <w:szCs w:val="20"/>
                <w:color w:val="auto"/>
              </w:rPr>
            </w:pPr>
            <w:r>
              <w:rPr>
                <w:rFonts w:ascii="Arial" w:cs="Arial" w:eastAsia="Arial" w:hAnsi="Arial"/>
                <w:sz w:val="16"/>
                <w:szCs w:val="16"/>
                <w:b w:val="1"/>
                <w:bCs w:val="1"/>
                <w:color w:val="auto"/>
              </w:rPr>
              <w:t>2.4</w:t>
            </w:r>
          </w:p>
        </w:tc>
        <w:tc>
          <w:tcPr>
            <w:tcW w:w="1920" w:type="dxa"/>
            <w:vAlign w:val="bottom"/>
          </w:tcPr>
          <w:p>
            <w:pPr>
              <w:jc w:val="right"/>
              <w:ind w:right="699"/>
              <w:spacing w:after="0"/>
              <w:rPr>
                <w:sz w:val="20"/>
                <w:szCs w:val="20"/>
                <w:color w:val="auto"/>
              </w:rPr>
            </w:pPr>
            <w:r>
              <w:rPr>
                <w:rFonts w:ascii="Arial" w:cs="Arial" w:eastAsia="Arial" w:hAnsi="Arial"/>
                <w:sz w:val="16"/>
                <w:szCs w:val="16"/>
                <w:color w:val="auto"/>
              </w:rPr>
              <w:t>3.8</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3.6</w:t>
            </w:r>
          </w:p>
        </w:tc>
      </w:tr>
      <w:tr>
        <w:trPr>
          <w:trHeight w:val="33"/>
        </w:trPr>
        <w:tc>
          <w:tcPr>
            <w:tcW w:w="500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9"/>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Diluted shares</w:t>
            </w:r>
          </w:p>
        </w:tc>
        <w:tc>
          <w:tcPr>
            <w:tcW w:w="322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6"/>
                <w:szCs w:val="16"/>
                <w:b w:val="1"/>
                <w:bCs w:val="1"/>
                <w:color w:val="auto"/>
              </w:rPr>
              <w:t>175.6</w:t>
            </w:r>
          </w:p>
        </w:tc>
        <w:tc>
          <w:tcPr>
            <w:tcW w:w="192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6"/>
                <w:szCs w:val="16"/>
                <w:color w:val="auto"/>
              </w:rPr>
              <w:t>190.1</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193.6</w:t>
            </w:r>
          </w:p>
        </w:tc>
      </w:tr>
      <w:tr>
        <w:trPr>
          <w:trHeight w:val="291"/>
        </w:trPr>
        <w:tc>
          <w:tcPr>
            <w:tcW w:w="5000" w:type="dxa"/>
            <w:vAlign w:val="bottom"/>
            <w:tcBorders>
              <w:top w:val="single" w:sz="8" w:color="auto"/>
            </w:tcBorders>
          </w:tcPr>
          <w:p>
            <w:pPr>
              <w:spacing w:after="0"/>
              <w:rPr>
                <w:sz w:val="24"/>
                <w:szCs w:val="24"/>
                <w:color w:val="auto"/>
              </w:rPr>
            </w:pPr>
          </w:p>
        </w:tc>
        <w:tc>
          <w:tcPr>
            <w:tcW w:w="3220" w:type="dxa"/>
            <w:vAlign w:val="bottom"/>
            <w:tcBorders>
              <w:top w:val="single" w:sz="8" w:color="auto"/>
            </w:tcBorders>
          </w:tcPr>
          <w:p>
            <w:pPr>
              <w:spacing w:after="0"/>
              <w:rPr>
                <w:sz w:val="24"/>
                <w:szCs w:val="24"/>
                <w:color w:val="auto"/>
              </w:rPr>
            </w:pPr>
          </w:p>
        </w:tc>
        <w:tc>
          <w:tcPr>
            <w:tcW w:w="192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r>
      <w:tr>
        <w:trPr>
          <w:trHeight w:val="25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Earnings per basic share</w:t>
            </w:r>
          </w:p>
        </w:tc>
        <w:tc>
          <w:tcPr>
            <w:tcW w:w="322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6"/>
                <w:szCs w:val="16"/>
                <w:b w:val="1"/>
                <w:bCs w:val="1"/>
                <w:color w:val="auto"/>
              </w:rPr>
              <w:t>$2.05</w:t>
            </w:r>
          </w:p>
        </w:tc>
        <w:tc>
          <w:tcPr>
            <w:tcW w:w="192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6"/>
                <w:szCs w:val="16"/>
                <w:color w:val="auto"/>
              </w:rPr>
              <w:t>$3.22</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$3.79</w:t>
            </w:r>
          </w:p>
        </w:tc>
      </w:tr>
      <w:tr>
        <w:trPr>
          <w:trHeight w:val="237"/>
        </w:trPr>
        <w:tc>
          <w:tcPr>
            <w:tcW w:w="5000" w:type="dxa"/>
            <w:vAlign w:val="bottom"/>
          </w:tcPr>
          <w:p>
            <w:pPr>
              <w:ind w:left="40"/>
              <w:spacing w:after="0"/>
              <w:rPr>
                <w:sz w:val="20"/>
                <w:szCs w:val="20"/>
                <w:color w:val="auto"/>
              </w:rPr>
            </w:pPr>
            <w:r>
              <w:rPr>
                <w:rFonts w:ascii="Arial" w:cs="Arial" w:eastAsia="Arial" w:hAnsi="Arial"/>
                <w:sz w:val="16"/>
                <w:szCs w:val="16"/>
                <w:b w:val="1"/>
                <w:bCs w:val="1"/>
                <w:color w:val="auto"/>
              </w:rPr>
              <w:t>Earnings per diluted share</w:t>
            </w:r>
          </w:p>
        </w:tc>
        <w:tc>
          <w:tcPr>
            <w:tcW w:w="3220" w:type="dxa"/>
            <w:vAlign w:val="bottom"/>
          </w:tcPr>
          <w:p>
            <w:pPr>
              <w:jc w:val="right"/>
              <w:ind w:right="699"/>
              <w:spacing w:after="0"/>
              <w:rPr>
                <w:sz w:val="20"/>
                <w:szCs w:val="20"/>
                <w:color w:val="auto"/>
              </w:rPr>
            </w:pPr>
            <w:r>
              <w:rPr>
                <w:rFonts w:ascii="Arial" w:cs="Arial" w:eastAsia="Arial" w:hAnsi="Arial"/>
                <w:sz w:val="16"/>
                <w:szCs w:val="16"/>
                <w:b w:val="1"/>
                <w:bCs w:val="1"/>
                <w:color w:val="auto"/>
              </w:rPr>
              <w:t>$2.02</w:t>
            </w:r>
          </w:p>
        </w:tc>
        <w:tc>
          <w:tcPr>
            <w:tcW w:w="1920" w:type="dxa"/>
            <w:vAlign w:val="bottom"/>
          </w:tcPr>
          <w:p>
            <w:pPr>
              <w:jc w:val="right"/>
              <w:ind w:right="699"/>
              <w:spacing w:after="0"/>
              <w:rPr>
                <w:sz w:val="20"/>
                <w:szCs w:val="20"/>
                <w:color w:val="auto"/>
              </w:rPr>
            </w:pPr>
            <w:r>
              <w:rPr>
                <w:rFonts w:ascii="Arial" w:cs="Arial" w:eastAsia="Arial" w:hAnsi="Arial"/>
                <w:sz w:val="16"/>
                <w:szCs w:val="16"/>
                <w:color w:val="auto"/>
              </w:rPr>
              <w:t>$3.15</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$3.72</w:t>
            </w:r>
          </w:p>
        </w:tc>
      </w:tr>
      <w:tr>
        <w:trPr>
          <w:trHeight w:val="33"/>
        </w:trPr>
        <w:tc>
          <w:tcPr>
            <w:tcW w:w="500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97"/>
        </w:trPr>
        <w:tc>
          <w:tcPr>
            <w:tcW w:w="5000" w:type="dxa"/>
            <w:vAlign w:val="bottom"/>
            <w:shd w:val="clear" w:color="auto" w:fill="CCEEFF"/>
          </w:tcPr>
          <w:p>
            <w:pPr>
              <w:spacing w:after="0"/>
              <w:rPr>
                <w:sz w:val="24"/>
                <w:szCs w:val="24"/>
                <w:color w:val="auto"/>
              </w:rPr>
            </w:pPr>
          </w:p>
        </w:tc>
        <w:tc>
          <w:tcPr>
            <w:tcW w:w="3220" w:type="dxa"/>
            <w:vAlign w:val="bottom"/>
            <w:shd w:val="clear" w:color="auto" w:fill="CCEEFF"/>
          </w:tcPr>
          <w:p>
            <w:pPr>
              <w:spacing w:after="0"/>
              <w:rPr>
                <w:sz w:val="24"/>
                <w:szCs w:val="24"/>
                <w:color w:val="auto"/>
              </w:rPr>
            </w:pPr>
          </w:p>
        </w:tc>
        <w:tc>
          <w:tcPr>
            <w:tcW w:w="19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237"/>
        </w:trPr>
        <w:tc>
          <w:tcPr>
            <w:tcW w:w="5000" w:type="dxa"/>
            <w:vAlign w:val="bottom"/>
          </w:tcPr>
          <w:p>
            <w:pPr>
              <w:ind w:left="40"/>
              <w:spacing w:after="0"/>
              <w:rPr>
                <w:sz w:val="20"/>
                <w:szCs w:val="20"/>
                <w:color w:val="auto"/>
              </w:rPr>
            </w:pPr>
            <w:r>
              <w:rPr>
                <w:rFonts w:ascii="Arial" w:cs="Arial" w:eastAsia="Arial" w:hAnsi="Arial"/>
                <w:sz w:val="16"/>
                <w:szCs w:val="16"/>
                <w:color w:val="auto"/>
              </w:rPr>
              <w:t>Anti-dilutive stock options and other</w:t>
            </w:r>
          </w:p>
        </w:tc>
        <w:tc>
          <w:tcPr>
            <w:tcW w:w="3220" w:type="dxa"/>
            <w:vAlign w:val="bottom"/>
          </w:tcPr>
          <w:p>
            <w:pPr>
              <w:jc w:val="right"/>
              <w:ind w:right="699"/>
              <w:spacing w:after="0"/>
              <w:rPr>
                <w:sz w:val="20"/>
                <w:szCs w:val="20"/>
                <w:color w:val="auto"/>
              </w:rPr>
            </w:pPr>
            <w:r>
              <w:rPr>
                <w:rFonts w:ascii="Arial" w:cs="Arial" w:eastAsia="Arial" w:hAnsi="Arial"/>
                <w:sz w:val="16"/>
                <w:szCs w:val="16"/>
                <w:b w:val="1"/>
                <w:bCs w:val="1"/>
                <w:color w:val="auto"/>
              </w:rPr>
              <w:t>8.0</w:t>
            </w:r>
          </w:p>
        </w:tc>
        <w:tc>
          <w:tcPr>
            <w:tcW w:w="1920" w:type="dxa"/>
            <w:vAlign w:val="bottom"/>
          </w:tcPr>
          <w:p>
            <w:pPr>
              <w:jc w:val="right"/>
              <w:ind w:right="699"/>
              <w:spacing w:after="0"/>
              <w:rPr>
                <w:sz w:val="20"/>
                <w:szCs w:val="20"/>
                <w:color w:val="auto"/>
              </w:rPr>
            </w:pPr>
            <w:r>
              <w:rPr>
                <w:rFonts w:ascii="Arial" w:cs="Arial" w:eastAsia="Arial" w:hAnsi="Arial"/>
                <w:sz w:val="16"/>
                <w:szCs w:val="16"/>
                <w:color w:val="auto"/>
              </w:rPr>
              <w:t>2.3</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2.1</w:t>
            </w:r>
          </w:p>
        </w:tc>
      </w:tr>
      <w:tr>
        <w:trPr>
          <w:trHeight w:val="33"/>
        </w:trPr>
        <w:tc>
          <w:tcPr>
            <w:tcW w:w="500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SEGMENT REPORTING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We have two reportable segments, which include </w:t>
      </w:r>
      <w:r>
        <w:rPr>
          <w:rFonts w:ascii="Arial" w:cs="Arial" w:eastAsia="Arial" w:hAnsi="Arial"/>
          <w:sz w:val="18"/>
          <w:szCs w:val="18"/>
          <w:b w:val="1"/>
          <w:bCs w:val="1"/>
          <w:color w:val="auto"/>
        </w:rPr>
        <w:t>Retail</w:t>
      </w:r>
      <w:r>
        <w:rPr>
          <w:rFonts w:ascii="Arial" w:cs="Arial" w:eastAsia="Arial" w:hAnsi="Arial"/>
          <w:sz w:val="18"/>
          <w:szCs w:val="18"/>
          <w:color w:val="auto"/>
        </w:rPr>
        <w:t xml:space="preserve"> and </w:t>
      </w:r>
      <w:r>
        <w:rPr>
          <w:rFonts w:ascii="Arial" w:cs="Arial" w:eastAsia="Arial" w:hAnsi="Arial"/>
          <w:sz w:val="18"/>
          <w:szCs w:val="18"/>
          <w:b w:val="1"/>
          <w:bCs w:val="1"/>
          <w:color w:val="auto"/>
        </w:rPr>
        <w:t>Credit</w:t>
      </w:r>
      <w:r>
        <w:rPr>
          <w:rFonts w:ascii="Arial" w:cs="Arial" w:eastAsia="Arial" w:hAnsi="Arial"/>
          <w:sz w:val="18"/>
          <w:szCs w:val="18"/>
          <w:color w:val="auto"/>
        </w:rPr>
        <w:t>.</w:t>
      </w:r>
    </w:p>
    <w:p>
      <w:pPr>
        <w:spacing w:after="0" w:line="153"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 xml:space="preserve">Our </w:t>
      </w:r>
      <w:r>
        <w:rPr>
          <w:rFonts w:ascii="Arial" w:cs="Arial" w:eastAsia="Arial" w:hAnsi="Arial"/>
          <w:sz w:val="16"/>
          <w:szCs w:val="16"/>
          <w:b w:val="1"/>
          <w:bCs w:val="1"/>
          <w:color w:val="auto"/>
        </w:rPr>
        <w:t>Retail</w:t>
      </w:r>
      <w:r>
        <w:rPr>
          <w:rFonts w:ascii="Arial" w:cs="Arial" w:eastAsia="Arial" w:hAnsi="Arial"/>
          <w:sz w:val="16"/>
          <w:szCs w:val="16"/>
          <w:color w:val="auto"/>
        </w:rPr>
        <w:t xml:space="preserve"> segment includes our Nordstrom operating segment, which is comprised of our Nordstrom U.S. full-line stores and Nordstrom.com. Both of these divisions earn revenue by offering customers a wide range of apparel, shoes, cosmetics and accessories for women, men, young adults and children. Through our multi-channel initiatives, we have integrated the operations, merchandising and technology of our Nordstrom full-line and online stores, consistent with our customers’ expectations of a seamless shopping experience regardless of channel. Our internal reporting to our principal executive officer, who is our chief operating decision maker, is consistent with these multi-channel initiatives. Our Nordstrom Rack, Nordstromrack.com/HauteLook, Canadian operations, Trunk Club and Jeffrey operating segments have similar economic and qualitative characteristics, including nature of products, method of distribution and type of customer, or the segment results are not significant to the operating results of Nordstrom. Therefore, the results of these operating segments have been aggregated with our Nordstrom operating segment into the Retail reportable segment.</w:t>
      </w:r>
    </w:p>
    <w:p>
      <w:pPr>
        <w:spacing w:after="0" w:line="106" w:lineRule="exact"/>
        <w:rPr>
          <w:sz w:val="20"/>
          <w:szCs w:val="20"/>
          <w:color w:val="auto"/>
        </w:rPr>
      </w:pPr>
    </w:p>
    <w:p>
      <w:pPr>
        <w:jc w:val="both"/>
        <w:ind w:right="280"/>
        <w:spacing w:after="0" w:line="266" w:lineRule="auto"/>
        <w:rPr>
          <w:sz w:val="20"/>
          <w:szCs w:val="20"/>
          <w:color w:val="auto"/>
        </w:rPr>
      </w:pPr>
      <w:r>
        <w:rPr>
          <w:rFonts w:ascii="Arial" w:cs="Arial" w:eastAsia="Arial" w:hAnsi="Arial"/>
          <w:sz w:val="18"/>
          <w:szCs w:val="18"/>
          <w:color w:val="auto"/>
        </w:rPr>
        <w:t xml:space="preserve">Through our </w:t>
      </w:r>
      <w:r>
        <w:rPr>
          <w:rFonts w:ascii="Arial" w:cs="Arial" w:eastAsia="Arial" w:hAnsi="Arial"/>
          <w:sz w:val="18"/>
          <w:szCs w:val="18"/>
          <w:b w:val="1"/>
          <w:bCs w:val="1"/>
          <w:color w:val="auto"/>
        </w:rPr>
        <w:t>Credit</w:t>
      </w:r>
      <w:r>
        <w:rPr>
          <w:rFonts w:ascii="Arial" w:cs="Arial" w:eastAsia="Arial" w:hAnsi="Arial"/>
          <w:sz w:val="18"/>
          <w:szCs w:val="18"/>
          <w:color w:val="auto"/>
        </w:rPr>
        <w:t xml:space="preserve"> segment, our customers can access a variety of payment products and services, including a Nordstrom-branded private label card, two Nordstrom-branded Visa credit cards and a debit card for Nordstrom purchases. When customers open a Nordstrom credit or debit card, they also join our loyalty program that provides benefits based on their level of spending.</w:t>
      </w:r>
    </w:p>
    <w:p>
      <w:pPr>
        <w:spacing w:after="0" w:line="122" w:lineRule="exact"/>
        <w:rPr>
          <w:sz w:val="20"/>
          <w:szCs w:val="20"/>
          <w:color w:val="auto"/>
        </w:rPr>
      </w:pPr>
    </w:p>
    <w:p>
      <w:pPr>
        <w:ind w:right="100"/>
        <w:spacing w:after="0" w:line="314" w:lineRule="auto"/>
        <w:rPr>
          <w:sz w:val="20"/>
          <w:szCs w:val="20"/>
          <w:color w:val="auto"/>
        </w:rPr>
      </w:pPr>
      <w:r>
        <w:rPr>
          <w:rFonts w:ascii="Arial" w:cs="Arial" w:eastAsia="Arial" w:hAnsi="Arial"/>
          <w:sz w:val="16"/>
          <w:szCs w:val="16"/>
          <w:color w:val="auto"/>
        </w:rPr>
        <w:t xml:space="preserve">Amounts in the </w:t>
      </w:r>
      <w:r>
        <w:rPr>
          <w:rFonts w:ascii="Arial" w:cs="Arial" w:eastAsia="Arial" w:hAnsi="Arial"/>
          <w:sz w:val="16"/>
          <w:szCs w:val="16"/>
          <w:b w:val="1"/>
          <w:bCs w:val="1"/>
          <w:color w:val="auto"/>
        </w:rPr>
        <w:t>Corporate/Other</w:t>
      </w:r>
      <w:r>
        <w:rPr>
          <w:rFonts w:ascii="Arial" w:cs="Arial" w:eastAsia="Arial" w:hAnsi="Arial"/>
          <w:sz w:val="16"/>
          <w:szCs w:val="16"/>
          <w:color w:val="auto"/>
        </w:rPr>
        <w:t xml:space="preserve"> column include unallocated corporate expenses and assets (including unallocated assets in corporate headquarters, consisting primarily of cash, land, buildings and equipment and deferred tax assets), sales return reserve, inter-segment eliminations and other adjustments to segment results necessary for the presentation of consolidated financial results in accordance with generally accepted accounting principles.</w:t>
      </w:r>
    </w:p>
    <w:p>
      <w:pPr>
        <w:spacing w:after="0" w:line="92" w:lineRule="exact"/>
        <w:rPr>
          <w:sz w:val="20"/>
          <w:szCs w:val="20"/>
          <w:color w:val="auto"/>
        </w:rPr>
      </w:pPr>
    </w:p>
    <w:p>
      <w:pPr>
        <w:ind w:right="560"/>
        <w:spacing w:after="0" w:line="308" w:lineRule="auto"/>
        <w:rPr>
          <w:sz w:val="20"/>
          <w:szCs w:val="20"/>
          <w:color w:val="auto"/>
        </w:rPr>
      </w:pPr>
      <w:r>
        <w:rPr>
          <w:rFonts w:ascii="Arial" w:cs="Arial" w:eastAsia="Arial" w:hAnsi="Arial"/>
          <w:sz w:val="17"/>
          <w:szCs w:val="17"/>
          <w:color w:val="auto"/>
        </w:rPr>
        <w:t>Total Retail Business represents a subtotal of the Retail segment and Corporate/Other, and is consistent with our presentation in Item 7: Management’s Discussion and Analysis of Financial Condition and Results of Operations. Total Retail Business is not a reportable segment.</w:t>
      </w:r>
    </w:p>
    <w:p>
      <w:pPr>
        <w:spacing w:after="0" w:line="394" w:lineRule="exact"/>
        <w:rPr>
          <w:sz w:val="20"/>
          <w:szCs w:val="20"/>
          <w:color w:val="auto"/>
        </w:rPr>
      </w:pPr>
    </w:p>
    <w:p>
      <w:pPr>
        <w:spacing w:after="0"/>
        <w:rPr>
          <w:sz w:val="20"/>
          <w:szCs w:val="20"/>
          <w:color w:val="auto"/>
        </w:rPr>
      </w:pPr>
      <w:r>
        <w:rPr>
          <w:rFonts w:ascii="Arial" w:cs="Arial" w:eastAsia="Arial" w:hAnsi="Arial"/>
          <w:sz w:val="16"/>
          <w:szCs w:val="16"/>
          <w:color w:val="auto"/>
        </w:rPr>
        <w:t>60</w:t>
      </w:r>
    </w:p>
    <w:p>
      <w:pPr>
        <w:sectPr>
          <w:pgSz w:w="11900" w:h="16838" w:orient="portrait"/>
          <w:cols w:equalWidth="0" w:num="1">
            <w:col w:w="11420"/>
          </w:cols>
          <w:pgMar w:left="240" w:top="126" w:right="239" w:bottom="1440" w:gutter="0" w:footer="0" w:header="0"/>
        </w:sectPr>
      </w:pPr>
    </w:p>
    <w:bookmarkStart w:id="61" w:name="page62"/>
    <w:bookmarkEnd w:id="61"/>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Nordstrom, Inc.</w:t>
      </w:r>
    </w:p>
    <w:p>
      <w:pPr>
        <w:spacing w:after="0" w:line="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rPr>
          <w:sz w:val="20"/>
          <w:szCs w:val="20"/>
          <w:color w:val="auto"/>
        </w:rPr>
      </w:pPr>
      <w:r>
        <w:rPr>
          <w:rFonts w:ascii="Arial" w:cs="Arial" w:eastAsia="Arial" w:hAnsi="Arial"/>
          <w:sz w:val="18"/>
          <w:szCs w:val="18"/>
          <w:color w:val="auto"/>
        </w:rPr>
        <w:t>Dollar and share amounts in millions except per share, per option and per unit amounts</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Policy</w:t>
      </w:r>
    </w:p>
    <w:p>
      <w:pPr>
        <w:spacing w:after="0" w:line="27"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In general, we use the same measurements to compute earnings before income taxes for reportable segments as we do for the consolidated Company. However, redemptions of our Nordstrom Notes are included in net sales for our Retail segment. The sales amount in our Corporate/Other column includes an entry to eliminate these transactions from our consolidated net sales. The related Nordstrom Notes expenses are included in our Retail segment at face value. Our Corporate/Other column includes an adjustment to reduce the Nordstrom Notes expense from face value to their estimated cost. In addition, our sales return reserve and other corporate adjustments are recorded in the Corporate/Other column. Other than as described above, the accounting policies of the operating segments are the same as those described in Note 1: Nature of Operations and Summary of Significant Accounting Policies.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for our reportable segments: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9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680" w:type="dxa"/>
            <w:vAlign w:val="bottom"/>
          </w:tcPr>
          <w:p>
            <w:pPr>
              <w:jc w:val="right"/>
              <w:ind w:right="479"/>
              <w:spacing w:after="0"/>
              <w:rPr>
                <w:sz w:val="20"/>
                <w:szCs w:val="20"/>
                <w:color w:val="auto"/>
              </w:rPr>
            </w:pPr>
            <w:r>
              <w:rPr>
                <w:rFonts w:ascii="Arial" w:cs="Arial" w:eastAsia="Arial" w:hAnsi="Arial"/>
                <w:sz w:val="16"/>
                <w:szCs w:val="16"/>
                <w:b w:val="1"/>
                <w:bCs w:val="1"/>
                <w:color w:val="auto"/>
              </w:rPr>
              <w:t>Total Retail</w:t>
            </w:r>
          </w:p>
        </w:tc>
        <w:tc>
          <w:tcPr>
            <w:tcW w:w="15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10"/>
        </w:trPr>
        <w:tc>
          <w:tcPr>
            <w:tcW w:w="3900" w:type="dxa"/>
            <w:vAlign w:val="bottom"/>
          </w:tcPr>
          <w:p>
            <w:pPr>
              <w:spacing w:after="0"/>
              <w:rPr>
                <w:sz w:val="18"/>
                <w:szCs w:val="18"/>
                <w:color w:val="auto"/>
              </w:rPr>
            </w:pPr>
          </w:p>
        </w:tc>
        <w:tc>
          <w:tcPr>
            <w:tcW w:w="1440" w:type="dxa"/>
            <w:vAlign w:val="bottom"/>
          </w:tcPr>
          <w:p>
            <w:pPr>
              <w:jc w:val="right"/>
              <w:ind w:right="139"/>
              <w:spacing w:after="0"/>
              <w:rPr>
                <w:sz w:val="20"/>
                <w:szCs w:val="20"/>
                <w:color w:val="auto"/>
              </w:rPr>
            </w:pPr>
            <w:r>
              <w:rPr>
                <w:rFonts w:ascii="Arial" w:cs="Arial" w:eastAsia="Arial" w:hAnsi="Arial"/>
                <w:sz w:val="16"/>
                <w:szCs w:val="16"/>
                <w:b w:val="1"/>
                <w:bCs w:val="1"/>
                <w:color w:val="auto"/>
              </w:rPr>
              <w:t>Retail</w:t>
            </w:r>
          </w:p>
        </w:tc>
        <w:tc>
          <w:tcPr>
            <w:tcW w:w="1720" w:type="dxa"/>
            <w:vAlign w:val="bottom"/>
          </w:tcPr>
          <w:p>
            <w:pPr>
              <w:jc w:val="right"/>
              <w:ind w:right="299"/>
              <w:spacing w:after="0"/>
              <w:rPr>
                <w:sz w:val="20"/>
                <w:szCs w:val="20"/>
                <w:color w:val="auto"/>
              </w:rPr>
            </w:pPr>
            <w:r>
              <w:rPr>
                <w:rFonts w:ascii="Arial" w:cs="Arial" w:eastAsia="Arial" w:hAnsi="Arial"/>
                <w:sz w:val="16"/>
                <w:szCs w:val="16"/>
                <w:b w:val="1"/>
                <w:bCs w:val="1"/>
                <w:color w:val="auto"/>
              </w:rPr>
              <w:t>Corporate/Other</w:t>
            </w:r>
          </w:p>
        </w:tc>
        <w:tc>
          <w:tcPr>
            <w:tcW w:w="1680" w:type="dxa"/>
            <w:vAlign w:val="bottom"/>
          </w:tcPr>
          <w:p>
            <w:pPr>
              <w:jc w:val="right"/>
              <w:ind w:right="479"/>
              <w:spacing w:after="0"/>
              <w:rPr>
                <w:sz w:val="20"/>
                <w:szCs w:val="20"/>
                <w:color w:val="auto"/>
              </w:rPr>
            </w:pPr>
            <w:r>
              <w:rPr>
                <w:rFonts w:ascii="Arial" w:cs="Arial" w:eastAsia="Arial" w:hAnsi="Arial"/>
                <w:sz w:val="16"/>
                <w:szCs w:val="16"/>
                <w:b w:val="1"/>
                <w:bCs w:val="1"/>
                <w:color w:val="auto"/>
              </w:rPr>
              <w:t>Business</w:t>
            </w:r>
          </w:p>
        </w:tc>
        <w:tc>
          <w:tcPr>
            <w:tcW w:w="1560" w:type="dxa"/>
            <w:vAlign w:val="bottom"/>
          </w:tcPr>
          <w:p>
            <w:pPr>
              <w:jc w:val="right"/>
              <w:ind w:right="519"/>
              <w:spacing w:after="0"/>
              <w:rPr>
                <w:sz w:val="20"/>
                <w:szCs w:val="20"/>
                <w:color w:val="auto"/>
              </w:rPr>
            </w:pPr>
            <w:r>
              <w:rPr>
                <w:rFonts w:ascii="Arial" w:cs="Arial" w:eastAsia="Arial" w:hAnsi="Arial"/>
                <w:sz w:val="16"/>
                <w:szCs w:val="16"/>
                <w:b w:val="1"/>
                <w:bCs w:val="1"/>
                <w:color w:val="auto"/>
              </w:rPr>
              <w:t>Credit</w:t>
            </w:r>
          </w:p>
        </w:tc>
        <w:tc>
          <w:tcPr>
            <w:tcW w:w="1120" w:type="dxa"/>
            <w:vAlign w:val="bottom"/>
          </w:tcPr>
          <w:p>
            <w:pPr>
              <w:jc w:val="right"/>
              <w:ind w:right="19"/>
              <w:spacing w:after="0"/>
              <w:rPr>
                <w:sz w:val="20"/>
                <w:szCs w:val="20"/>
                <w:color w:val="auto"/>
              </w:rPr>
            </w:pPr>
            <w:r>
              <w:rPr>
                <w:rFonts w:ascii="Arial" w:cs="Arial" w:eastAsia="Arial" w:hAnsi="Arial"/>
                <w:sz w:val="16"/>
                <w:szCs w:val="16"/>
                <w:b w:val="1"/>
                <w:bCs w:val="1"/>
                <w:color w:val="auto"/>
              </w:rPr>
              <w:t>Total</w:t>
            </w:r>
          </w:p>
        </w:tc>
      </w:tr>
      <w:tr>
        <w:trPr>
          <w:trHeight w:val="33"/>
        </w:trPr>
        <w:tc>
          <w:tcPr>
            <w:tcW w:w="39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Fiscal year 2016</w:t>
            </w:r>
          </w:p>
        </w:tc>
        <w:tc>
          <w:tcPr>
            <w:tcW w:w="14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3900" w:type="dxa"/>
            <w:vAlign w:val="bottom"/>
          </w:tcPr>
          <w:p>
            <w:pPr>
              <w:ind w:left="40"/>
              <w:spacing w:after="0"/>
              <w:rPr>
                <w:sz w:val="20"/>
                <w:szCs w:val="20"/>
                <w:color w:val="auto"/>
              </w:rPr>
            </w:pPr>
            <w:r>
              <w:rPr>
                <w:rFonts w:ascii="Arial" w:cs="Arial" w:eastAsia="Arial" w:hAnsi="Arial"/>
                <w:sz w:val="16"/>
                <w:szCs w:val="16"/>
                <w:color w:val="auto"/>
              </w:rPr>
              <w:t>Net sales</w:t>
            </w:r>
          </w:p>
        </w:tc>
        <w:tc>
          <w:tcPr>
            <w:tcW w:w="1440" w:type="dxa"/>
            <w:vAlign w:val="bottom"/>
          </w:tcPr>
          <w:p>
            <w:pPr>
              <w:jc w:val="right"/>
              <w:ind w:right="99"/>
              <w:spacing w:after="0"/>
              <w:rPr>
                <w:sz w:val="20"/>
                <w:szCs w:val="20"/>
                <w:color w:val="auto"/>
              </w:rPr>
            </w:pPr>
            <w:r>
              <w:rPr>
                <w:rFonts w:ascii="Arial" w:cs="Arial" w:eastAsia="Arial" w:hAnsi="Arial"/>
                <w:sz w:val="16"/>
                <w:szCs w:val="16"/>
                <w:b w:val="1"/>
                <w:bCs w:val="1"/>
                <w:color w:val="auto"/>
              </w:rPr>
              <w:t>$14,768</w:t>
            </w:r>
          </w:p>
        </w:tc>
        <w:tc>
          <w:tcPr>
            <w:tcW w:w="1720" w:type="dxa"/>
            <w:vAlign w:val="bottom"/>
          </w:tcPr>
          <w:p>
            <w:pPr>
              <w:jc w:val="right"/>
              <w:ind w:right="239"/>
              <w:spacing w:after="0"/>
              <w:rPr>
                <w:sz w:val="20"/>
                <w:szCs w:val="20"/>
                <w:color w:val="auto"/>
              </w:rPr>
            </w:pPr>
            <w:r>
              <w:rPr>
                <w:rFonts w:ascii="Arial" w:cs="Arial" w:eastAsia="Arial" w:hAnsi="Arial"/>
                <w:sz w:val="16"/>
                <w:szCs w:val="16"/>
                <w:b w:val="1"/>
                <w:bCs w:val="1"/>
                <w:color w:val="auto"/>
              </w:rPr>
              <w:t>($270)</w:t>
            </w:r>
          </w:p>
        </w:tc>
        <w:tc>
          <w:tcPr>
            <w:tcW w:w="1680" w:type="dxa"/>
            <w:vAlign w:val="bottom"/>
          </w:tcPr>
          <w:p>
            <w:pPr>
              <w:jc w:val="right"/>
              <w:ind w:right="479"/>
              <w:spacing w:after="0"/>
              <w:rPr>
                <w:sz w:val="20"/>
                <w:szCs w:val="20"/>
                <w:color w:val="auto"/>
              </w:rPr>
            </w:pPr>
            <w:r>
              <w:rPr>
                <w:rFonts w:ascii="Arial" w:cs="Arial" w:eastAsia="Arial" w:hAnsi="Arial"/>
                <w:sz w:val="16"/>
                <w:szCs w:val="16"/>
                <w:b w:val="1"/>
                <w:bCs w:val="1"/>
                <w:color w:val="auto"/>
              </w:rPr>
              <w:t>$14,498</w:t>
            </w:r>
          </w:p>
        </w:tc>
        <w:tc>
          <w:tcPr>
            <w:tcW w:w="1560" w:type="dxa"/>
            <w:vAlign w:val="bottom"/>
          </w:tcPr>
          <w:p>
            <w:pPr>
              <w:jc w:val="right"/>
              <w:ind w:right="479"/>
              <w:spacing w:after="0"/>
              <w:rPr>
                <w:sz w:val="20"/>
                <w:szCs w:val="20"/>
                <w:color w:val="auto"/>
              </w:rPr>
            </w:pPr>
            <w:r>
              <w:rPr>
                <w:rFonts w:ascii="Arial" w:cs="Arial" w:eastAsia="Arial" w:hAnsi="Arial"/>
                <w:sz w:val="16"/>
                <w:szCs w:val="16"/>
                <w:b w:val="1"/>
                <w:bCs w:val="1"/>
                <w:color w:val="auto"/>
              </w:rPr>
              <w:t>$—</w:t>
            </w:r>
          </w:p>
        </w:tc>
        <w:tc>
          <w:tcPr>
            <w:tcW w:w="1120" w:type="dxa"/>
            <w:vAlign w:val="bottom"/>
          </w:tcPr>
          <w:p>
            <w:pPr>
              <w:jc w:val="right"/>
              <w:ind w:right="19"/>
              <w:spacing w:after="0"/>
              <w:rPr>
                <w:sz w:val="20"/>
                <w:szCs w:val="20"/>
                <w:color w:val="auto"/>
              </w:rPr>
            </w:pPr>
            <w:r>
              <w:rPr>
                <w:rFonts w:ascii="Arial" w:cs="Arial" w:eastAsia="Arial" w:hAnsi="Arial"/>
                <w:sz w:val="16"/>
                <w:szCs w:val="16"/>
                <w:b w:val="1"/>
                <w:bCs w:val="1"/>
                <w:color w:val="auto"/>
              </w:rPr>
              <w:t>$14,498</w:t>
            </w:r>
          </w:p>
        </w:tc>
      </w:tr>
      <w:tr>
        <w:trPr>
          <w:trHeight w:val="33"/>
        </w:trPr>
        <w:tc>
          <w:tcPr>
            <w:tcW w:w="39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Credit card revenues, net</w:t>
            </w:r>
          </w:p>
        </w:tc>
        <w:tc>
          <w:tcPr>
            <w:tcW w:w="14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w:t>
            </w:r>
          </w:p>
        </w:tc>
        <w:tc>
          <w:tcPr>
            <w:tcW w:w="172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b w:val="1"/>
                <w:bCs w:val="1"/>
                <w:color w:val="auto"/>
              </w:rPr>
              <w:t>—</w:t>
            </w:r>
          </w:p>
        </w:tc>
        <w:tc>
          <w:tcPr>
            <w:tcW w:w="168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b w:val="1"/>
                <w:bCs w:val="1"/>
                <w:color w:val="auto"/>
              </w:rPr>
              <w:t>—</w:t>
            </w:r>
          </w:p>
        </w:tc>
        <w:tc>
          <w:tcPr>
            <w:tcW w:w="156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b w:val="1"/>
                <w:bCs w:val="1"/>
                <w:color w:val="auto"/>
              </w:rPr>
              <w:t>259</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259</w:t>
            </w:r>
          </w:p>
        </w:tc>
      </w:tr>
      <w:tr>
        <w:trPr>
          <w:trHeight w:val="237"/>
        </w:trPr>
        <w:tc>
          <w:tcPr>
            <w:tcW w:w="3900" w:type="dxa"/>
            <w:vAlign w:val="bottom"/>
          </w:tcPr>
          <w:p>
            <w:pPr>
              <w:ind w:left="40"/>
              <w:spacing w:after="0"/>
              <w:rPr>
                <w:sz w:val="20"/>
                <w:szCs w:val="20"/>
                <w:color w:val="auto"/>
              </w:rPr>
            </w:pPr>
            <w:r>
              <w:rPr>
                <w:rFonts w:ascii="Arial" w:cs="Arial" w:eastAsia="Arial" w:hAnsi="Arial"/>
                <w:sz w:val="16"/>
                <w:szCs w:val="16"/>
                <w:color w:val="auto"/>
              </w:rPr>
              <w:t>Earnings (loss) before interest and income taxes</w:t>
            </w:r>
          </w:p>
        </w:tc>
        <w:tc>
          <w:tcPr>
            <w:tcW w:w="1440" w:type="dxa"/>
            <w:vAlign w:val="bottom"/>
          </w:tcPr>
          <w:p>
            <w:pPr>
              <w:jc w:val="right"/>
              <w:ind w:right="99"/>
              <w:spacing w:after="0"/>
              <w:rPr>
                <w:sz w:val="20"/>
                <w:szCs w:val="20"/>
                <w:color w:val="auto"/>
              </w:rPr>
            </w:pPr>
            <w:r>
              <w:rPr>
                <w:rFonts w:ascii="Arial" w:cs="Arial" w:eastAsia="Arial" w:hAnsi="Arial"/>
                <w:sz w:val="16"/>
                <w:szCs w:val="16"/>
                <w:b w:val="1"/>
                <w:bCs w:val="1"/>
                <w:color w:val="auto"/>
              </w:rPr>
              <w:t>1,006</w:t>
            </w:r>
          </w:p>
        </w:tc>
        <w:tc>
          <w:tcPr>
            <w:tcW w:w="1720" w:type="dxa"/>
            <w:vAlign w:val="bottom"/>
          </w:tcPr>
          <w:p>
            <w:pPr>
              <w:jc w:val="right"/>
              <w:ind w:right="239"/>
              <w:spacing w:after="0"/>
              <w:rPr>
                <w:sz w:val="20"/>
                <w:szCs w:val="20"/>
                <w:color w:val="auto"/>
              </w:rPr>
            </w:pPr>
            <w:r>
              <w:rPr>
                <w:rFonts w:ascii="Arial" w:cs="Arial" w:eastAsia="Arial" w:hAnsi="Arial"/>
                <w:sz w:val="16"/>
                <w:szCs w:val="16"/>
                <w:b w:val="1"/>
                <w:bCs w:val="1"/>
                <w:color w:val="auto"/>
              </w:rPr>
              <w:t>(298)</w:t>
            </w:r>
          </w:p>
        </w:tc>
        <w:tc>
          <w:tcPr>
            <w:tcW w:w="1680" w:type="dxa"/>
            <w:vAlign w:val="bottom"/>
          </w:tcPr>
          <w:p>
            <w:pPr>
              <w:jc w:val="right"/>
              <w:ind w:right="479"/>
              <w:spacing w:after="0"/>
              <w:rPr>
                <w:sz w:val="20"/>
                <w:szCs w:val="20"/>
                <w:color w:val="auto"/>
              </w:rPr>
            </w:pPr>
            <w:r>
              <w:rPr>
                <w:rFonts w:ascii="Arial" w:cs="Arial" w:eastAsia="Arial" w:hAnsi="Arial"/>
                <w:sz w:val="16"/>
                <w:szCs w:val="16"/>
                <w:b w:val="1"/>
                <w:bCs w:val="1"/>
                <w:color w:val="auto"/>
              </w:rPr>
              <w:t>708</w:t>
            </w:r>
          </w:p>
        </w:tc>
        <w:tc>
          <w:tcPr>
            <w:tcW w:w="1560" w:type="dxa"/>
            <w:vAlign w:val="bottom"/>
          </w:tcPr>
          <w:p>
            <w:pPr>
              <w:jc w:val="right"/>
              <w:ind w:right="479"/>
              <w:spacing w:after="0"/>
              <w:rPr>
                <w:sz w:val="20"/>
                <w:szCs w:val="20"/>
                <w:color w:val="auto"/>
              </w:rPr>
            </w:pPr>
            <w:r>
              <w:rPr>
                <w:rFonts w:ascii="Arial" w:cs="Arial" w:eastAsia="Arial" w:hAnsi="Arial"/>
                <w:sz w:val="16"/>
                <w:szCs w:val="16"/>
                <w:b w:val="1"/>
                <w:bCs w:val="1"/>
                <w:color w:val="auto"/>
              </w:rPr>
              <w:t>97</w:t>
            </w:r>
          </w:p>
        </w:tc>
        <w:tc>
          <w:tcPr>
            <w:tcW w:w="1120" w:type="dxa"/>
            <w:vAlign w:val="bottom"/>
          </w:tcPr>
          <w:p>
            <w:pPr>
              <w:jc w:val="right"/>
              <w:ind w:right="19"/>
              <w:spacing w:after="0"/>
              <w:rPr>
                <w:sz w:val="20"/>
                <w:szCs w:val="20"/>
                <w:color w:val="auto"/>
              </w:rPr>
            </w:pPr>
            <w:r>
              <w:rPr>
                <w:rFonts w:ascii="Arial" w:cs="Arial" w:eastAsia="Arial" w:hAnsi="Arial"/>
                <w:sz w:val="16"/>
                <w:szCs w:val="16"/>
                <w:b w:val="1"/>
                <w:bCs w:val="1"/>
                <w:color w:val="auto"/>
              </w:rPr>
              <w:t>805</w:t>
            </w:r>
          </w:p>
        </w:tc>
      </w:tr>
      <w:tr>
        <w:trPr>
          <w:trHeight w:val="33"/>
        </w:trPr>
        <w:tc>
          <w:tcPr>
            <w:tcW w:w="39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expense, net</w:t>
            </w:r>
          </w:p>
        </w:tc>
        <w:tc>
          <w:tcPr>
            <w:tcW w:w="14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w:t>
            </w:r>
          </w:p>
        </w:tc>
        <w:tc>
          <w:tcPr>
            <w:tcW w:w="17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b w:val="1"/>
                <w:bCs w:val="1"/>
                <w:color w:val="auto"/>
              </w:rPr>
              <w:t>(121)</w:t>
            </w:r>
          </w:p>
        </w:tc>
        <w:tc>
          <w:tcPr>
            <w:tcW w:w="168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b w:val="1"/>
                <w:bCs w:val="1"/>
                <w:color w:val="auto"/>
              </w:rPr>
              <w:t>(121)</w:t>
            </w:r>
          </w:p>
        </w:tc>
        <w:tc>
          <w:tcPr>
            <w:tcW w:w="156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b w:val="1"/>
                <w:bCs w:val="1"/>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(121)</w:t>
            </w:r>
          </w:p>
        </w:tc>
      </w:tr>
      <w:tr>
        <w:trPr>
          <w:trHeight w:val="237"/>
        </w:trPr>
        <w:tc>
          <w:tcPr>
            <w:tcW w:w="3900" w:type="dxa"/>
            <w:vAlign w:val="bottom"/>
          </w:tcPr>
          <w:p>
            <w:pPr>
              <w:ind w:left="40"/>
              <w:spacing w:after="0"/>
              <w:rPr>
                <w:sz w:val="20"/>
                <w:szCs w:val="20"/>
                <w:color w:val="auto"/>
              </w:rPr>
            </w:pPr>
            <w:r>
              <w:rPr>
                <w:rFonts w:ascii="Arial" w:cs="Arial" w:eastAsia="Arial" w:hAnsi="Arial"/>
                <w:sz w:val="16"/>
                <w:szCs w:val="16"/>
                <w:color w:val="auto"/>
              </w:rPr>
              <w:t>Earnings (loss) before income taxes</w:t>
            </w:r>
          </w:p>
        </w:tc>
        <w:tc>
          <w:tcPr>
            <w:tcW w:w="1440" w:type="dxa"/>
            <w:vAlign w:val="bottom"/>
          </w:tcPr>
          <w:p>
            <w:pPr>
              <w:jc w:val="right"/>
              <w:ind w:right="99"/>
              <w:spacing w:after="0"/>
              <w:rPr>
                <w:sz w:val="20"/>
                <w:szCs w:val="20"/>
                <w:color w:val="auto"/>
              </w:rPr>
            </w:pPr>
            <w:r>
              <w:rPr>
                <w:rFonts w:ascii="Arial" w:cs="Arial" w:eastAsia="Arial" w:hAnsi="Arial"/>
                <w:sz w:val="16"/>
                <w:szCs w:val="16"/>
                <w:b w:val="1"/>
                <w:bCs w:val="1"/>
                <w:color w:val="auto"/>
              </w:rPr>
              <w:t>1,006</w:t>
            </w:r>
          </w:p>
        </w:tc>
        <w:tc>
          <w:tcPr>
            <w:tcW w:w="1720" w:type="dxa"/>
            <w:vAlign w:val="bottom"/>
          </w:tcPr>
          <w:p>
            <w:pPr>
              <w:jc w:val="right"/>
              <w:ind w:right="239"/>
              <w:spacing w:after="0"/>
              <w:rPr>
                <w:sz w:val="20"/>
                <w:szCs w:val="20"/>
                <w:color w:val="auto"/>
              </w:rPr>
            </w:pPr>
            <w:r>
              <w:rPr>
                <w:rFonts w:ascii="Arial" w:cs="Arial" w:eastAsia="Arial" w:hAnsi="Arial"/>
                <w:sz w:val="16"/>
                <w:szCs w:val="16"/>
                <w:b w:val="1"/>
                <w:bCs w:val="1"/>
                <w:color w:val="auto"/>
              </w:rPr>
              <w:t>(419)</w:t>
            </w:r>
          </w:p>
        </w:tc>
        <w:tc>
          <w:tcPr>
            <w:tcW w:w="1680" w:type="dxa"/>
            <w:vAlign w:val="bottom"/>
          </w:tcPr>
          <w:p>
            <w:pPr>
              <w:jc w:val="right"/>
              <w:ind w:right="479"/>
              <w:spacing w:after="0"/>
              <w:rPr>
                <w:sz w:val="20"/>
                <w:szCs w:val="20"/>
                <w:color w:val="auto"/>
              </w:rPr>
            </w:pPr>
            <w:r>
              <w:rPr>
                <w:rFonts w:ascii="Arial" w:cs="Arial" w:eastAsia="Arial" w:hAnsi="Arial"/>
                <w:sz w:val="16"/>
                <w:szCs w:val="16"/>
                <w:b w:val="1"/>
                <w:bCs w:val="1"/>
                <w:color w:val="auto"/>
              </w:rPr>
              <w:t>587</w:t>
            </w:r>
          </w:p>
        </w:tc>
        <w:tc>
          <w:tcPr>
            <w:tcW w:w="1560" w:type="dxa"/>
            <w:vAlign w:val="bottom"/>
          </w:tcPr>
          <w:p>
            <w:pPr>
              <w:jc w:val="right"/>
              <w:ind w:right="479"/>
              <w:spacing w:after="0"/>
              <w:rPr>
                <w:sz w:val="20"/>
                <w:szCs w:val="20"/>
                <w:color w:val="auto"/>
              </w:rPr>
            </w:pPr>
            <w:r>
              <w:rPr>
                <w:rFonts w:ascii="Arial" w:cs="Arial" w:eastAsia="Arial" w:hAnsi="Arial"/>
                <w:sz w:val="16"/>
                <w:szCs w:val="16"/>
                <w:b w:val="1"/>
                <w:bCs w:val="1"/>
                <w:color w:val="auto"/>
              </w:rPr>
              <w:t>97</w:t>
            </w:r>
          </w:p>
        </w:tc>
        <w:tc>
          <w:tcPr>
            <w:tcW w:w="1120" w:type="dxa"/>
            <w:vAlign w:val="bottom"/>
          </w:tcPr>
          <w:p>
            <w:pPr>
              <w:jc w:val="right"/>
              <w:ind w:right="19"/>
              <w:spacing w:after="0"/>
              <w:rPr>
                <w:sz w:val="20"/>
                <w:szCs w:val="20"/>
                <w:color w:val="auto"/>
              </w:rPr>
            </w:pPr>
            <w:r>
              <w:rPr>
                <w:rFonts w:ascii="Arial" w:cs="Arial" w:eastAsia="Arial" w:hAnsi="Arial"/>
                <w:sz w:val="16"/>
                <w:szCs w:val="16"/>
                <w:b w:val="1"/>
                <w:bCs w:val="1"/>
                <w:color w:val="auto"/>
              </w:rPr>
              <w:t>684</w:t>
            </w:r>
          </w:p>
        </w:tc>
      </w:tr>
      <w:tr>
        <w:trPr>
          <w:trHeight w:val="33"/>
        </w:trPr>
        <w:tc>
          <w:tcPr>
            <w:tcW w:w="39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Capital expenditures</w:t>
            </w:r>
          </w:p>
        </w:tc>
        <w:tc>
          <w:tcPr>
            <w:tcW w:w="14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593</w:t>
            </w:r>
          </w:p>
        </w:tc>
        <w:tc>
          <w:tcPr>
            <w:tcW w:w="172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b w:val="1"/>
                <w:bCs w:val="1"/>
                <w:color w:val="auto"/>
              </w:rPr>
              <w:t>249</w:t>
            </w:r>
          </w:p>
        </w:tc>
        <w:tc>
          <w:tcPr>
            <w:tcW w:w="168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b w:val="1"/>
                <w:bCs w:val="1"/>
                <w:color w:val="auto"/>
              </w:rPr>
              <w:t>842</w:t>
            </w:r>
          </w:p>
        </w:tc>
        <w:tc>
          <w:tcPr>
            <w:tcW w:w="156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b w:val="1"/>
                <w:bCs w:val="1"/>
                <w:color w:val="auto"/>
              </w:rPr>
              <w:t>4</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846</w:t>
            </w:r>
          </w:p>
        </w:tc>
      </w:tr>
      <w:tr>
        <w:trPr>
          <w:trHeight w:val="237"/>
        </w:trPr>
        <w:tc>
          <w:tcPr>
            <w:tcW w:w="3900" w:type="dxa"/>
            <w:vAlign w:val="bottom"/>
          </w:tcPr>
          <w:p>
            <w:pPr>
              <w:ind w:left="40"/>
              <w:spacing w:after="0"/>
              <w:rPr>
                <w:sz w:val="20"/>
                <w:szCs w:val="20"/>
                <w:color w:val="auto"/>
              </w:rPr>
            </w:pPr>
            <w:r>
              <w:rPr>
                <w:rFonts w:ascii="Arial" w:cs="Arial" w:eastAsia="Arial" w:hAnsi="Arial"/>
                <w:sz w:val="16"/>
                <w:szCs w:val="16"/>
                <w:color w:val="auto"/>
              </w:rPr>
              <w:t>Depreciation and amortization</w:t>
            </w:r>
          </w:p>
        </w:tc>
        <w:tc>
          <w:tcPr>
            <w:tcW w:w="1440" w:type="dxa"/>
            <w:vAlign w:val="bottom"/>
          </w:tcPr>
          <w:p>
            <w:pPr>
              <w:jc w:val="right"/>
              <w:ind w:right="99"/>
              <w:spacing w:after="0"/>
              <w:rPr>
                <w:sz w:val="20"/>
                <w:szCs w:val="20"/>
                <w:color w:val="auto"/>
              </w:rPr>
            </w:pPr>
            <w:r>
              <w:rPr>
                <w:rFonts w:ascii="Arial" w:cs="Arial" w:eastAsia="Arial" w:hAnsi="Arial"/>
                <w:sz w:val="16"/>
                <w:szCs w:val="16"/>
                <w:b w:val="1"/>
                <w:bCs w:val="1"/>
                <w:color w:val="auto"/>
              </w:rPr>
              <w:t>456</w:t>
            </w:r>
          </w:p>
        </w:tc>
        <w:tc>
          <w:tcPr>
            <w:tcW w:w="1720" w:type="dxa"/>
            <w:vAlign w:val="bottom"/>
          </w:tcPr>
          <w:p>
            <w:pPr>
              <w:jc w:val="right"/>
              <w:ind w:right="299"/>
              <w:spacing w:after="0"/>
              <w:rPr>
                <w:sz w:val="20"/>
                <w:szCs w:val="20"/>
                <w:color w:val="auto"/>
              </w:rPr>
            </w:pPr>
            <w:r>
              <w:rPr>
                <w:rFonts w:ascii="Arial" w:cs="Arial" w:eastAsia="Arial" w:hAnsi="Arial"/>
                <w:sz w:val="16"/>
                <w:szCs w:val="16"/>
                <w:b w:val="1"/>
                <w:bCs w:val="1"/>
                <w:color w:val="auto"/>
              </w:rPr>
              <w:t>182</w:t>
            </w:r>
          </w:p>
        </w:tc>
        <w:tc>
          <w:tcPr>
            <w:tcW w:w="1680" w:type="dxa"/>
            <w:vAlign w:val="bottom"/>
          </w:tcPr>
          <w:p>
            <w:pPr>
              <w:jc w:val="right"/>
              <w:ind w:right="479"/>
              <w:spacing w:after="0"/>
              <w:rPr>
                <w:sz w:val="20"/>
                <w:szCs w:val="20"/>
                <w:color w:val="auto"/>
              </w:rPr>
            </w:pPr>
            <w:r>
              <w:rPr>
                <w:rFonts w:ascii="Arial" w:cs="Arial" w:eastAsia="Arial" w:hAnsi="Arial"/>
                <w:sz w:val="16"/>
                <w:szCs w:val="16"/>
                <w:b w:val="1"/>
                <w:bCs w:val="1"/>
                <w:color w:val="auto"/>
              </w:rPr>
              <w:t>638</w:t>
            </w:r>
          </w:p>
        </w:tc>
        <w:tc>
          <w:tcPr>
            <w:tcW w:w="1560" w:type="dxa"/>
            <w:vAlign w:val="bottom"/>
          </w:tcPr>
          <w:p>
            <w:pPr>
              <w:jc w:val="right"/>
              <w:ind w:right="479"/>
              <w:spacing w:after="0"/>
              <w:rPr>
                <w:sz w:val="20"/>
                <w:szCs w:val="20"/>
                <w:color w:val="auto"/>
              </w:rPr>
            </w:pPr>
            <w:r>
              <w:rPr>
                <w:rFonts w:ascii="Arial" w:cs="Arial" w:eastAsia="Arial" w:hAnsi="Arial"/>
                <w:sz w:val="16"/>
                <w:szCs w:val="16"/>
                <w:b w:val="1"/>
                <w:bCs w:val="1"/>
                <w:color w:val="auto"/>
              </w:rPr>
              <w:t>7</w:t>
            </w:r>
          </w:p>
        </w:tc>
        <w:tc>
          <w:tcPr>
            <w:tcW w:w="1120" w:type="dxa"/>
            <w:vAlign w:val="bottom"/>
          </w:tcPr>
          <w:p>
            <w:pPr>
              <w:jc w:val="right"/>
              <w:ind w:right="19"/>
              <w:spacing w:after="0"/>
              <w:rPr>
                <w:sz w:val="20"/>
                <w:szCs w:val="20"/>
                <w:color w:val="auto"/>
              </w:rPr>
            </w:pPr>
            <w:r>
              <w:rPr>
                <w:rFonts w:ascii="Arial" w:cs="Arial" w:eastAsia="Arial" w:hAnsi="Arial"/>
                <w:sz w:val="16"/>
                <w:szCs w:val="16"/>
                <w:b w:val="1"/>
                <w:bCs w:val="1"/>
                <w:color w:val="auto"/>
              </w:rPr>
              <w:t>645</w:t>
            </w:r>
          </w:p>
        </w:tc>
      </w:tr>
      <w:tr>
        <w:trPr>
          <w:trHeight w:val="33"/>
        </w:trPr>
        <w:tc>
          <w:tcPr>
            <w:tcW w:w="39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Assets</w:t>
            </w:r>
          </w:p>
        </w:tc>
        <w:tc>
          <w:tcPr>
            <w:tcW w:w="14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5,291</w:t>
            </w:r>
          </w:p>
        </w:tc>
        <w:tc>
          <w:tcPr>
            <w:tcW w:w="172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b w:val="1"/>
                <w:bCs w:val="1"/>
                <w:color w:val="auto"/>
              </w:rPr>
              <w:t>2,088</w:t>
            </w:r>
          </w:p>
        </w:tc>
        <w:tc>
          <w:tcPr>
            <w:tcW w:w="168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b w:val="1"/>
                <w:bCs w:val="1"/>
                <w:color w:val="auto"/>
              </w:rPr>
              <w:t>7,379</w:t>
            </w:r>
          </w:p>
        </w:tc>
        <w:tc>
          <w:tcPr>
            <w:tcW w:w="156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b w:val="1"/>
                <w:bCs w:val="1"/>
                <w:color w:val="auto"/>
              </w:rPr>
              <w:t>479</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7,858</w:t>
            </w:r>
          </w:p>
        </w:tc>
      </w:tr>
      <w:tr>
        <w:trPr>
          <w:trHeight w:val="297"/>
        </w:trPr>
        <w:tc>
          <w:tcPr>
            <w:tcW w:w="39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Fiscal year 2015</w:t>
            </w:r>
          </w:p>
        </w:tc>
        <w:tc>
          <w:tcPr>
            <w:tcW w:w="14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3900" w:type="dxa"/>
            <w:vAlign w:val="bottom"/>
          </w:tcPr>
          <w:p>
            <w:pPr>
              <w:ind w:left="40"/>
              <w:spacing w:after="0"/>
              <w:rPr>
                <w:sz w:val="20"/>
                <w:szCs w:val="20"/>
                <w:color w:val="auto"/>
              </w:rPr>
            </w:pPr>
            <w:r>
              <w:rPr>
                <w:rFonts w:ascii="Arial" w:cs="Arial" w:eastAsia="Arial" w:hAnsi="Arial"/>
                <w:sz w:val="16"/>
                <w:szCs w:val="16"/>
                <w:color w:val="auto"/>
              </w:rPr>
              <w:t>Net sales</w:t>
            </w:r>
          </w:p>
        </w:tc>
        <w:tc>
          <w:tcPr>
            <w:tcW w:w="1440" w:type="dxa"/>
            <w:vAlign w:val="bottom"/>
          </w:tcPr>
          <w:p>
            <w:pPr>
              <w:jc w:val="right"/>
              <w:ind w:right="99"/>
              <w:spacing w:after="0"/>
              <w:rPr>
                <w:sz w:val="20"/>
                <w:szCs w:val="20"/>
                <w:color w:val="auto"/>
              </w:rPr>
            </w:pPr>
            <w:r>
              <w:rPr>
                <w:rFonts w:ascii="Arial" w:cs="Arial" w:eastAsia="Arial" w:hAnsi="Arial"/>
                <w:sz w:val="16"/>
                <w:szCs w:val="16"/>
                <w:color w:val="auto"/>
              </w:rPr>
              <w:t>$14,376</w:t>
            </w:r>
          </w:p>
        </w:tc>
        <w:tc>
          <w:tcPr>
            <w:tcW w:w="1720" w:type="dxa"/>
            <w:vAlign w:val="bottom"/>
          </w:tcPr>
          <w:p>
            <w:pPr>
              <w:jc w:val="right"/>
              <w:ind w:right="239"/>
              <w:spacing w:after="0"/>
              <w:rPr>
                <w:sz w:val="20"/>
                <w:szCs w:val="20"/>
                <w:color w:val="auto"/>
              </w:rPr>
            </w:pPr>
            <w:r>
              <w:rPr>
                <w:rFonts w:ascii="Arial" w:cs="Arial" w:eastAsia="Arial" w:hAnsi="Arial"/>
                <w:sz w:val="16"/>
                <w:szCs w:val="16"/>
                <w:color w:val="auto"/>
              </w:rPr>
              <w:t>($281)</w:t>
            </w:r>
          </w:p>
        </w:tc>
        <w:tc>
          <w:tcPr>
            <w:tcW w:w="1680" w:type="dxa"/>
            <w:vAlign w:val="bottom"/>
          </w:tcPr>
          <w:p>
            <w:pPr>
              <w:jc w:val="right"/>
              <w:ind w:right="479"/>
              <w:spacing w:after="0"/>
              <w:rPr>
                <w:sz w:val="20"/>
                <w:szCs w:val="20"/>
                <w:color w:val="auto"/>
              </w:rPr>
            </w:pPr>
            <w:r>
              <w:rPr>
                <w:rFonts w:ascii="Arial" w:cs="Arial" w:eastAsia="Arial" w:hAnsi="Arial"/>
                <w:sz w:val="16"/>
                <w:szCs w:val="16"/>
                <w:color w:val="auto"/>
              </w:rPr>
              <w:t>$14,095</w:t>
            </w:r>
          </w:p>
        </w:tc>
        <w:tc>
          <w:tcPr>
            <w:tcW w:w="1560" w:type="dxa"/>
            <w:vAlign w:val="bottom"/>
          </w:tcPr>
          <w:p>
            <w:pPr>
              <w:jc w:val="right"/>
              <w:ind w:right="47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$14,095</w:t>
            </w:r>
          </w:p>
        </w:tc>
      </w:tr>
      <w:tr>
        <w:trPr>
          <w:trHeight w:val="33"/>
        </w:trPr>
        <w:tc>
          <w:tcPr>
            <w:tcW w:w="39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Credit card revenues, net</w:t>
            </w:r>
          </w:p>
        </w:tc>
        <w:tc>
          <w:tcPr>
            <w:tcW w:w="14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color w:val="auto"/>
              </w:rPr>
              <w:t>342</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342</w:t>
            </w:r>
          </w:p>
        </w:tc>
      </w:tr>
      <w:tr>
        <w:trPr>
          <w:trHeight w:val="237"/>
        </w:trPr>
        <w:tc>
          <w:tcPr>
            <w:tcW w:w="3900" w:type="dxa"/>
            <w:vAlign w:val="bottom"/>
          </w:tcPr>
          <w:p>
            <w:pPr>
              <w:ind w:left="40"/>
              <w:spacing w:after="0"/>
              <w:rPr>
                <w:sz w:val="20"/>
                <w:szCs w:val="20"/>
                <w:color w:val="auto"/>
              </w:rPr>
            </w:pPr>
            <w:r>
              <w:rPr>
                <w:rFonts w:ascii="Arial" w:cs="Arial" w:eastAsia="Arial" w:hAnsi="Arial"/>
                <w:sz w:val="16"/>
                <w:szCs w:val="16"/>
                <w:color w:val="auto"/>
              </w:rPr>
              <w:t>Earnings (loss) before interest and income taxes</w:t>
            </w:r>
          </w:p>
        </w:tc>
        <w:tc>
          <w:tcPr>
            <w:tcW w:w="1440" w:type="dxa"/>
            <w:vAlign w:val="bottom"/>
          </w:tcPr>
          <w:p>
            <w:pPr>
              <w:jc w:val="right"/>
              <w:ind w:right="99"/>
              <w:spacing w:after="0"/>
              <w:rPr>
                <w:sz w:val="20"/>
                <w:szCs w:val="20"/>
                <w:color w:val="auto"/>
              </w:rPr>
            </w:pPr>
            <w:r>
              <w:rPr>
                <w:rFonts w:ascii="Arial" w:cs="Arial" w:eastAsia="Arial" w:hAnsi="Arial"/>
                <w:sz w:val="16"/>
                <w:szCs w:val="16"/>
                <w:color w:val="auto"/>
              </w:rPr>
              <w:t>1,220</w:t>
            </w:r>
          </w:p>
        </w:tc>
        <w:tc>
          <w:tcPr>
            <w:tcW w:w="1720" w:type="dxa"/>
            <w:vAlign w:val="bottom"/>
          </w:tcPr>
          <w:p>
            <w:pPr>
              <w:jc w:val="right"/>
              <w:ind w:right="239"/>
              <w:spacing w:after="0"/>
              <w:rPr>
                <w:sz w:val="20"/>
                <w:szCs w:val="20"/>
                <w:color w:val="auto"/>
              </w:rPr>
            </w:pPr>
            <w:r>
              <w:rPr>
                <w:rFonts w:ascii="Arial" w:cs="Arial" w:eastAsia="Arial" w:hAnsi="Arial"/>
                <w:sz w:val="16"/>
                <w:szCs w:val="16"/>
                <w:color w:val="auto"/>
              </w:rPr>
              <w:t>(302)</w:t>
            </w:r>
          </w:p>
        </w:tc>
        <w:tc>
          <w:tcPr>
            <w:tcW w:w="1680" w:type="dxa"/>
            <w:vAlign w:val="bottom"/>
          </w:tcPr>
          <w:p>
            <w:pPr>
              <w:jc w:val="right"/>
              <w:ind w:right="479"/>
              <w:spacing w:after="0"/>
              <w:rPr>
                <w:sz w:val="20"/>
                <w:szCs w:val="20"/>
                <w:color w:val="auto"/>
              </w:rPr>
            </w:pPr>
            <w:r>
              <w:rPr>
                <w:rFonts w:ascii="Arial" w:cs="Arial" w:eastAsia="Arial" w:hAnsi="Arial"/>
                <w:sz w:val="16"/>
                <w:szCs w:val="16"/>
                <w:color w:val="auto"/>
              </w:rPr>
              <w:t>918</w:t>
            </w:r>
          </w:p>
        </w:tc>
        <w:tc>
          <w:tcPr>
            <w:tcW w:w="1560" w:type="dxa"/>
            <w:vAlign w:val="bottom"/>
          </w:tcPr>
          <w:p>
            <w:pPr>
              <w:jc w:val="right"/>
              <w:ind w:right="479"/>
              <w:spacing w:after="0"/>
              <w:rPr>
                <w:sz w:val="20"/>
                <w:szCs w:val="20"/>
                <w:color w:val="auto"/>
              </w:rPr>
            </w:pPr>
            <w:r>
              <w:rPr>
                <w:rFonts w:ascii="Arial" w:cs="Arial" w:eastAsia="Arial" w:hAnsi="Arial"/>
                <w:sz w:val="16"/>
                <w:szCs w:val="16"/>
                <w:color w:val="auto"/>
              </w:rPr>
              <w:t>183</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1,101</w:t>
            </w:r>
          </w:p>
        </w:tc>
      </w:tr>
      <w:tr>
        <w:trPr>
          <w:trHeight w:val="33"/>
        </w:trPr>
        <w:tc>
          <w:tcPr>
            <w:tcW w:w="39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expense, net</w:t>
            </w:r>
          </w:p>
        </w:tc>
        <w:tc>
          <w:tcPr>
            <w:tcW w:w="14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(112)</w:t>
            </w:r>
          </w:p>
        </w:tc>
        <w:tc>
          <w:tcPr>
            <w:tcW w:w="168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color w:val="auto"/>
              </w:rPr>
              <w:t>(112)</w:t>
            </w:r>
          </w:p>
        </w:tc>
        <w:tc>
          <w:tcPr>
            <w:tcW w:w="156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color w:val="auto"/>
              </w:rPr>
              <w:t>(13)</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(125)</w:t>
            </w:r>
          </w:p>
        </w:tc>
      </w:tr>
      <w:tr>
        <w:trPr>
          <w:trHeight w:val="237"/>
        </w:trPr>
        <w:tc>
          <w:tcPr>
            <w:tcW w:w="3900" w:type="dxa"/>
            <w:vAlign w:val="bottom"/>
          </w:tcPr>
          <w:p>
            <w:pPr>
              <w:ind w:left="40"/>
              <w:spacing w:after="0"/>
              <w:rPr>
                <w:sz w:val="20"/>
                <w:szCs w:val="20"/>
                <w:color w:val="auto"/>
              </w:rPr>
            </w:pPr>
            <w:r>
              <w:rPr>
                <w:rFonts w:ascii="Arial" w:cs="Arial" w:eastAsia="Arial" w:hAnsi="Arial"/>
                <w:sz w:val="16"/>
                <w:szCs w:val="16"/>
                <w:color w:val="auto"/>
              </w:rPr>
              <w:t>Earnings (loss) before income taxes</w:t>
            </w:r>
          </w:p>
        </w:tc>
        <w:tc>
          <w:tcPr>
            <w:tcW w:w="1440" w:type="dxa"/>
            <w:vAlign w:val="bottom"/>
          </w:tcPr>
          <w:p>
            <w:pPr>
              <w:jc w:val="right"/>
              <w:ind w:right="99"/>
              <w:spacing w:after="0"/>
              <w:rPr>
                <w:sz w:val="20"/>
                <w:szCs w:val="20"/>
                <w:color w:val="auto"/>
              </w:rPr>
            </w:pPr>
            <w:r>
              <w:rPr>
                <w:rFonts w:ascii="Arial" w:cs="Arial" w:eastAsia="Arial" w:hAnsi="Arial"/>
                <w:sz w:val="16"/>
                <w:szCs w:val="16"/>
                <w:color w:val="auto"/>
              </w:rPr>
              <w:t>1,220</w:t>
            </w:r>
          </w:p>
        </w:tc>
        <w:tc>
          <w:tcPr>
            <w:tcW w:w="1720" w:type="dxa"/>
            <w:vAlign w:val="bottom"/>
          </w:tcPr>
          <w:p>
            <w:pPr>
              <w:jc w:val="right"/>
              <w:ind w:right="239"/>
              <w:spacing w:after="0"/>
              <w:rPr>
                <w:sz w:val="20"/>
                <w:szCs w:val="20"/>
                <w:color w:val="auto"/>
              </w:rPr>
            </w:pPr>
            <w:r>
              <w:rPr>
                <w:rFonts w:ascii="Arial" w:cs="Arial" w:eastAsia="Arial" w:hAnsi="Arial"/>
                <w:sz w:val="16"/>
                <w:szCs w:val="16"/>
                <w:color w:val="auto"/>
              </w:rPr>
              <w:t>(414)</w:t>
            </w:r>
          </w:p>
        </w:tc>
        <w:tc>
          <w:tcPr>
            <w:tcW w:w="1680" w:type="dxa"/>
            <w:vAlign w:val="bottom"/>
          </w:tcPr>
          <w:p>
            <w:pPr>
              <w:jc w:val="right"/>
              <w:ind w:right="479"/>
              <w:spacing w:after="0"/>
              <w:rPr>
                <w:sz w:val="20"/>
                <w:szCs w:val="20"/>
                <w:color w:val="auto"/>
              </w:rPr>
            </w:pPr>
            <w:r>
              <w:rPr>
                <w:rFonts w:ascii="Arial" w:cs="Arial" w:eastAsia="Arial" w:hAnsi="Arial"/>
                <w:sz w:val="16"/>
                <w:szCs w:val="16"/>
                <w:color w:val="auto"/>
              </w:rPr>
              <w:t>806</w:t>
            </w:r>
          </w:p>
        </w:tc>
        <w:tc>
          <w:tcPr>
            <w:tcW w:w="1560" w:type="dxa"/>
            <w:vAlign w:val="bottom"/>
          </w:tcPr>
          <w:p>
            <w:pPr>
              <w:jc w:val="right"/>
              <w:ind w:right="479"/>
              <w:spacing w:after="0"/>
              <w:rPr>
                <w:sz w:val="20"/>
                <w:szCs w:val="20"/>
                <w:color w:val="auto"/>
              </w:rPr>
            </w:pPr>
            <w:r>
              <w:rPr>
                <w:rFonts w:ascii="Arial" w:cs="Arial" w:eastAsia="Arial" w:hAnsi="Arial"/>
                <w:sz w:val="16"/>
                <w:szCs w:val="16"/>
                <w:color w:val="auto"/>
              </w:rPr>
              <w:t>170</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976</w:t>
            </w:r>
          </w:p>
        </w:tc>
      </w:tr>
      <w:tr>
        <w:trPr>
          <w:trHeight w:val="33"/>
        </w:trPr>
        <w:tc>
          <w:tcPr>
            <w:tcW w:w="39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Capital expenditures</w:t>
            </w:r>
          </w:p>
        </w:tc>
        <w:tc>
          <w:tcPr>
            <w:tcW w:w="14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837</w:t>
            </w:r>
          </w:p>
        </w:tc>
        <w:tc>
          <w:tcPr>
            <w:tcW w:w="172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rPr>
              <w:t>241</w:t>
            </w:r>
          </w:p>
        </w:tc>
        <w:tc>
          <w:tcPr>
            <w:tcW w:w="168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color w:val="auto"/>
              </w:rPr>
              <w:t>1,078</w:t>
            </w:r>
          </w:p>
        </w:tc>
        <w:tc>
          <w:tcPr>
            <w:tcW w:w="156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color w:val="auto"/>
              </w:rPr>
              <w:t>4</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1,082</w:t>
            </w:r>
          </w:p>
        </w:tc>
      </w:tr>
      <w:tr>
        <w:trPr>
          <w:trHeight w:val="237"/>
        </w:trPr>
        <w:tc>
          <w:tcPr>
            <w:tcW w:w="3900" w:type="dxa"/>
            <w:vAlign w:val="bottom"/>
          </w:tcPr>
          <w:p>
            <w:pPr>
              <w:ind w:left="40"/>
              <w:spacing w:after="0"/>
              <w:rPr>
                <w:sz w:val="20"/>
                <w:szCs w:val="20"/>
                <w:color w:val="auto"/>
              </w:rPr>
            </w:pPr>
            <w:r>
              <w:rPr>
                <w:rFonts w:ascii="Arial" w:cs="Arial" w:eastAsia="Arial" w:hAnsi="Arial"/>
                <w:sz w:val="16"/>
                <w:szCs w:val="16"/>
                <w:color w:val="auto"/>
              </w:rPr>
              <w:t>Depreciation and amortization</w:t>
            </w:r>
          </w:p>
        </w:tc>
        <w:tc>
          <w:tcPr>
            <w:tcW w:w="1440" w:type="dxa"/>
            <w:vAlign w:val="bottom"/>
          </w:tcPr>
          <w:p>
            <w:pPr>
              <w:jc w:val="right"/>
              <w:ind w:right="99"/>
              <w:spacing w:after="0"/>
              <w:rPr>
                <w:sz w:val="20"/>
                <w:szCs w:val="20"/>
                <w:color w:val="auto"/>
              </w:rPr>
            </w:pPr>
            <w:r>
              <w:rPr>
                <w:rFonts w:ascii="Arial" w:cs="Arial" w:eastAsia="Arial" w:hAnsi="Arial"/>
                <w:sz w:val="16"/>
                <w:szCs w:val="16"/>
                <w:color w:val="auto"/>
              </w:rPr>
              <w:t>428</w:t>
            </w:r>
          </w:p>
        </w:tc>
        <w:tc>
          <w:tcPr>
            <w:tcW w:w="1720" w:type="dxa"/>
            <w:vAlign w:val="bottom"/>
          </w:tcPr>
          <w:p>
            <w:pPr>
              <w:jc w:val="right"/>
              <w:ind w:right="299"/>
              <w:spacing w:after="0"/>
              <w:rPr>
                <w:sz w:val="20"/>
                <w:szCs w:val="20"/>
                <w:color w:val="auto"/>
              </w:rPr>
            </w:pPr>
            <w:r>
              <w:rPr>
                <w:rFonts w:ascii="Arial" w:cs="Arial" w:eastAsia="Arial" w:hAnsi="Arial"/>
                <w:sz w:val="16"/>
                <w:szCs w:val="16"/>
                <w:color w:val="auto"/>
              </w:rPr>
              <w:t>143</w:t>
            </w:r>
          </w:p>
        </w:tc>
        <w:tc>
          <w:tcPr>
            <w:tcW w:w="1680" w:type="dxa"/>
            <w:vAlign w:val="bottom"/>
          </w:tcPr>
          <w:p>
            <w:pPr>
              <w:jc w:val="right"/>
              <w:ind w:right="479"/>
              <w:spacing w:after="0"/>
              <w:rPr>
                <w:sz w:val="20"/>
                <w:szCs w:val="20"/>
                <w:color w:val="auto"/>
              </w:rPr>
            </w:pPr>
            <w:r>
              <w:rPr>
                <w:rFonts w:ascii="Arial" w:cs="Arial" w:eastAsia="Arial" w:hAnsi="Arial"/>
                <w:sz w:val="16"/>
                <w:szCs w:val="16"/>
                <w:color w:val="auto"/>
              </w:rPr>
              <w:t>571</w:t>
            </w:r>
          </w:p>
        </w:tc>
        <w:tc>
          <w:tcPr>
            <w:tcW w:w="1560" w:type="dxa"/>
            <w:vAlign w:val="bottom"/>
          </w:tcPr>
          <w:p>
            <w:pPr>
              <w:jc w:val="right"/>
              <w:ind w:right="479"/>
              <w:spacing w:after="0"/>
              <w:rPr>
                <w:sz w:val="20"/>
                <w:szCs w:val="20"/>
                <w:color w:val="auto"/>
              </w:rPr>
            </w:pPr>
            <w:r>
              <w:rPr>
                <w:rFonts w:ascii="Arial" w:cs="Arial" w:eastAsia="Arial" w:hAnsi="Arial"/>
                <w:sz w:val="16"/>
                <w:szCs w:val="16"/>
                <w:color w:val="auto"/>
              </w:rPr>
              <w:t>5</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576</w:t>
            </w:r>
          </w:p>
        </w:tc>
      </w:tr>
      <w:tr>
        <w:trPr>
          <w:trHeight w:val="33"/>
        </w:trPr>
        <w:tc>
          <w:tcPr>
            <w:tcW w:w="39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Assets</w:t>
            </w:r>
          </w:p>
        </w:tc>
        <w:tc>
          <w:tcPr>
            <w:tcW w:w="14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5,460</w:t>
            </w:r>
          </w:p>
        </w:tc>
        <w:tc>
          <w:tcPr>
            <w:tcW w:w="172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rPr>
              <w:t>1,720</w:t>
            </w:r>
          </w:p>
        </w:tc>
        <w:tc>
          <w:tcPr>
            <w:tcW w:w="168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color w:val="auto"/>
              </w:rPr>
              <w:t>7,180</w:t>
            </w:r>
          </w:p>
        </w:tc>
        <w:tc>
          <w:tcPr>
            <w:tcW w:w="156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color w:val="auto"/>
              </w:rPr>
              <w:t>518</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7,698</w:t>
            </w:r>
          </w:p>
        </w:tc>
      </w:tr>
      <w:tr>
        <w:trPr>
          <w:trHeight w:val="297"/>
        </w:trPr>
        <w:tc>
          <w:tcPr>
            <w:tcW w:w="39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Fiscal year 2014</w:t>
            </w:r>
          </w:p>
        </w:tc>
        <w:tc>
          <w:tcPr>
            <w:tcW w:w="14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3900" w:type="dxa"/>
            <w:vAlign w:val="bottom"/>
          </w:tcPr>
          <w:p>
            <w:pPr>
              <w:ind w:left="40"/>
              <w:spacing w:after="0"/>
              <w:rPr>
                <w:sz w:val="20"/>
                <w:szCs w:val="20"/>
                <w:color w:val="auto"/>
              </w:rPr>
            </w:pPr>
            <w:r>
              <w:rPr>
                <w:rFonts w:ascii="Arial" w:cs="Arial" w:eastAsia="Arial" w:hAnsi="Arial"/>
                <w:sz w:val="16"/>
                <w:szCs w:val="16"/>
                <w:color w:val="auto"/>
              </w:rPr>
              <w:t>Net sales</w:t>
            </w:r>
          </w:p>
        </w:tc>
        <w:tc>
          <w:tcPr>
            <w:tcW w:w="1440" w:type="dxa"/>
            <w:vAlign w:val="bottom"/>
          </w:tcPr>
          <w:p>
            <w:pPr>
              <w:jc w:val="right"/>
              <w:ind w:right="99"/>
              <w:spacing w:after="0"/>
              <w:rPr>
                <w:sz w:val="20"/>
                <w:szCs w:val="20"/>
                <w:color w:val="auto"/>
              </w:rPr>
            </w:pPr>
            <w:r>
              <w:rPr>
                <w:rFonts w:ascii="Arial" w:cs="Arial" w:eastAsia="Arial" w:hAnsi="Arial"/>
                <w:sz w:val="16"/>
                <w:szCs w:val="16"/>
                <w:color w:val="auto"/>
              </w:rPr>
              <w:t>$13,369</w:t>
            </w:r>
          </w:p>
        </w:tc>
        <w:tc>
          <w:tcPr>
            <w:tcW w:w="1720" w:type="dxa"/>
            <w:vAlign w:val="bottom"/>
          </w:tcPr>
          <w:p>
            <w:pPr>
              <w:jc w:val="right"/>
              <w:ind w:right="239"/>
              <w:spacing w:after="0"/>
              <w:rPr>
                <w:sz w:val="20"/>
                <w:szCs w:val="20"/>
                <w:color w:val="auto"/>
              </w:rPr>
            </w:pPr>
            <w:r>
              <w:rPr>
                <w:rFonts w:ascii="Arial" w:cs="Arial" w:eastAsia="Arial" w:hAnsi="Arial"/>
                <w:sz w:val="16"/>
                <w:szCs w:val="16"/>
                <w:color w:val="auto"/>
              </w:rPr>
              <w:t>($259)</w:t>
            </w:r>
          </w:p>
        </w:tc>
        <w:tc>
          <w:tcPr>
            <w:tcW w:w="1680" w:type="dxa"/>
            <w:vAlign w:val="bottom"/>
          </w:tcPr>
          <w:p>
            <w:pPr>
              <w:jc w:val="right"/>
              <w:ind w:right="479"/>
              <w:spacing w:after="0"/>
              <w:rPr>
                <w:sz w:val="20"/>
                <w:szCs w:val="20"/>
                <w:color w:val="auto"/>
              </w:rPr>
            </w:pPr>
            <w:r>
              <w:rPr>
                <w:rFonts w:ascii="Arial" w:cs="Arial" w:eastAsia="Arial" w:hAnsi="Arial"/>
                <w:sz w:val="16"/>
                <w:szCs w:val="16"/>
                <w:color w:val="auto"/>
              </w:rPr>
              <w:t>$13,110</w:t>
            </w:r>
          </w:p>
        </w:tc>
        <w:tc>
          <w:tcPr>
            <w:tcW w:w="1560" w:type="dxa"/>
            <w:vAlign w:val="bottom"/>
          </w:tcPr>
          <w:p>
            <w:pPr>
              <w:jc w:val="right"/>
              <w:ind w:right="47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$13,110</w:t>
            </w:r>
          </w:p>
        </w:tc>
      </w:tr>
      <w:tr>
        <w:trPr>
          <w:trHeight w:val="33"/>
        </w:trPr>
        <w:tc>
          <w:tcPr>
            <w:tcW w:w="39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Credit card revenues, net</w:t>
            </w:r>
          </w:p>
        </w:tc>
        <w:tc>
          <w:tcPr>
            <w:tcW w:w="14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color w:val="auto"/>
              </w:rPr>
              <w:t>396</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396</w:t>
            </w:r>
          </w:p>
        </w:tc>
      </w:tr>
      <w:tr>
        <w:trPr>
          <w:trHeight w:val="237"/>
        </w:trPr>
        <w:tc>
          <w:tcPr>
            <w:tcW w:w="3900" w:type="dxa"/>
            <w:vAlign w:val="bottom"/>
          </w:tcPr>
          <w:p>
            <w:pPr>
              <w:ind w:left="40"/>
              <w:spacing w:after="0"/>
              <w:rPr>
                <w:sz w:val="20"/>
                <w:szCs w:val="20"/>
                <w:color w:val="auto"/>
              </w:rPr>
            </w:pPr>
            <w:r>
              <w:rPr>
                <w:rFonts w:ascii="Arial" w:cs="Arial" w:eastAsia="Arial" w:hAnsi="Arial"/>
                <w:sz w:val="16"/>
                <w:szCs w:val="16"/>
                <w:color w:val="auto"/>
              </w:rPr>
              <w:t>Earnings (loss) before interest and income taxes</w:t>
            </w:r>
          </w:p>
        </w:tc>
        <w:tc>
          <w:tcPr>
            <w:tcW w:w="1440" w:type="dxa"/>
            <w:vAlign w:val="bottom"/>
          </w:tcPr>
          <w:p>
            <w:pPr>
              <w:jc w:val="right"/>
              <w:ind w:right="99"/>
              <w:spacing w:after="0"/>
              <w:rPr>
                <w:sz w:val="20"/>
                <w:szCs w:val="20"/>
                <w:color w:val="auto"/>
              </w:rPr>
            </w:pPr>
            <w:r>
              <w:rPr>
                <w:rFonts w:ascii="Arial" w:cs="Arial" w:eastAsia="Arial" w:hAnsi="Arial"/>
                <w:sz w:val="16"/>
                <w:szCs w:val="16"/>
                <w:color w:val="auto"/>
              </w:rPr>
              <w:t>1,382</w:t>
            </w:r>
          </w:p>
        </w:tc>
        <w:tc>
          <w:tcPr>
            <w:tcW w:w="1720" w:type="dxa"/>
            <w:vAlign w:val="bottom"/>
          </w:tcPr>
          <w:p>
            <w:pPr>
              <w:jc w:val="right"/>
              <w:ind w:right="239"/>
              <w:spacing w:after="0"/>
              <w:rPr>
                <w:sz w:val="20"/>
                <w:szCs w:val="20"/>
                <w:color w:val="auto"/>
              </w:rPr>
            </w:pPr>
            <w:r>
              <w:rPr>
                <w:rFonts w:ascii="Arial" w:cs="Arial" w:eastAsia="Arial" w:hAnsi="Arial"/>
                <w:sz w:val="16"/>
                <w:szCs w:val="16"/>
                <w:color w:val="auto"/>
              </w:rPr>
              <w:t>(261)</w:t>
            </w:r>
          </w:p>
        </w:tc>
        <w:tc>
          <w:tcPr>
            <w:tcW w:w="1680" w:type="dxa"/>
            <w:vAlign w:val="bottom"/>
          </w:tcPr>
          <w:p>
            <w:pPr>
              <w:jc w:val="right"/>
              <w:ind w:right="479"/>
              <w:spacing w:after="0"/>
              <w:rPr>
                <w:sz w:val="20"/>
                <w:szCs w:val="20"/>
                <w:color w:val="auto"/>
              </w:rPr>
            </w:pPr>
            <w:r>
              <w:rPr>
                <w:rFonts w:ascii="Arial" w:cs="Arial" w:eastAsia="Arial" w:hAnsi="Arial"/>
                <w:sz w:val="16"/>
                <w:szCs w:val="16"/>
                <w:color w:val="auto"/>
              </w:rPr>
              <w:t>1,121</w:t>
            </w:r>
          </w:p>
        </w:tc>
        <w:tc>
          <w:tcPr>
            <w:tcW w:w="1560" w:type="dxa"/>
            <w:vAlign w:val="bottom"/>
          </w:tcPr>
          <w:p>
            <w:pPr>
              <w:jc w:val="right"/>
              <w:ind w:right="479"/>
              <w:spacing w:after="0"/>
              <w:rPr>
                <w:sz w:val="20"/>
                <w:szCs w:val="20"/>
                <w:color w:val="auto"/>
              </w:rPr>
            </w:pPr>
            <w:r>
              <w:rPr>
                <w:rFonts w:ascii="Arial" w:cs="Arial" w:eastAsia="Arial" w:hAnsi="Arial"/>
                <w:sz w:val="16"/>
                <w:szCs w:val="16"/>
                <w:color w:val="auto"/>
              </w:rPr>
              <w:t>202</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1,323</w:t>
            </w:r>
          </w:p>
        </w:tc>
      </w:tr>
      <w:tr>
        <w:trPr>
          <w:trHeight w:val="33"/>
        </w:trPr>
        <w:tc>
          <w:tcPr>
            <w:tcW w:w="39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expense, net</w:t>
            </w:r>
          </w:p>
        </w:tc>
        <w:tc>
          <w:tcPr>
            <w:tcW w:w="14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(120)</w:t>
            </w:r>
          </w:p>
        </w:tc>
        <w:tc>
          <w:tcPr>
            <w:tcW w:w="168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color w:val="auto"/>
              </w:rPr>
              <w:t>(120)</w:t>
            </w:r>
          </w:p>
        </w:tc>
        <w:tc>
          <w:tcPr>
            <w:tcW w:w="156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color w:val="auto"/>
              </w:rPr>
              <w:t>(18)</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(138)</w:t>
            </w:r>
          </w:p>
        </w:tc>
      </w:tr>
      <w:tr>
        <w:trPr>
          <w:trHeight w:val="237"/>
        </w:trPr>
        <w:tc>
          <w:tcPr>
            <w:tcW w:w="3900" w:type="dxa"/>
            <w:vAlign w:val="bottom"/>
          </w:tcPr>
          <w:p>
            <w:pPr>
              <w:ind w:left="40"/>
              <w:spacing w:after="0"/>
              <w:rPr>
                <w:sz w:val="20"/>
                <w:szCs w:val="20"/>
                <w:color w:val="auto"/>
              </w:rPr>
            </w:pPr>
            <w:r>
              <w:rPr>
                <w:rFonts w:ascii="Arial" w:cs="Arial" w:eastAsia="Arial" w:hAnsi="Arial"/>
                <w:sz w:val="16"/>
                <w:szCs w:val="16"/>
                <w:color w:val="auto"/>
              </w:rPr>
              <w:t>Earnings (loss) before income taxes</w:t>
            </w:r>
          </w:p>
        </w:tc>
        <w:tc>
          <w:tcPr>
            <w:tcW w:w="1440" w:type="dxa"/>
            <w:vAlign w:val="bottom"/>
          </w:tcPr>
          <w:p>
            <w:pPr>
              <w:jc w:val="right"/>
              <w:ind w:right="99"/>
              <w:spacing w:after="0"/>
              <w:rPr>
                <w:sz w:val="20"/>
                <w:szCs w:val="20"/>
                <w:color w:val="auto"/>
              </w:rPr>
            </w:pPr>
            <w:r>
              <w:rPr>
                <w:rFonts w:ascii="Arial" w:cs="Arial" w:eastAsia="Arial" w:hAnsi="Arial"/>
                <w:sz w:val="16"/>
                <w:szCs w:val="16"/>
                <w:color w:val="auto"/>
              </w:rPr>
              <w:t>1,382</w:t>
            </w:r>
          </w:p>
        </w:tc>
        <w:tc>
          <w:tcPr>
            <w:tcW w:w="1720" w:type="dxa"/>
            <w:vAlign w:val="bottom"/>
          </w:tcPr>
          <w:p>
            <w:pPr>
              <w:jc w:val="right"/>
              <w:ind w:right="239"/>
              <w:spacing w:after="0"/>
              <w:rPr>
                <w:sz w:val="20"/>
                <w:szCs w:val="20"/>
                <w:color w:val="auto"/>
              </w:rPr>
            </w:pPr>
            <w:r>
              <w:rPr>
                <w:rFonts w:ascii="Arial" w:cs="Arial" w:eastAsia="Arial" w:hAnsi="Arial"/>
                <w:sz w:val="16"/>
                <w:szCs w:val="16"/>
                <w:color w:val="auto"/>
              </w:rPr>
              <w:t>(381)</w:t>
            </w:r>
          </w:p>
        </w:tc>
        <w:tc>
          <w:tcPr>
            <w:tcW w:w="1680" w:type="dxa"/>
            <w:vAlign w:val="bottom"/>
          </w:tcPr>
          <w:p>
            <w:pPr>
              <w:jc w:val="right"/>
              <w:ind w:right="479"/>
              <w:spacing w:after="0"/>
              <w:rPr>
                <w:sz w:val="20"/>
                <w:szCs w:val="20"/>
                <w:color w:val="auto"/>
              </w:rPr>
            </w:pPr>
            <w:r>
              <w:rPr>
                <w:rFonts w:ascii="Arial" w:cs="Arial" w:eastAsia="Arial" w:hAnsi="Arial"/>
                <w:sz w:val="16"/>
                <w:szCs w:val="16"/>
                <w:color w:val="auto"/>
              </w:rPr>
              <w:t>1,001</w:t>
            </w:r>
          </w:p>
        </w:tc>
        <w:tc>
          <w:tcPr>
            <w:tcW w:w="1560" w:type="dxa"/>
            <w:vAlign w:val="bottom"/>
          </w:tcPr>
          <w:p>
            <w:pPr>
              <w:jc w:val="right"/>
              <w:ind w:right="479"/>
              <w:spacing w:after="0"/>
              <w:rPr>
                <w:sz w:val="20"/>
                <w:szCs w:val="20"/>
                <w:color w:val="auto"/>
              </w:rPr>
            </w:pPr>
            <w:r>
              <w:rPr>
                <w:rFonts w:ascii="Arial" w:cs="Arial" w:eastAsia="Arial" w:hAnsi="Arial"/>
                <w:sz w:val="16"/>
                <w:szCs w:val="16"/>
                <w:color w:val="auto"/>
              </w:rPr>
              <w:t>184</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1,185</w:t>
            </w:r>
          </w:p>
        </w:tc>
      </w:tr>
      <w:tr>
        <w:trPr>
          <w:trHeight w:val="33"/>
        </w:trPr>
        <w:tc>
          <w:tcPr>
            <w:tcW w:w="39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Capital expenditures</w:t>
            </w:r>
          </w:p>
        </w:tc>
        <w:tc>
          <w:tcPr>
            <w:tcW w:w="14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683</w:t>
            </w:r>
          </w:p>
        </w:tc>
        <w:tc>
          <w:tcPr>
            <w:tcW w:w="172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rPr>
              <w:t>172</w:t>
            </w:r>
          </w:p>
        </w:tc>
        <w:tc>
          <w:tcPr>
            <w:tcW w:w="168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color w:val="auto"/>
              </w:rPr>
              <w:t>855</w:t>
            </w:r>
          </w:p>
        </w:tc>
        <w:tc>
          <w:tcPr>
            <w:tcW w:w="156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color w:val="auto"/>
              </w:rPr>
              <w:t>6</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861</w:t>
            </w:r>
          </w:p>
        </w:tc>
      </w:tr>
      <w:tr>
        <w:trPr>
          <w:trHeight w:val="237"/>
        </w:trPr>
        <w:tc>
          <w:tcPr>
            <w:tcW w:w="3900" w:type="dxa"/>
            <w:vAlign w:val="bottom"/>
          </w:tcPr>
          <w:p>
            <w:pPr>
              <w:ind w:left="40"/>
              <w:spacing w:after="0"/>
              <w:rPr>
                <w:sz w:val="20"/>
                <w:szCs w:val="20"/>
                <w:color w:val="auto"/>
              </w:rPr>
            </w:pPr>
            <w:r>
              <w:rPr>
                <w:rFonts w:ascii="Arial" w:cs="Arial" w:eastAsia="Arial" w:hAnsi="Arial"/>
                <w:sz w:val="16"/>
                <w:szCs w:val="16"/>
                <w:color w:val="auto"/>
              </w:rPr>
              <w:t>Depreciation and amortization</w:t>
            </w:r>
          </w:p>
        </w:tc>
        <w:tc>
          <w:tcPr>
            <w:tcW w:w="1440" w:type="dxa"/>
            <w:vAlign w:val="bottom"/>
          </w:tcPr>
          <w:p>
            <w:pPr>
              <w:jc w:val="right"/>
              <w:ind w:right="99"/>
              <w:spacing w:after="0"/>
              <w:rPr>
                <w:sz w:val="20"/>
                <w:szCs w:val="20"/>
                <w:color w:val="auto"/>
              </w:rPr>
            </w:pPr>
            <w:r>
              <w:rPr>
                <w:rFonts w:ascii="Arial" w:cs="Arial" w:eastAsia="Arial" w:hAnsi="Arial"/>
                <w:sz w:val="16"/>
                <w:szCs w:val="16"/>
                <w:color w:val="auto"/>
              </w:rPr>
              <w:t>393</w:t>
            </w:r>
          </w:p>
        </w:tc>
        <w:tc>
          <w:tcPr>
            <w:tcW w:w="1720" w:type="dxa"/>
            <w:vAlign w:val="bottom"/>
          </w:tcPr>
          <w:p>
            <w:pPr>
              <w:jc w:val="right"/>
              <w:ind w:right="299"/>
              <w:spacing w:after="0"/>
              <w:rPr>
                <w:sz w:val="20"/>
                <w:szCs w:val="20"/>
                <w:color w:val="auto"/>
              </w:rPr>
            </w:pPr>
            <w:r>
              <w:rPr>
                <w:rFonts w:ascii="Arial" w:cs="Arial" w:eastAsia="Arial" w:hAnsi="Arial"/>
                <w:sz w:val="16"/>
                <w:szCs w:val="16"/>
                <w:color w:val="auto"/>
              </w:rPr>
              <w:t>112</w:t>
            </w:r>
          </w:p>
        </w:tc>
        <w:tc>
          <w:tcPr>
            <w:tcW w:w="1680" w:type="dxa"/>
            <w:vAlign w:val="bottom"/>
          </w:tcPr>
          <w:p>
            <w:pPr>
              <w:jc w:val="right"/>
              <w:ind w:right="479"/>
              <w:spacing w:after="0"/>
              <w:rPr>
                <w:sz w:val="20"/>
                <w:szCs w:val="20"/>
                <w:color w:val="auto"/>
              </w:rPr>
            </w:pPr>
            <w:r>
              <w:rPr>
                <w:rFonts w:ascii="Arial" w:cs="Arial" w:eastAsia="Arial" w:hAnsi="Arial"/>
                <w:sz w:val="16"/>
                <w:szCs w:val="16"/>
                <w:color w:val="auto"/>
              </w:rPr>
              <w:t>505</w:t>
            </w:r>
          </w:p>
        </w:tc>
        <w:tc>
          <w:tcPr>
            <w:tcW w:w="1560" w:type="dxa"/>
            <w:vAlign w:val="bottom"/>
          </w:tcPr>
          <w:p>
            <w:pPr>
              <w:jc w:val="right"/>
              <w:ind w:right="479"/>
              <w:spacing w:after="0"/>
              <w:rPr>
                <w:sz w:val="20"/>
                <w:szCs w:val="20"/>
                <w:color w:val="auto"/>
              </w:rPr>
            </w:pPr>
            <w:r>
              <w:rPr>
                <w:rFonts w:ascii="Arial" w:cs="Arial" w:eastAsia="Arial" w:hAnsi="Arial"/>
                <w:sz w:val="16"/>
                <w:szCs w:val="16"/>
                <w:color w:val="auto"/>
              </w:rPr>
              <w:t>3</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508</w:t>
            </w:r>
          </w:p>
        </w:tc>
      </w:tr>
      <w:tr>
        <w:trPr>
          <w:trHeight w:val="33"/>
        </w:trPr>
        <w:tc>
          <w:tcPr>
            <w:tcW w:w="39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Assets</w:t>
            </w:r>
          </w:p>
        </w:tc>
        <w:tc>
          <w:tcPr>
            <w:tcW w:w="14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5,103</w:t>
            </w:r>
          </w:p>
        </w:tc>
        <w:tc>
          <w:tcPr>
            <w:tcW w:w="172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rPr>
              <w:t>1,781</w:t>
            </w:r>
          </w:p>
        </w:tc>
        <w:tc>
          <w:tcPr>
            <w:tcW w:w="168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color w:val="auto"/>
              </w:rPr>
              <w:t>6,884</w:t>
            </w:r>
          </w:p>
        </w:tc>
        <w:tc>
          <w:tcPr>
            <w:tcW w:w="156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color w:val="auto"/>
              </w:rPr>
              <w:t>2,361</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9,245</w:t>
            </w:r>
          </w:p>
        </w:tc>
      </w:tr>
      <w:tr>
        <w:trPr>
          <w:trHeight w:val="20"/>
        </w:trPr>
        <w:tc>
          <w:tcPr>
            <w:tcW w:w="390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r>
    </w:tbl>
    <w:p>
      <w:pPr>
        <w:spacing w:after="0" w:line="395" w:lineRule="exact"/>
        <w:rPr>
          <w:sz w:val="20"/>
          <w:szCs w:val="20"/>
          <w:color w:val="auto"/>
        </w:rPr>
      </w:pPr>
    </w:p>
    <w:p>
      <w:pPr>
        <w:jc w:val="right"/>
        <w:spacing w:after="0"/>
        <w:rPr>
          <w:sz w:val="20"/>
          <w:szCs w:val="20"/>
          <w:color w:val="auto"/>
        </w:rPr>
      </w:pPr>
      <w:r>
        <w:rPr>
          <w:rFonts w:ascii="Arial" w:cs="Arial" w:eastAsia="Arial" w:hAnsi="Arial"/>
          <w:sz w:val="13"/>
          <w:szCs w:val="13"/>
          <w:color w:val="auto"/>
        </w:rPr>
        <w:t xml:space="preserve">Nordstrom, Inc. and subsidiaries </w:t>
      </w:r>
      <w:r>
        <w:rPr>
          <w:rFonts w:ascii="Arial" w:cs="Arial" w:eastAsia="Arial" w:hAnsi="Arial"/>
          <w:sz w:val="16"/>
          <w:szCs w:val="16"/>
          <w:color w:val="auto"/>
        </w:rPr>
        <w:t>61</w:t>
      </w:r>
    </w:p>
    <w:p>
      <w:pPr>
        <w:sectPr>
          <w:pgSz w:w="11900" w:h="16838" w:orient="portrait"/>
          <w:cols w:equalWidth="0" w:num="1">
            <w:col w:w="11420"/>
          </w:cols>
          <w:pgMar w:left="240" w:top="126" w:right="239" w:bottom="1440" w:gutter="0" w:footer="0" w:header="0"/>
        </w:sectPr>
      </w:pPr>
    </w:p>
    <w:bookmarkStart w:id="62" w:name="page63"/>
    <w:bookmarkEnd w:id="62"/>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Nordstrom, Inc.</w:t>
      </w:r>
    </w:p>
    <w:p>
      <w:pPr>
        <w:spacing w:after="0" w:line="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rPr>
          <w:sz w:val="20"/>
          <w:szCs w:val="20"/>
          <w:color w:val="auto"/>
        </w:rPr>
      </w:pPr>
      <w:r>
        <w:rPr>
          <w:rFonts w:ascii="Arial" w:cs="Arial" w:eastAsia="Arial" w:hAnsi="Arial"/>
          <w:sz w:val="18"/>
          <w:szCs w:val="18"/>
          <w:color w:val="auto"/>
        </w:rPr>
        <w:t>Dollar and share amounts in millions except per share, per option and per unit amounts</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net sales within our reportable segments: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520" w:type="dxa"/>
            <w:vAlign w:val="bottom"/>
          </w:tcPr>
          <w:p>
            <w:pPr>
              <w:ind w:left="40"/>
              <w:spacing w:after="0"/>
              <w:rPr>
                <w:sz w:val="20"/>
                <w:szCs w:val="20"/>
                <w:color w:val="auto"/>
              </w:rPr>
            </w:pPr>
            <w:r>
              <w:rPr>
                <w:rFonts w:ascii="Arial" w:cs="Arial" w:eastAsia="Arial" w:hAnsi="Arial"/>
                <w:sz w:val="16"/>
                <w:szCs w:val="16"/>
                <w:b w:val="1"/>
                <w:bCs w:val="1"/>
                <w:color w:val="auto"/>
              </w:rPr>
              <w:t>Fiscal year</w:t>
            </w:r>
          </w:p>
        </w:tc>
        <w:tc>
          <w:tcPr>
            <w:tcW w:w="3640" w:type="dxa"/>
            <w:vAlign w:val="bottom"/>
          </w:tcPr>
          <w:p>
            <w:pPr>
              <w:jc w:val="right"/>
              <w:ind w:right="639"/>
              <w:spacing w:after="0"/>
              <w:rPr>
                <w:sz w:val="20"/>
                <w:szCs w:val="20"/>
                <w:color w:val="auto"/>
              </w:rPr>
            </w:pPr>
            <w:r>
              <w:rPr>
                <w:rFonts w:ascii="Arial" w:cs="Arial" w:eastAsia="Arial" w:hAnsi="Arial"/>
                <w:sz w:val="16"/>
                <w:szCs w:val="16"/>
                <w:b w:val="1"/>
                <w:bCs w:val="1"/>
                <w:color w:val="auto"/>
              </w:rPr>
              <w:t>2016</w:t>
            </w:r>
          </w:p>
        </w:tc>
        <w:tc>
          <w:tcPr>
            <w:tcW w:w="1940" w:type="dxa"/>
            <w:vAlign w:val="bottom"/>
          </w:tcPr>
          <w:p>
            <w:pPr>
              <w:jc w:val="right"/>
              <w:ind w:right="659"/>
              <w:spacing w:after="0"/>
              <w:rPr>
                <w:sz w:val="20"/>
                <w:szCs w:val="20"/>
                <w:color w:val="auto"/>
              </w:rPr>
            </w:pPr>
            <w:r>
              <w:rPr>
                <w:rFonts w:ascii="Arial" w:cs="Arial" w:eastAsia="Arial" w:hAnsi="Arial"/>
                <w:sz w:val="16"/>
                <w:szCs w:val="16"/>
                <w:b w:val="1"/>
                <w:bCs w:val="1"/>
                <w:color w:val="auto"/>
              </w:rPr>
              <w:t>2015</w:t>
            </w:r>
          </w:p>
        </w:tc>
        <w:tc>
          <w:tcPr>
            <w:tcW w:w="1300" w:type="dxa"/>
            <w:vAlign w:val="bottom"/>
          </w:tcPr>
          <w:p>
            <w:pPr>
              <w:jc w:val="right"/>
              <w:ind w:right="39"/>
              <w:spacing w:after="0"/>
              <w:rPr>
                <w:sz w:val="20"/>
                <w:szCs w:val="20"/>
                <w:color w:val="auto"/>
              </w:rPr>
            </w:pPr>
            <w:r>
              <w:rPr>
                <w:rFonts w:ascii="Arial" w:cs="Arial" w:eastAsia="Arial" w:hAnsi="Arial"/>
                <w:sz w:val="16"/>
                <w:szCs w:val="16"/>
                <w:b w:val="1"/>
                <w:bCs w:val="1"/>
                <w:color w:val="auto"/>
              </w:rPr>
              <w:t>2014</w:t>
            </w:r>
          </w:p>
        </w:tc>
      </w:tr>
      <w:tr>
        <w:trPr>
          <w:trHeight w:val="33"/>
        </w:trPr>
        <w:tc>
          <w:tcPr>
            <w:tcW w:w="4520" w:type="dxa"/>
            <w:vAlign w:val="bottom"/>
            <w:tcBorders>
              <w:bottom w:val="single" w:sz="8" w:color="auto"/>
            </w:tcBorders>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4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Nordstrom full-line stores - U.S.</w:t>
            </w:r>
          </w:p>
        </w:tc>
        <w:tc>
          <w:tcPr>
            <w:tcW w:w="3640" w:type="dxa"/>
            <w:vAlign w:val="bottom"/>
            <w:tcBorders>
              <w:bottom w:val="single" w:sz="8" w:color="CCEEFF"/>
            </w:tcBorders>
            <w:shd w:val="clear" w:color="auto" w:fill="CCEEFF"/>
          </w:tcPr>
          <w:p>
            <w:pPr>
              <w:jc w:val="right"/>
              <w:ind w:right="639"/>
              <w:spacing w:after="0"/>
              <w:rPr>
                <w:sz w:val="20"/>
                <w:szCs w:val="20"/>
                <w:color w:val="auto"/>
              </w:rPr>
            </w:pPr>
            <w:r>
              <w:rPr>
                <w:rFonts w:ascii="Arial" w:cs="Arial" w:eastAsia="Arial" w:hAnsi="Arial"/>
                <w:sz w:val="16"/>
                <w:szCs w:val="16"/>
                <w:b w:val="1"/>
                <w:bCs w:val="1"/>
                <w:color w:val="auto"/>
              </w:rPr>
              <w:t>$7,186</w:t>
            </w:r>
          </w:p>
        </w:tc>
        <w:tc>
          <w:tcPr>
            <w:tcW w:w="1940" w:type="dxa"/>
            <w:vAlign w:val="bottom"/>
            <w:tcBorders>
              <w:bottom w:val="single" w:sz="8" w:color="CCEEFF"/>
            </w:tcBorders>
            <w:shd w:val="clear" w:color="auto" w:fill="CCEEFF"/>
          </w:tcPr>
          <w:p>
            <w:pPr>
              <w:jc w:val="right"/>
              <w:ind w:right="659"/>
              <w:spacing w:after="0"/>
              <w:rPr>
                <w:sz w:val="20"/>
                <w:szCs w:val="20"/>
                <w:color w:val="auto"/>
              </w:rPr>
            </w:pPr>
            <w:r>
              <w:rPr>
                <w:rFonts w:ascii="Arial" w:cs="Arial" w:eastAsia="Arial" w:hAnsi="Arial"/>
                <w:sz w:val="16"/>
                <w:szCs w:val="16"/>
                <w:color w:val="auto"/>
              </w:rPr>
              <w:t>$7,633</w:t>
            </w: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$7,682</w:t>
            </w:r>
          </w:p>
        </w:tc>
      </w:tr>
      <w:tr>
        <w:trPr>
          <w:trHeight w:val="237"/>
        </w:trPr>
        <w:tc>
          <w:tcPr>
            <w:tcW w:w="4520" w:type="dxa"/>
            <w:vAlign w:val="bottom"/>
          </w:tcPr>
          <w:p>
            <w:pPr>
              <w:ind w:left="40"/>
              <w:spacing w:after="0"/>
              <w:rPr>
                <w:sz w:val="20"/>
                <w:szCs w:val="20"/>
                <w:color w:val="auto"/>
              </w:rPr>
            </w:pPr>
            <w:r>
              <w:rPr>
                <w:rFonts w:ascii="Arial" w:cs="Arial" w:eastAsia="Arial" w:hAnsi="Arial"/>
                <w:sz w:val="16"/>
                <w:szCs w:val="16"/>
                <w:color w:val="auto"/>
              </w:rPr>
              <w:t>Nordstrom.com</w:t>
            </w:r>
          </w:p>
        </w:tc>
        <w:tc>
          <w:tcPr>
            <w:tcW w:w="3640" w:type="dxa"/>
            <w:vAlign w:val="bottom"/>
          </w:tcPr>
          <w:p>
            <w:pPr>
              <w:jc w:val="right"/>
              <w:ind w:right="639"/>
              <w:spacing w:after="0"/>
              <w:rPr>
                <w:sz w:val="20"/>
                <w:szCs w:val="20"/>
                <w:color w:val="auto"/>
              </w:rPr>
            </w:pPr>
            <w:r>
              <w:rPr>
                <w:rFonts w:ascii="Arial" w:cs="Arial" w:eastAsia="Arial" w:hAnsi="Arial"/>
                <w:sz w:val="16"/>
                <w:szCs w:val="16"/>
                <w:b w:val="1"/>
                <w:bCs w:val="1"/>
                <w:color w:val="auto"/>
              </w:rPr>
              <w:t>2,519</w:t>
            </w:r>
          </w:p>
        </w:tc>
        <w:tc>
          <w:tcPr>
            <w:tcW w:w="1940" w:type="dxa"/>
            <w:vAlign w:val="bottom"/>
          </w:tcPr>
          <w:p>
            <w:pPr>
              <w:jc w:val="right"/>
              <w:ind w:right="659"/>
              <w:spacing w:after="0"/>
              <w:rPr>
                <w:sz w:val="20"/>
                <w:szCs w:val="20"/>
                <w:color w:val="auto"/>
              </w:rPr>
            </w:pPr>
            <w:r>
              <w:rPr>
                <w:rFonts w:ascii="Arial" w:cs="Arial" w:eastAsia="Arial" w:hAnsi="Arial"/>
                <w:sz w:val="16"/>
                <w:szCs w:val="16"/>
                <w:color w:val="auto"/>
              </w:rPr>
              <w:t>2,300</w:t>
            </w: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1,996</w:t>
            </w:r>
          </w:p>
        </w:tc>
      </w:tr>
      <w:tr>
        <w:trPr>
          <w:trHeight w:val="33"/>
        </w:trPr>
        <w:tc>
          <w:tcPr>
            <w:tcW w:w="4520" w:type="dxa"/>
            <w:vAlign w:val="bottom"/>
            <w:tcBorders>
              <w:bottom w:val="single" w:sz="8" w:color="auto"/>
            </w:tcBorders>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4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Nordstrom</w:t>
            </w:r>
          </w:p>
        </w:tc>
        <w:tc>
          <w:tcPr>
            <w:tcW w:w="3640" w:type="dxa"/>
            <w:vAlign w:val="bottom"/>
            <w:tcBorders>
              <w:bottom w:val="single" w:sz="8" w:color="CCEEFF"/>
            </w:tcBorders>
            <w:shd w:val="clear" w:color="auto" w:fill="CCEEFF"/>
          </w:tcPr>
          <w:p>
            <w:pPr>
              <w:jc w:val="right"/>
              <w:ind w:right="639"/>
              <w:spacing w:after="0"/>
              <w:rPr>
                <w:sz w:val="20"/>
                <w:szCs w:val="20"/>
                <w:color w:val="auto"/>
              </w:rPr>
            </w:pPr>
            <w:r>
              <w:rPr>
                <w:rFonts w:ascii="Arial" w:cs="Arial" w:eastAsia="Arial" w:hAnsi="Arial"/>
                <w:sz w:val="16"/>
                <w:szCs w:val="16"/>
                <w:b w:val="1"/>
                <w:bCs w:val="1"/>
                <w:color w:val="auto"/>
              </w:rPr>
              <w:t>9,705</w:t>
            </w:r>
          </w:p>
        </w:tc>
        <w:tc>
          <w:tcPr>
            <w:tcW w:w="1940" w:type="dxa"/>
            <w:vAlign w:val="bottom"/>
            <w:tcBorders>
              <w:bottom w:val="single" w:sz="8" w:color="CCEEFF"/>
            </w:tcBorders>
            <w:shd w:val="clear" w:color="auto" w:fill="CCEEFF"/>
          </w:tcPr>
          <w:p>
            <w:pPr>
              <w:jc w:val="right"/>
              <w:ind w:right="659"/>
              <w:spacing w:after="0"/>
              <w:rPr>
                <w:sz w:val="20"/>
                <w:szCs w:val="20"/>
                <w:color w:val="auto"/>
              </w:rPr>
            </w:pPr>
            <w:r>
              <w:rPr>
                <w:rFonts w:ascii="Arial" w:cs="Arial" w:eastAsia="Arial" w:hAnsi="Arial"/>
                <w:sz w:val="16"/>
                <w:szCs w:val="16"/>
                <w:color w:val="auto"/>
              </w:rPr>
              <w:t>9,933</w:t>
            </w: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9,678</w:t>
            </w:r>
          </w:p>
        </w:tc>
      </w:tr>
      <w:tr>
        <w:trPr>
          <w:trHeight w:val="297"/>
        </w:trPr>
        <w:tc>
          <w:tcPr>
            <w:tcW w:w="45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50"/>
        </w:trPr>
        <w:tc>
          <w:tcPr>
            <w:tcW w:w="4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Nordstrom Rack</w:t>
            </w:r>
          </w:p>
        </w:tc>
        <w:tc>
          <w:tcPr>
            <w:tcW w:w="3640" w:type="dxa"/>
            <w:vAlign w:val="bottom"/>
            <w:tcBorders>
              <w:bottom w:val="single" w:sz="8" w:color="CCEEFF"/>
            </w:tcBorders>
            <w:shd w:val="clear" w:color="auto" w:fill="CCEEFF"/>
          </w:tcPr>
          <w:p>
            <w:pPr>
              <w:jc w:val="right"/>
              <w:ind w:right="639"/>
              <w:spacing w:after="0"/>
              <w:rPr>
                <w:sz w:val="20"/>
                <w:szCs w:val="20"/>
                <w:color w:val="auto"/>
              </w:rPr>
            </w:pPr>
            <w:r>
              <w:rPr>
                <w:rFonts w:ascii="Arial" w:cs="Arial" w:eastAsia="Arial" w:hAnsi="Arial"/>
                <w:sz w:val="16"/>
                <w:szCs w:val="16"/>
                <w:b w:val="1"/>
                <w:bCs w:val="1"/>
                <w:color w:val="auto"/>
              </w:rPr>
              <w:t>3,809</w:t>
            </w:r>
          </w:p>
        </w:tc>
        <w:tc>
          <w:tcPr>
            <w:tcW w:w="1940" w:type="dxa"/>
            <w:vAlign w:val="bottom"/>
            <w:tcBorders>
              <w:bottom w:val="single" w:sz="8" w:color="CCEEFF"/>
            </w:tcBorders>
            <w:shd w:val="clear" w:color="auto" w:fill="CCEEFF"/>
          </w:tcPr>
          <w:p>
            <w:pPr>
              <w:jc w:val="right"/>
              <w:ind w:right="659"/>
              <w:spacing w:after="0"/>
              <w:rPr>
                <w:sz w:val="20"/>
                <w:szCs w:val="20"/>
                <w:color w:val="auto"/>
              </w:rPr>
            </w:pPr>
            <w:r>
              <w:rPr>
                <w:rFonts w:ascii="Arial" w:cs="Arial" w:eastAsia="Arial" w:hAnsi="Arial"/>
                <w:sz w:val="16"/>
                <w:szCs w:val="16"/>
                <w:color w:val="auto"/>
              </w:rPr>
              <w:t>3,533</w:t>
            </w: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3,215</w:t>
            </w:r>
          </w:p>
        </w:tc>
      </w:tr>
      <w:tr>
        <w:trPr>
          <w:trHeight w:val="237"/>
        </w:trPr>
        <w:tc>
          <w:tcPr>
            <w:tcW w:w="4520" w:type="dxa"/>
            <w:vAlign w:val="bottom"/>
          </w:tcPr>
          <w:p>
            <w:pPr>
              <w:ind w:left="40"/>
              <w:spacing w:after="0"/>
              <w:rPr>
                <w:sz w:val="20"/>
                <w:szCs w:val="20"/>
                <w:color w:val="auto"/>
              </w:rPr>
            </w:pPr>
            <w:r>
              <w:rPr>
                <w:rFonts w:ascii="Arial" w:cs="Arial" w:eastAsia="Arial" w:hAnsi="Arial"/>
                <w:sz w:val="16"/>
                <w:szCs w:val="16"/>
                <w:color w:val="auto"/>
              </w:rPr>
              <w:t>Nordstromrack.com/HauteLook</w:t>
            </w:r>
          </w:p>
        </w:tc>
        <w:tc>
          <w:tcPr>
            <w:tcW w:w="3640" w:type="dxa"/>
            <w:vAlign w:val="bottom"/>
          </w:tcPr>
          <w:p>
            <w:pPr>
              <w:jc w:val="right"/>
              <w:ind w:right="639"/>
              <w:spacing w:after="0"/>
              <w:rPr>
                <w:sz w:val="20"/>
                <w:szCs w:val="20"/>
                <w:color w:val="auto"/>
              </w:rPr>
            </w:pPr>
            <w:r>
              <w:rPr>
                <w:rFonts w:ascii="Arial" w:cs="Arial" w:eastAsia="Arial" w:hAnsi="Arial"/>
                <w:sz w:val="16"/>
                <w:szCs w:val="16"/>
                <w:b w:val="1"/>
                <w:bCs w:val="1"/>
                <w:color w:val="auto"/>
              </w:rPr>
              <w:t>700</w:t>
            </w:r>
          </w:p>
        </w:tc>
        <w:tc>
          <w:tcPr>
            <w:tcW w:w="1940" w:type="dxa"/>
            <w:vAlign w:val="bottom"/>
          </w:tcPr>
          <w:p>
            <w:pPr>
              <w:jc w:val="right"/>
              <w:ind w:right="659"/>
              <w:spacing w:after="0"/>
              <w:rPr>
                <w:sz w:val="20"/>
                <w:szCs w:val="20"/>
                <w:color w:val="auto"/>
              </w:rPr>
            </w:pPr>
            <w:r>
              <w:rPr>
                <w:rFonts w:ascii="Arial" w:cs="Arial" w:eastAsia="Arial" w:hAnsi="Arial"/>
                <w:sz w:val="16"/>
                <w:szCs w:val="16"/>
                <w:color w:val="auto"/>
              </w:rPr>
              <w:t>532</w:t>
            </w: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360</w:t>
            </w:r>
          </w:p>
        </w:tc>
      </w:tr>
      <w:tr>
        <w:trPr>
          <w:trHeight w:val="33"/>
        </w:trPr>
        <w:tc>
          <w:tcPr>
            <w:tcW w:w="4520" w:type="dxa"/>
            <w:vAlign w:val="bottom"/>
            <w:tcBorders>
              <w:bottom w:val="single" w:sz="8" w:color="auto"/>
            </w:tcBorders>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4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Off-price</w:t>
            </w:r>
          </w:p>
        </w:tc>
        <w:tc>
          <w:tcPr>
            <w:tcW w:w="3640" w:type="dxa"/>
            <w:vAlign w:val="bottom"/>
            <w:tcBorders>
              <w:bottom w:val="single" w:sz="8" w:color="CCEEFF"/>
            </w:tcBorders>
            <w:shd w:val="clear" w:color="auto" w:fill="CCEEFF"/>
          </w:tcPr>
          <w:p>
            <w:pPr>
              <w:jc w:val="right"/>
              <w:ind w:right="639"/>
              <w:spacing w:after="0"/>
              <w:rPr>
                <w:sz w:val="20"/>
                <w:szCs w:val="20"/>
                <w:color w:val="auto"/>
              </w:rPr>
            </w:pPr>
            <w:r>
              <w:rPr>
                <w:rFonts w:ascii="Arial" w:cs="Arial" w:eastAsia="Arial" w:hAnsi="Arial"/>
                <w:sz w:val="16"/>
                <w:szCs w:val="16"/>
                <w:b w:val="1"/>
                <w:bCs w:val="1"/>
                <w:color w:val="auto"/>
              </w:rPr>
              <w:t>4,509</w:t>
            </w:r>
          </w:p>
        </w:tc>
        <w:tc>
          <w:tcPr>
            <w:tcW w:w="1940" w:type="dxa"/>
            <w:vAlign w:val="bottom"/>
            <w:tcBorders>
              <w:bottom w:val="single" w:sz="8" w:color="CCEEFF"/>
            </w:tcBorders>
            <w:shd w:val="clear" w:color="auto" w:fill="CCEEFF"/>
          </w:tcPr>
          <w:p>
            <w:pPr>
              <w:jc w:val="right"/>
              <w:ind w:right="659"/>
              <w:spacing w:after="0"/>
              <w:rPr>
                <w:sz w:val="20"/>
                <w:szCs w:val="20"/>
                <w:color w:val="auto"/>
              </w:rPr>
            </w:pPr>
            <w:r>
              <w:rPr>
                <w:rFonts w:ascii="Arial" w:cs="Arial" w:eastAsia="Arial" w:hAnsi="Arial"/>
                <w:sz w:val="16"/>
                <w:szCs w:val="16"/>
                <w:color w:val="auto"/>
              </w:rPr>
              <w:t>4,065</w:t>
            </w: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3,575</w:t>
            </w:r>
          </w:p>
        </w:tc>
      </w:tr>
      <w:tr>
        <w:trPr>
          <w:trHeight w:val="297"/>
        </w:trPr>
        <w:tc>
          <w:tcPr>
            <w:tcW w:w="45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45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Other retail</w:t>
            </w:r>
            <w:r>
              <w:rPr>
                <w:rFonts w:ascii="Arial" w:cs="Arial" w:eastAsia="Arial" w:hAnsi="Arial"/>
                <w:sz w:val="21"/>
                <w:szCs w:val="21"/>
                <w:color w:val="auto"/>
                <w:vertAlign w:val="superscript"/>
              </w:rPr>
              <w:t>1</w:t>
            </w:r>
          </w:p>
        </w:tc>
        <w:tc>
          <w:tcPr>
            <w:tcW w:w="3640" w:type="dxa"/>
            <w:vAlign w:val="bottom"/>
            <w:tcBorders>
              <w:bottom w:val="single" w:sz="8" w:color="auto"/>
            </w:tcBorders>
            <w:shd w:val="clear" w:color="auto" w:fill="CCEEFF"/>
          </w:tcPr>
          <w:p>
            <w:pPr>
              <w:jc w:val="right"/>
              <w:ind w:right="639"/>
              <w:spacing w:after="0"/>
              <w:rPr>
                <w:sz w:val="20"/>
                <w:szCs w:val="20"/>
                <w:color w:val="auto"/>
              </w:rPr>
            </w:pPr>
            <w:r>
              <w:rPr>
                <w:rFonts w:ascii="Arial" w:cs="Arial" w:eastAsia="Arial" w:hAnsi="Arial"/>
                <w:sz w:val="16"/>
                <w:szCs w:val="16"/>
                <w:b w:val="1"/>
                <w:bCs w:val="1"/>
                <w:color w:val="auto"/>
              </w:rPr>
              <w:t>554</w:t>
            </w:r>
          </w:p>
        </w:tc>
        <w:tc>
          <w:tcPr>
            <w:tcW w:w="1940" w:type="dxa"/>
            <w:vAlign w:val="bottom"/>
            <w:tcBorders>
              <w:bottom w:val="single" w:sz="8" w:color="auto"/>
            </w:tcBorders>
            <w:shd w:val="clear" w:color="auto" w:fill="CCEEFF"/>
          </w:tcPr>
          <w:p>
            <w:pPr>
              <w:jc w:val="right"/>
              <w:ind w:right="659"/>
              <w:spacing w:after="0"/>
              <w:rPr>
                <w:sz w:val="20"/>
                <w:szCs w:val="20"/>
                <w:color w:val="auto"/>
              </w:rPr>
            </w:pPr>
            <w:r>
              <w:rPr>
                <w:rFonts w:ascii="Arial" w:cs="Arial" w:eastAsia="Arial" w:hAnsi="Arial"/>
                <w:sz w:val="16"/>
                <w:szCs w:val="16"/>
                <w:color w:val="auto"/>
              </w:rPr>
              <w:t>378</w:t>
            </w:r>
          </w:p>
        </w:tc>
        <w:tc>
          <w:tcPr>
            <w:tcW w:w="13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116</w:t>
            </w:r>
          </w:p>
        </w:tc>
      </w:tr>
      <w:tr>
        <w:trPr>
          <w:trHeight w:val="231"/>
        </w:trPr>
        <w:tc>
          <w:tcPr>
            <w:tcW w:w="4520" w:type="dxa"/>
            <w:vAlign w:val="bottom"/>
          </w:tcPr>
          <w:p>
            <w:pPr>
              <w:ind w:left="40"/>
              <w:spacing w:after="0"/>
              <w:rPr>
                <w:sz w:val="20"/>
                <w:szCs w:val="20"/>
                <w:color w:val="auto"/>
              </w:rPr>
            </w:pPr>
            <w:r>
              <w:rPr>
                <w:rFonts w:ascii="Arial" w:cs="Arial" w:eastAsia="Arial" w:hAnsi="Arial"/>
                <w:sz w:val="16"/>
                <w:szCs w:val="16"/>
                <w:color w:val="auto"/>
              </w:rPr>
              <w:t>Total Retail segment</w:t>
            </w:r>
          </w:p>
        </w:tc>
        <w:tc>
          <w:tcPr>
            <w:tcW w:w="3640" w:type="dxa"/>
            <w:vAlign w:val="bottom"/>
          </w:tcPr>
          <w:p>
            <w:pPr>
              <w:jc w:val="right"/>
              <w:ind w:right="639"/>
              <w:spacing w:after="0"/>
              <w:rPr>
                <w:sz w:val="20"/>
                <w:szCs w:val="20"/>
                <w:color w:val="auto"/>
              </w:rPr>
            </w:pPr>
            <w:r>
              <w:rPr>
                <w:rFonts w:ascii="Arial" w:cs="Arial" w:eastAsia="Arial" w:hAnsi="Arial"/>
                <w:sz w:val="16"/>
                <w:szCs w:val="16"/>
                <w:b w:val="1"/>
                <w:bCs w:val="1"/>
                <w:color w:val="auto"/>
              </w:rPr>
              <w:t>14,768</w:t>
            </w:r>
          </w:p>
        </w:tc>
        <w:tc>
          <w:tcPr>
            <w:tcW w:w="1940" w:type="dxa"/>
            <w:vAlign w:val="bottom"/>
          </w:tcPr>
          <w:p>
            <w:pPr>
              <w:jc w:val="right"/>
              <w:ind w:right="659"/>
              <w:spacing w:after="0"/>
              <w:rPr>
                <w:sz w:val="20"/>
                <w:szCs w:val="20"/>
                <w:color w:val="auto"/>
              </w:rPr>
            </w:pPr>
            <w:r>
              <w:rPr>
                <w:rFonts w:ascii="Arial" w:cs="Arial" w:eastAsia="Arial" w:hAnsi="Arial"/>
                <w:sz w:val="16"/>
                <w:szCs w:val="16"/>
                <w:color w:val="auto"/>
              </w:rPr>
              <w:t>14,376</w:t>
            </w: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13,369</w:t>
            </w:r>
          </w:p>
        </w:tc>
      </w:tr>
      <w:tr>
        <w:trPr>
          <w:trHeight w:val="33"/>
        </w:trPr>
        <w:tc>
          <w:tcPr>
            <w:tcW w:w="452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5"/>
        </w:trPr>
        <w:tc>
          <w:tcPr>
            <w:tcW w:w="4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Corporate/Other</w:t>
            </w:r>
          </w:p>
        </w:tc>
        <w:tc>
          <w:tcPr>
            <w:tcW w:w="3640" w:type="dxa"/>
            <w:vAlign w:val="bottom"/>
            <w:tcBorders>
              <w:bottom w:val="single" w:sz="8" w:color="CCEEFF"/>
            </w:tcBorders>
            <w:shd w:val="clear" w:color="auto" w:fill="CCEEFF"/>
          </w:tcPr>
          <w:p>
            <w:pPr>
              <w:jc w:val="right"/>
              <w:ind w:right="599"/>
              <w:spacing w:after="0"/>
              <w:rPr>
                <w:sz w:val="20"/>
                <w:szCs w:val="20"/>
                <w:color w:val="auto"/>
              </w:rPr>
            </w:pPr>
            <w:r>
              <w:rPr>
                <w:rFonts w:ascii="Arial" w:cs="Arial" w:eastAsia="Arial" w:hAnsi="Arial"/>
                <w:sz w:val="16"/>
                <w:szCs w:val="16"/>
                <w:b w:val="1"/>
                <w:bCs w:val="1"/>
                <w:color w:val="auto"/>
              </w:rPr>
              <w:t>(270)</w:t>
            </w:r>
          </w:p>
        </w:tc>
        <w:tc>
          <w:tcPr>
            <w:tcW w:w="1940" w:type="dxa"/>
            <w:vAlign w:val="bottom"/>
            <w:tcBorders>
              <w:bottom w:val="single" w:sz="8" w:color="CCEEFF"/>
            </w:tcBorders>
            <w:shd w:val="clear" w:color="auto" w:fill="CCEEFF"/>
          </w:tcPr>
          <w:p>
            <w:pPr>
              <w:jc w:val="right"/>
              <w:ind w:right="599"/>
              <w:spacing w:after="0"/>
              <w:rPr>
                <w:sz w:val="20"/>
                <w:szCs w:val="20"/>
                <w:color w:val="auto"/>
              </w:rPr>
            </w:pPr>
            <w:r>
              <w:rPr>
                <w:rFonts w:ascii="Arial" w:cs="Arial" w:eastAsia="Arial" w:hAnsi="Arial"/>
                <w:sz w:val="16"/>
                <w:szCs w:val="16"/>
                <w:color w:val="auto"/>
              </w:rPr>
              <w:t>(281)</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(259)</w:t>
            </w:r>
          </w:p>
        </w:tc>
      </w:tr>
      <w:tr>
        <w:trPr>
          <w:trHeight w:val="231"/>
        </w:trPr>
        <w:tc>
          <w:tcPr>
            <w:tcW w:w="452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 net sales</w:t>
            </w:r>
          </w:p>
        </w:tc>
        <w:tc>
          <w:tcPr>
            <w:tcW w:w="3640" w:type="dxa"/>
            <w:vAlign w:val="bottom"/>
            <w:tcBorders>
              <w:top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$14,498</w:t>
            </w:r>
          </w:p>
        </w:tc>
        <w:tc>
          <w:tcPr>
            <w:tcW w:w="1940" w:type="dxa"/>
            <w:vAlign w:val="bottom"/>
            <w:tcBorders>
              <w:top w:val="single" w:sz="8" w:color="auto"/>
            </w:tcBorders>
          </w:tcPr>
          <w:p>
            <w:pPr>
              <w:jc w:val="right"/>
              <w:ind w:right="659"/>
              <w:spacing w:after="0"/>
              <w:rPr>
                <w:sz w:val="20"/>
                <w:szCs w:val="20"/>
                <w:color w:val="auto"/>
              </w:rPr>
            </w:pPr>
            <w:r>
              <w:rPr>
                <w:rFonts w:ascii="Arial" w:cs="Arial" w:eastAsia="Arial" w:hAnsi="Arial"/>
                <w:sz w:val="16"/>
                <w:szCs w:val="16"/>
                <w:color w:val="auto"/>
              </w:rPr>
              <w:t>$14,095</w:t>
            </w:r>
          </w:p>
        </w:tc>
        <w:tc>
          <w:tcPr>
            <w:tcW w:w="13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$13,110</w:t>
            </w:r>
          </w:p>
        </w:tc>
      </w:tr>
    </w:tbl>
    <w:p>
      <w:pPr>
        <w:spacing w:after="0" w:line="28" w:lineRule="exact"/>
        <w:rPr>
          <w:sz w:val="20"/>
          <w:szCs w:val="20"/>
          <w:color w:val="auto"/>
        </w:rPr>
      </w:pPr>
    </w:p>
    <w:p>
      <w:pPr>
        <w:ind w:left="80" w:hanging="72"/>
        <w:spacing w:after="0"/>
        <w:tabs>
          <w:tab w:leader="none" w:pos="80" w:val="left"/>
        </w:tabs>
        <w:numPr>
          <w:ilvl w:val="0"/>
          <w:numId w:val="38"/>
        </w:numPr>
        <w:rPr>
          <w:rFonts w:ascii="Arial" w:cs="Arial" w:eastAsia="Arial" w:hAnsi="Arial"/>
          <w:sz w:val="9"/>
          <w:szCs w:val="9"/>
          <w:color w:val="auto"/>
        </w:rPr>
      </w:pPr>
      <w:r>
        <w:rPr>
          <w:rFonts w:ascii="Arial" w:cs="Arial" w:eastAsia="Arial" w:hAnsi="Arial"/>
          <w:sz w:val="14"/>
          <w:szCs w:val="14"/>
          <w:color w:val="auto"/>
        </w:rPr>
        <w:t>Other retail includes Nordstrom Canada full-line stores, Trunk Club and Jeffrey boutiques.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22947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percent of net sales by merchandise category:</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20" w:type="dxa"/>
            <w:vAlign w:val="bottom"/>
          </w:tcPr>
          <w:p>
            <w:pPr>
              <w:ind w:left="40"/>
              <w:spacing w:after="0"/>
              <w:rPr>
                <w:sz w:val="20"/>
                <w:szCs w:val="20"/>
                <w:color w:val="auto"/>
              </w:rPr>
            </w:pPr>
            <w:r>
              <w:rPr>
                <w:rFonts w:ascii="Arial" w:cs="Arial" w:eastAsia="Arial" w:hAnsi="Arial"/>
                <w:sz w:val="16"/>
                <w:szCs w:val="16"/>
                <w:b w:val="1"/>
                <w:bCs w:val="1"/>
                <w:color w:val="auto"/>
              </w:rPr>
              <w:t>Fiscal year</w:t>
            </w:r>
          </w:p>
        </w:tc>
        <w:tc>
          <w:tcPr>
            <w:tcW w:w="4000" w:type="dxa"/>
            <w:vAlign w:val="bottom"/>
          </w:tcPr>
          <w:p>
            <w:pPr>
              <w:jc w:val="right"/>
              <w:ind w:right="819"/>
              <w:spacing w:after="0"/>
              <w:rPr>
                <w:sz w:val="20"/>
                <w:szCs w:val="20"/>
                <w:color w:val="auto"/>
              </w:rPr>
            </w:pPr>
            <w:r>
              <w:rPr>
                <w:rFonts w:ascii="Arial" w:cs="Arial" w:eastAsia="Arial" w:hAnsi="Arial"/>
                <w:sz w:val="16"/>
                <w:szCs w:val="16"/>
                <w:b w:val="1"/>
                <w:bCs w:val="1"/>
                <w:color w:val="auto"/>
              </w:rPr>
              <w:t>2016</w:t>
            </w:r>
          </w:p>
        </w:tc>
        <w:tc>
          <w:tcPr>
            <w:tcW w:w="1960" w:type="dxa"/>
            <w:vAlign w:val="bottom"/>
          </w:tcPr>
          <w:p>
            <w:pPr>
              <w:jc w:val="right"/>
              <w:ind w:right="799"/>
              <w:spacing w:after="0"/>
              <w:rPr>
                <w:sz w:val="20"/>
                <w:szCs w:val="20"/>
                <w:color w:val="auto"/>
              </w:rPr>
            </w:pPr>
            <w:r>
              <w:rPr>
                <w:rFonts w:ascii="Arial" w:cs="Arial" w:eastAsia="Arial" w:hAnsi="Arial"/>
                <w:sz w:val="16"/>
                <w:szCs w:val="16"/>
                <w:b w:val="1"/>
                <w:bCs w:val="1"/>
                <w:color w:val="auto"/>
              </w:rPr>
              <w:t>2015</w:t>
            </w:r>
          </w:p>
        </w:tc>
        <w:tc>
          <w:tcPr>
            <w:tcW w:w="1240" w:type="dxa"/>
            <w:vAlign w:val="bottom"/>
          </w:tcPr>
          <w:p>
            <w:pPr>
              <w:jc w:val="right"/>
              <w:ind w:right="79"/>
              <w:spacing w:after="0"/>
              <w:rPr>
                <w:sz w:val="20"/>
                <w:szCs w:val="20"/>
                <w:color w:val="auto"/>
              </w:rPr>
            </w:pPr>
            <w:r>
              <w:rPr>
                <w:rFonts w:ascii="Arial" w:cs="Arial" w:eastAsia="Arial" w:hAnsi="Arial"/>
                <w:sz w:val="16"/>
                <w:szCs w:val="16"/>
                <w:b w:val="1"/>
                <w:bCs w:val="1"/>
                <w:color w:val="auto"/>
              </w:rPr>
              <w:t>2014</w:t>
            </w:r>
          </w:p>
        </w:tc>
      </w:tr>
      <w:tr>
        <w:trPr>
          <w:trHeight w:val="33"/>
        </w:trPr>
        <w:tc>
          <w:tcPr>
            <w:tcW w:w="4220" w:type="dxa"/>
            <w:vAlign w:val="bottom"/>
            <w:tcBorders>
              <w:bottom w:val="single" w:sz="8" w:color="auto"/>
            </w:tcBorders>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Women’s Apparel</w:t>
            </w:r>
          </w:p>
        </w:tc>
        <w:tc>
          <w:tcPr>
            <w:tcW w:w="4000" w:type="dxa"/>
            <w:vAlign w:val="bottom"/>
            <w:tcBorders>
              <w:bottom w:val="single" w:sz="8" w:color="CCEEFF"/>
            </w:tcBorders>
            <w:shd w:val="clear" w:color="auto" w:fill="CCEEFF"/>
          </w:tcPr>
          <w:p>
            <w:pPr>
              <w:jc w:val="right"/>
              <w:ind w:right="659"/>
              <w:spacing w:after="0"/>
              <w:rPr>
                <w:sz w:val="20"/>
                <w:szCs w:val="20"/>
                <w:color w:val="auto"/>
              </w:rPr>
            </w:pPr>
            <w:r>
              <w:rPr>
                <w:rFonts w:ascii="Arial" w:cs="Arial" w:eastAsia="Arial" w:hAnsi="Arial"/>
                <w:sz w:val="16"/>
                <w:szCs w:val="16"/>
                <w:b w:val="1"/>
                <w:bCs w:val="1"/>
                <w:color w:val="auto"/>
              </w:rPr>
              <w:t>32%</w:t>
            </w:r>
          </w:p>
        </w:tc>
        <w:tc>
          <w:tcPr>
            <w:tcW w:w="1960" w:type="dxa"/>
            <w:vAlign w:val="bottom"/>
            <w:tcBorders>
              <w:bottom w:val="single" w:sz="8" w:color="CCEEFF"/>
            </w:tcBorders>
            <w:shd w:val="clear" w:color="auto" w:fill="CCEEFF"/>
          </w:tcPr>
          <w:p>
            <w:pPr>
              <w:jc w:val="right"/>
              <w:ind w:right="659"/>
              <w:spacing w:after="0"/>
              <w:rPr>
                <w:sz w:val="20"/>
                <w:szCs w:val="20"/>
                <w:color w:val="auto"/>
              </w:rPr>
            </w:pPr>
            <w:r>
              <w:rPr>
                <w:rFonts w:ascii="Arial" w:cs="Arial" w:eastAsia="Arial" w:hAnsi="Arial"/>
                <w:sz w:val="16"/>
                <w:szCs w:val="16"/>
                <w:color w:val="auto"/>
              </w:rPr>
              <w:t>31%</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w:t>
            </w:r>
          </w:p>
        </w:tc>
      </w:tr>
      <w:tr>
        <w:trPr>
          <w:trHeight w:val="237"/>
        </w:trPr>
        <w:tc>
          <w:tcPr>
            <w:tcW w:w="4220" w:type="dxa"/>
            <w:vAlign w:val="bottom"/>
          </w:tcPr>
          <w:p>
            <w:pPr>
              <w:ind w:left="40"/>
              <w:spacing w:after="0"/>
              <w:rPr>
                <w:sz w:val="20"/>
                <w:szCs w:val="20"/>
                <w:color w:val="auto"/>
              </w:rPr>
            </w:pPr>
            <w:r>
              <w:rPr>
                <w:rFonts w:ascii="Arial" w:cs="Arial" w:eastAsia="Arial" w:hAnsi="Arial"/>
                <w:sz w:val="16"/>
                <w:szCs w:val="16"/>
                <w:color w:val="auto"/>
              </w:rPr>
              <w:t>Shoes</w:t>
            </w:r>
          </w:p>
        </w:tc>
        <w:tc>
          <w:tcPr>
            <w:tcW w:w="4000" w:type="dxa"/>
            <w:vAlign w:val="bottom"/>
          </w:tcPr>
          <w:p>
            <w:pPr>
              <w:jc w:val="right"/>
              <w:ind w:right="659"/>
              <w:spacing w:after="0"/>
              <w:rPr>
                <w:sz w:val="20"/>
                <w:szCs w:val="20"/>
                <w:color w:val="auto"/>
              </w:rPr>
            </w:pPr>
            <w:r>
              <w:rPr>
                <w:rFonts w:ascii="Arial" w:cs="Arial" w:eastAsia="Arial" w:hAnsi="Arial"/>
                <w:sz w:val="16"/>
                <w:szCs w:val="16"/>
                <w:b w:val="1"/>
                <w:bCs w:val="1"/>
                <w:color w:val="auto"/>
              </w:rPr>
              <w:t>23%</w:t>
            </w:r>
          </w:p>
        </w:tc>
        <w:tc>
          <w:tcPr>
            <w:tcW w:w="1960" w:type="dxa"/>
            <w:vAlign w:val="bottom"/>
          </w:tcPr>
          <w:p>
            <w:pPr>
              <w:jc w:val="right"/>
              <w:ind w:right="659"/>
              <w:spacing w:after="0"/>
              <w:rPr>
                <w:sz w:val="20"/>
                <w:szCs w:val="20"/>
                <w:color w:val="auto"/>
              </w:rPr>
            </w:pPr>
            <w:r>
              <w:rPr>
                <w:rFonts w:ascii="Arial" w:cs="Arial" w:eastAsia="Arial" w:hAnsi="Arial"/>
                <w:sz w:val="16"/>
                <w:szCs w:val="16"/>
                <w:color w:val="auto"/>
              </w:rPr>
              <w:t>23%</w:t>
            </w:r>
          </w:p>
        </w:tc>
        <w:tc>
          <w:tcPr>
            <w:tcW w:w="124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33"/>
        </w:trPr>
        <w:tc>
          <w:tcPr>
            <w:tcW w:w="4220" w:type="dxa"/>
            <w:vAlign w:val="bottom"/>
          </w:tcPr>
          <w:p>
            <w:pPr>
              <w:spacing w:after="0"/>
              <w:rPr>
                <w:sz w:val="2"/>
                <w:szCs w:val="2"/>
                <w:color w:val="auto"/>
              </w:rPr>
            </w:pPr>
          </w:p>
        </w:tc>
        <w:tc>
          <w:tcPr>
            <w:tcW w:w="40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Men’s Apparel</w:t>
            </w:r>
          </w:p>
        </w:tc>
        <w:tc>
          <w:tcPr>
            <w:tcW w:w="4000" w:type="dxa"/>
            <w:vAlign w:val="bottom"/>
            <w:tcBorders>
              <w:bottom w:val="single" w:sz="8" w:color="CCEEFF"/>
            </w:tcBorders>
            <w:shd w:val="clear" w:color="auto" w:fill="CCEEFF"/>
          </w:tcPr>
          <w:p>
            <w:pPr>
              <w:jc w:val="right"/>
              <w:ind w:right="659"/>
              <w:spacing w:after="0"/>
              <w:rPr>
                <w:sz w:val="20"/>
                <w:szCs w:val="20"/>
                <w:color w:val="auto"/>
              </w:rPr>
            </w:pPr>
            <w:r>
              <w:rPr>
                <w:rFonts w:ascii="Arial" w:cs="Arial" w:eastAsia="Arial" w:hAnsi="Arial"/>
                <w:sz w:val="16"/>
                <w:szCs w:val="16"/>
                <w:b w:val="1"/>
                <w:bCs w:val="1"/>
                <w:color w:val="auto"/>
              </w:rPr>
              <w:t>17%</w:t>
            </w:r>
          </w:p>
        </w:tc>
        <w:tc>
          <w:tcPr>
            <w:tcW w:w="1960" w:type="dxa"/>
            <w:vAlign w:val="bottom"/>
            <w:tcBorders>
              <w:bottom w:val="single" w:sz="8" w:color="CCEEFF"/>
            </w:tcBorders>
            <w:shd w:val="clear" w:color="auto" w:fill="CCEEFF"/>
          </w:tcPr>
          <w:p>
            <w:pPr>
              <w:jc w:val="right"/>
              <w:ind w:right="659"/>
              <w:spacing w:after="0"/>
              <w:rPr>
                <w:sz w:val="20"/>
                <w:szCs w:val="20"/>
                <w:color w:val="auto"/>
              </w:rPr>
            </w:pPr>
            <w:r>
              <w:rPr>
                <w:rFonts w:ascii="Arial" w:cs="Arial" w:eastAsia="Arial" w:hAnsi="Arial"/>
                <w:sz w:val="16"/>
                <w:szCs w:val="16"/>
                <w:color w:val="auto"/>
              </w:rPr>
              <w:t>17%</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w:t>
            </w:r>
          </w:p>
        </w:tc>
      </w:tr>
      <w:tr>
        <w:trPr>
          <w:trHeight w:val="237"/>
        </w:trPr>
        <w:tc>
          <w:tcPr>
            <w:tcW w:w="4220" w:type="dxa"/>
            <w:vAlign w:val="bottom"/>
          </w:tcPr>
          <w:p>
            <w:pPr>
              <w:ind w:left="40"/>
              <w:spacing w:after="0"/>
              <w:rPr>
                <w:sz w:val="20"/>
                <w:szCs w:val="20"/>
                <w:color w:val="auto"/>
              </w:rPr>
            </w:pPr>
            <w:r>
              <w:rPr>
                <w:rFonts w:ascii="Arial" w:cs="Arial" w:eastAsia="Arial" w:hAnsi="Arial"/>
                <w:sz w:val="16"/>
                <w:szCs w:val="16"/>
                <w:color w:val="auto"/>
              </w:rPr>
              <w:t>Women’s Accessories</w:t>
            </w:r>
          </w:p>
        </w:tc>
        <w:tc>
          <w:tcPr>
            <w:tcW w:w="4000" w:type="dxa"/>
            <w:vAlign w:val="bottom"/>
          </w:tcPr>
          <w:p>
            <w:pPr>
              <w:jc w:val="right"/>
              <w:ind w:right="659"/>
              <w:spacing w:after="0"/>
              <w:rPr>
                <w:sz w:val="20"/>
                <w:szCs w:val="20"/>
                <w:color w:val="auto"/>
              </w:rPr>
            </w:pPr>
            <w:r>
              <w:rPr>
                <w:rFonts w:ascii="Arial" w:cs="Arial" w:eastAsia="Arial" w:hAnsi="Arial"/>
                <w:sz w:val="16"/>
                <w:szCs w:val="16"/>
                <w:b w:val="1"/>
                <w:bCs w:val="1"/>
                <w:color w:val="auto"/>
              </w:rPr>
              <w:t>11%</w:t>
            </w:r>
          </w:p>
        </w:tc>
        <w:tc>
          <w:tcPr>
            <w:tcW w:w="1960" w:type="dxa"/>
            <w:vAlign w:val="bottom"/>
          </w:tcPr>
          <w:p>
            <w:pPr>
              <w:jc w:val="right"/>
              <w:ind w:right="659"/>
              <w:spacing w:after="0"/>
              <w:rPr>
                <w:sz w:val="20"/>
                <w:szCs w:val="20"/>
                <w:color w:val="auto"/>
              </w:rPr>
            </w:pPr>
            <w:r>
              <w:rPr>
                <w:rFonts w:ascii="Arial" w:cs="Arial" w:eastAsia="Arial" w:hAnsi="Arial"/>
                <w:sz w:val="16"/>
                <w:szCs w:val="16"/>
                <w:color w:val="auto"/>
              </w:rPr>
              <w:t>12%</w:t>
            </w:r>
          </w:p>
        </w:tc>
        <w:tc>
          <w:tcPr>
            <w:tcW w:w="124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33"/>
        </w:trPr>
        <w:tc>
          <w:tcPr>
            <w:tcW w:w="4220" w:type="dxa"/>
            <w:vAlign w:val="bottom"/>
          </w:tcPr>
          <w:p>
            <w:pPr>
              <w:spacing w:after="0"/>
              <w:rPr>
                <w:sz w:val="2"/>
                <w:szCs w:val="2"/>
                <w:color w:val="auto"/>
              </w:rPr>
            </w:pPr>
          </w:p>
        </w:tc>
        <w:tc>
          <w:tcPr>
            <w:tcW w:w="40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Beauty</w:t>
            </w:r>
          </w:p>
        </w:tc>
        <w:tc>
          <w:tcPr>
            <w:tcW w:w="4000" w:type="dxa"/>
            <w:vAlign w:val="bottom"/>
            <w:tcBorders>
              <w:bottom w:val="single" w:sz="8" w:color="CCEEFF"/>
            </w:tcBorders>
            <w:shd w:val="clear" w:color="auto" w:fill="CCEEFF"/>
          </w:tcPr>
          <w:p>
            <w:pPr>
              <w:jc w:val="right"/>
              <w:ind w:right="659"/>
              <w:spacing w:after="0"/>
              <w:rPr>
                <w:sz w:val="20"/>
                <w:szCs w:val="20"/>
                <w:color w:val="auto"/>
              </w:rPr>
            </w:pPr>
            <w:r>
              <w:rPr>
                <w:rFonts w:ascii="Arial" w:cs="Arial" w:eastAsia="Arial" w:hAnsi="Arial"/>
                <w:sz w:val="16"/>
                <w:szCs w:val="16"/>
                <w:b w:val="1"/>
                <w:bCs w:val="1"/>
                <w:color w:val="auto"/>
              </w:rPr>
              <w:t>11%</w:t>
            </w:r>
          </w:p>
        </w:tc>
        <w:tc>
          <w:tcPr>
            <w:tcW w:w="1960" w:type="dxa"/>
            <w:vAlign w:val="bottom"/>
            <w:tcBorders>
              <w:bottom w:val="single" w:sz="8" w:color="CCEEFF"/>
            </w:tcBorders>
            <w:shd w:val="clear" w:color="auto" w:fill="CCEEFF"/>
          </w:tcPr>
          <w:p>
            <w:pPr>
              <w:jc w:val="right"/>
              <w:ind w:right="659"/>
              <w:spacing w:after="0"/>
              <w:rPr>
                <w:sz w:val="20"/>
                <w:szCs w:val="20"/>
                <w:color w:val="auto"/>
              </w:rPr>
            </w:pPr>
            <w:r>
              <w:rPr>
                <w:rFonts w:ascii="Arial" w:cs="Arial" w:eastAsia="Arial" w:hAnsi="Arial"/>
                <w:sz w:val="16"/>
                <w:szCs w:val="16"/>
                <w:color w:val="auto"/>
              </w:rPr>
              <w:t>11%</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r>
      <w:tr>
        <w:trPr>
          <w:trHeight w:val="237"/>
        </w:trPr>
        <w:tc>
          <w:tcPr>
            <w:tcW w:w="4220" w:type="dxa"/>
            <w:vAlign w:val="bottom"/>
          </w:tcPr>
          <w:p>
            <w:pPr>
              <w:ind w:left="40"/>
              <w:spacing w:after="0"/>
              <w:rPr>
                <w:sz w:val="20"/>
                <w:szCs w:val="20"/>
                <w:color w:val="auto"/>
              </w:rPr>
            </w:pPr>
            <w:r>
              <w:rPr>
                <w:rFonts w:ascii="Arial" w:cs="Arial" w:eastAsia="Arial" w:hAnsi="Arial"/>
                <w:sz w:val="16"/>
                <w:szCs w:val="16"/>
                <w:color w:val="auto"/>
              </w:rPr>
              <w:t>Kids’ Apparel</w:t>
            </w:r>
          </w:p>
        </w:tc>
        <w:tc>
          <w:tcPr>
            <w:tcW w:w="4000" w:type="dxa"/>
            <w:vAlign w:val="bottom"/>
          </w:tcPr>
          <w:p>
            <w:pPr>
              <w:jc w:val="right"/>
              <w:ind w:right="659"/>
              <w:spacing w:after="0"/>
              <w:rPr>
                <w:sz w:val="20"/>
                <w:szCs w:val="20"/>
                <w:color w:val="auto"/>
              </w:rPr>
            </w:pPr>
            <w:r>
              <w:rPr>
                <w:rFonts w:ascii="Arial" w:cs="Arial" w:eastAsia="Arial" w:hAnsi="Arial"/>
                <w:sz w:val="16"/>
                <w:szCs w:val="16"/>
                <w:b w:val="1"/>
                <w:bCs w:val="1"/>
                <w:color w:val="auto"/>
              </w:rPr>
              <w:t>3%</w:t>
            </w:r>
          </w:p>
        </w:tc>
        <w:tc>
          <w:tcPr>
            <w:tcW w:w="1960" w:type="dxa"/>
            <w:vAlign w:val="bottom"/>
          </w:tcPr>
          <w:p>
            <w:pPr>
              <w:jc w:val="right"/>
              <w:ind w:right="659"/>
              <w:spacing w:after="0"/>
              <w:rPr>
                <w:sz w:val="20"/>
                <w:szCs w:val="20"/>
                <w:color w:val="auto"/>
              </w:rPr>
            </w:pPr>
            <w:r>
              <w:rPr>
                <w:rFonts w:ascii="Arial" w:cs="Arial" w:eastAsia="Arial" w:hAnsi="Arial"/>
                <w:sz w:val="16"/>
                <w:szCs w:val="16"/>
                <w:color w:val="auto"/>
              </w:rPr>
              <w:t>3%</w:t>
            </w:r>
          </w:p>
        </w:tc>
        <w:tc>
          <w:tcPr>
            <w:tcW w:w="124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33"/>
        </w:trPr>
        <w:tc>
          <w:tcPr>
            <w:tcW w:w="4220" w:type="dxa"/>
            <w:vAlign w:val="bottom"/>
          </w:tcPr>
          <w:p>
            <w:pPr>
              <w:spacing w:after="0"/>
              <w:rPr>
                <w:sz w:val="2"/>
                <w:szCs w:val="2"/>
                <w:color w:val="auto"/>
              </w:rPr>
            </w:pPr>
          </w:p>
        </w:tc>
        <w:tc>
          <w:tcPr>
            <w:tcW w:w="40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5"/>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4000" w:type="dxa"/>
            <w:vAlign w:val="bottom"/>
            <w:tcBorders>
              <w:bottom w:val="single" w:sz="8" w:color="CCEEFF"/>
            </w:tcBorders>
            <w:shd w:val="clear" w:color="auto" w:fill="CCEEFF"/>
          </w:tcPr>
          <w:p>
            <w:pPr>
              <w:jc w:val="right"/>
              <w:ind w:right="659"/>
              <w:spacing w:after="0"/>
              <w:rPr>
                <w:sz w:val="20"/>
                <w:szCs w:val="20"/>
                <w:color w:val="auto"/>
              </w:rPr>
            </w:pPr>
            <w:r>
              <w:rPr>
                <w:rFonts w:ascii="Arial" w:cs="Arial" w:eastAsia="Arial" w:hAnsi="Arial"/>
                <w:sz w:val="16"/>
                <w:szCs w:val="16"/>
                <w:b w:val="1"/>
                <w:bCs w:val="1"/>
                <w:color w:val="auto"/>
              </w:rPr>
              <w:t>3%</w:t>
            </w:r>
          </w:p>
        </w:tc>
        <w:tc>
          <w:tcPr>
            <w:tcW w:w="1960" w:type="dxa"/>
            <w:vAlign w:val="bottom"/>
            <w:tcBorders>
              <w:bottom w:val="single" w:sz="8" w:color="CCEEFF"/>
            </w:tcBorders>
            <w:shd w:val="clear" w:color="auto" w:fill="CCEEFF"/>
          </w:tcPr>
          <w:p>
            <w:pPr>
              <w:jc w:val="right"/>
              <w:ind w:right="659"/>
              <w:spacing w:after="0"/>
              <w:rPr>
                <w:sz w:val="20"/>
                <w:szCs w:val="20"/>
                <w:color w:val="auto"/>
              </w:rPr>
            </w:pPr>
            <w:r>
              <w:rPr>
                <w:rFonts w:ascii="Arial" w:cs="Arial" w:eastAsia="Arial" w:hAnsi="Arial"/>
                <w:sz w:val="16"/>
                <w:szCs w:val="16"/>
                <w:color w:val="auto"/>
              </w:rPr>
              <w:t>3%</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31"/>
        </w:trPr>
        <w:tc>
          <w:tcPr>
            <w:tcW w:w="422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 net sales</w:t>
            </w:r>
          </w:p>
        </w:tc>
        <w:tc>
          <w:tcPr>
            <w:tcW w:w="4000" w:type="dxa"/>
            <w:vAlign w:val="bottom"/>
            <w:tcBorders>
              <w:top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100%</w:t>
            </w:r>
          </w:p>
        </w:tc>
        <w:tc>
          <w:tcPr>
            <w:tcW w:w="1960" w:type="dxa"/>
            <w:vAlign w:val="bottom"/>
            <w:tcBorders>
              <w:top w:val="single" w:sz="8" w:color="auto"/>
            </w:tcBorders>
          </w:tcPr>
          <w:p>
            <w:pPr>
              <w:jc w:val="right"/>
              <w:ind w:right="659"/>
              <w:spacing w:after="0"/>
              <w:rPr>
                <w:sz w:val="20"/>
                <w:szCs w:val="20"/>
                <w:color w:val="auto"/>
              </w:rPr>
            </w:pPr>
            <w:r>
              <w:rPr>
                <w:rFonts w:ascii="Arial" w:cs="Arial" w:eastAsia="Arial" w:hAnsi="Arial"/>
                <w:sz w:val="16"/>
                <w:szCs w:val="16"/>
                <w:color w:val="auto"/>
              </w:rPr>
              <w:t>100%</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w:t>
            </w:r>
          </w:p>
        </w:tc>
      </w:tr>
      <w:tr>
        <w:trPr>
          <w:trHeight w:val="33"/>
        </w:trPr>
        <w:tc>
          <w:tcPr>
            <w:tcW w:w="4220" w:type="dxa"/>
            <w:vAlign w:val="bottom"/>
            <w:tcBorders>
              <w:bottom w:val="single" w:sz="8" w:color="auto"/>
            </w:tcBorders>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649"/>
        </w:trPr>
        <w:tc>
          <w:tcPr>
            <w:tcW w:w="4220" w:type="dxa"/>
            <w:vAlign w:val="bottom"/>
          </w:tcPr>
          <w:p>
            <w:pPr>
              <w:spacing w:after="0"/>
              <w:rPr>
                <w:sz w:val="20"/>
                <w:szCs w:val="20"/>
                <w:color w:val="auto"/>
              </w:rPr>
            </w:pPr>
            <w:r>
              <w:rPr>
                <w:rFonts w:ascii="Arial" w:cs="Arial" w:eastAsia="Arial" w:hAnsi="Arial"/>
                <w:sz w:val="16"/>
                <w:szCs w:val="16"/>
                <w:color w:val="auto"/>
              </w:rPr>
              <w:t>62</w:t>
            </w:r>
          </w:p>
        </w:tc>
        <w:tc>
          <w:tcPr>
            <w:tcW w:w="40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240" w:type="dxa"/>
            <w:vAlign w:val="bottom"/>
          </w:tcPr>
          <w:p>
            <w:pPr>
              <w:spacing w:after="0"/>
              <w:rPr>
                <w:sz w:val="24"/>
                <w:szCs w:val="24"/>
                <w:color w:val="auto"/>
              </w:rPr>
            </w:pPr>
          </w:p>
        </w:tc>
      </w:tr>
    </w:tbl>
    <w:p>
      <w:pPr>
        <w:sectPr>
          <w:pgSz w:w="11900" w:h="16838" w:orient="portrait"/>
          <w:cols w:equalWidth="0" w:num="1">
            <w:col w:w="11420"/>
          </w:cols>
          <w:pgMar w:left="240" w:top="126" w:right="239" w:bottom="1440" w:gutter="0" w:footer="0" w:header="0"/>
        </w:sectPr>
      </w:pPr>
    </w:p>
    <w:bookmarkStart w:id="63" w:name="page64"/>
    <w:bookmarkEnd w:id="63"/>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Nordstrom, Inc.</w:t>
      </w:r>
    </w:p>
    <w:p>
      <w:pPr>
        <w:spacing w:after="0" w:line="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rPr>
          <w:sz w:val="20"/>
          <w:szCs w:val="20"/>
          <w:color w:val="auto"/>
        </w:rPr>
      </w:pPr>
      <w:r>
        <w:rPr>
          <w:rFonts w:ascii="Arial" w:cs="Arial" w:eastAsia="Arial" w:hAnsi="Arial"/>
          <w:sz w:val="18"/>
          <w:szCs w:val="18"/>
          <w:color w:val="auto"/>
        </w:rPr>
        <w:t>Dollar and share amounts in millions except per share, per option and per unit amounts</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SELECTED QUARTERLY DATA</w:t>
      </w:r>
      <w:r>
        <w:rPr>
          <w:rFonts w:ascii="Arial" w:cs="Arial" w:eastAsia="Arial" w:hAnsi="Arial"/>
          <w:sz w:val="21"/>
          <w:szCs w:val="21"/>
          <w:color w:val="auto"/>
          <w:vertAlign w:val="superscript"/>
        </w:rPr>
        <w:t>1</w:t>
      </w:r>
      <w:r>
        <w:rPr>
          <w:rFonts w:ascii="Arial" w:cs="Arial" w:eastAsia="Arial" w:hAnsi="Arial"/>
          <w:sz w:val="18"/>
          <w:szCs w:val="18"/>
          <w:b w:val="1"/>
          <w:bCs w:val="1"/>
          <w:color w:val="auto"/>
        </w:rPr>
        <w:t xml:space="preserve"> (UNAUDITED)</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060" w:type="dxa"/>
            <w:vAlign w:val="bottom"/>
          </w:tcPr>
          <w:p>
            <w:pPr>
              <w:spacing w:after="0"/>
              <w:rPr>
                <w:sz w:val="18"/>
                <w:szCs w:val="18"/>
                <w:color w:val="auto"/>
              </w:rPr>
            </w:pPr>
          </w:p>
        </w:tc>
        <w:tc>
          <w:tcPr>
            <w:tcW w:w="1680" w:type="dxa"/>
            <w:vAlign w:val="bottom"/>
          </w:tcPr>
          <w:p>
            <w:pPr>
              <w:jc w:val="right"/>
              <w:ind w:right="479"/>
              <w:spacing w:after="0"/>
              <w:rPr>
                <w:sz w:val="20"/>
                <w:szCs w:val="20"/>
                <w:color w:val="auto"/>
              </w:rPr>
            </w:pPr>
            <w:r>
              <w:rPr>
                <w:rFonts w:ascii="Arial" w:cs="Arial" w:eastAsia="Arial" w:hAnsi="Arial"/>
                <w:sz w:val="16"/>
                <w:szCs w:val="16"/>
                <w:b w:val="1"/>
                <w:bCs w:val="1"/>
                <w:color w:val="auto"/>
              </w:rPr>
              <w:t>1st Quarter</w:t>
            </w:r>
          </w:p>
        </w:tc>
        <w:tc>
          <w:tcPr>
            <w:tcW w:w="1760" w:type="dxa"/>
            <w:vAlign w:val="bottom"/>
          </w:tcPr>
          <w:p>
            <w:pPr>
              <w:jc w:val="right"/>
              <w:ind w:right="479"/>
              <w:spacing w:after="0"/>
              <w:rPr>
                <w:sz w:val="20"/>
                <w:szCs w:val="20"/>
                <w:color w:val="auto"/>
              </w:rPr>
            </w:pPr>
            <w:r>
              <w:rPr>
                <w:rFonts w:ascii="Arial" w:cs="Arial" w:eastAsia="Arial" w:hAnsi="Arial"/>
                <w:sz w:val="16"/>
                <w:szCs w:val="16"/>
                <w:b w:val="1"/>
                <w:bCs w:val="1"/>
                <w:color w:val="auto"/>
              </w:rPr>
              <w:t>2nd Quarter</w:t>
            </w:r>
          </w:p>
        </w:tc>
        <w:tc>
          <w:tcPr>
            <w:tcW w:w="1680" w:type="dxa"/>
            <w:vAlign w:val="bottom"/>
          </w:tcPr>
          <w:p>
            <w:pPr>
              <w:jc w:val="right"/>
              <w:ind w:right="419"/>
              <w:spacing w:after="0"/>
              <w:rPr>
                <w:sz w:val="20"/>
                <w:szCs w:val="20"/>
                <w:color w:val="auto"/>
              </w:rPr>
            </w:pPr>
            <w:r>
              <w:rPr>
                <w:rFonts w:ascii="Arial" w:cs="Arial" w:eastAsia="Arial" w:hAnsi="Arial"/>
                <w:sz w:val="16"/>
                <w:szCs w:val="16"/>
                <w:b w:val="1"/>
                <w:bCs w:val="1"/>
                <w:color w:val="auto"/>
              </w:rPr>
              <w:t>3rd Quarter</w:t>
            </w:r>
          </w:p>
        </w:tc>
        <w:tc>
          <w:tcPr>
            <w:tcW w:w="1860" w:type="dxa"/>
            <w:vAlign w:val="bottom"/>
          </w:tcPr>
          <w:p>
            <w:pPr>
              <w:jc w:val="right"/>
              <w:ind w:right="599"/>
              <w:spacing w:after="0"/>
              <w:rPr>
                <w:sz w:val="20"/>
                <w:szCs w:val="20"/>
                <w:color w:val="auto"/>
              </w:rPr>
            </w:pPr>
            <w:r>
              <w:rPr>
                <w:rFonts w:ascii="Arial" w:cs="Arial" w:eastAsia="Arial" w:hAnsi="Arial"/>
                <w:sz w:val="16"/>
                <w:szCs w:val="16"/>
                <w:b w:val="1"/>
                <w:bCs w:val="1"/>
                <w:color w:val="auto"/>
              </w:rPr>
              <w:t>4th Quarter</w:t>
            </w:r>
          </w:p>
        </w:tc>
        <w:tc>
          <w:tcPr>
            <w:tcW w:w="1380" w:type="dxa"/>
            <w:vAlign w:val="bottom"/>
          </w:tcPr>
          <w:p>
            <w:pPr>
              <w:jc w:val="right"/>
              <w:ind w:right="29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30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Fiscal year 2016</w:t>
            </w:r>
          </w:p>
        </w:tc>
        <w:tc>
          <w:tcPr>
            <w:tcW w:w="16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060" w:type="dxa"/>
            <w:vAlign w:val="bottom"/>
          </w:tcPr>
          <w:p>
            <w:pPr>
              <w:ind w:left="40"/>
              <w:spacing w:after="0"/>
              <w:rPr>
                <w:sz w:val="20"/>
                <w:szCs w:val="20"/>
                <w:color w:val="auto"/>
              </w:rPr>
            </w:pPr>
            <w:r>
              <w:rPr>
                <w:rFonts w:ascii="Arial" w:cs="Arial" w:eastAsia="Arial" w:hAnsi="Arial"/>
                <w:sz w:val="16"/>
                <w:szCs w:val="16"/>
                <w:color w:val="auto"/>
              </w:rPr>
              <w:t>Net sales</w:t>
            </w:r>
          </w:p>
        </w:tc>
        <w:tc>
          <w:tcPr>
            <w:tcW w:w="1680" w:type="dxa"/>
            <w:vAlign w:val="bottom"/>
          </w:tcPr>
          <w:p>
            <w:pPr>
              <w:jc w:val="right"/>
              <w:ind w:right="479"/>
              <w:spacing w:after="0"/>
              <w:rPr>
                <w:sz w:val="20"/>
                <w:szCs w:val="20"/>
                <w:color w:val="auto"/>
              </w:rPr>
            </w:pPr>
            <w:r>
              <w:rPr>
                <w:rFonts w:ascii="Arial" w:cs="Arial" w:eastAsia="Arial" w:hAnsi="Arial"/>
                <w:sz w:val="16"/>
                <w:szCs w:val="16"/>
                <w:b w:val="1"/>
                <w:bCs w:val="1"/>
                <w:color w:val="auto"/>
              </w:rPr>
              <w:t>$3,192</w:t>
            </w:r>
          </w:p>
        </w:tc>
        <w:tc>
          <w:tcPr>
            <w:tcW w:w="1760" w:type="dxa"/>
            <w:vAlign w:val="bottom"/>
          </w:tcPr>
          <w:p>
            <w:pPr>
              <w:jc w:val="right"/>
              <w:ind w:right="479"/>
              <w:spacing w:after="0"/>
              <w:rPr>
                <w:sz w:val="20"/>
                <w:szCs w:val="20"/>
                <w:color w:val="auto"/>
              </w:rPr>
            </w:pPr>
            <w:r>
              <w:rPr>
                <w:rFonts w:ascii="Arial" w:cs="Arial" w:eastAsia="Arial" w:hAnsi="Arial"/>
                <w:sz w:val="16"/>
                <w:szCs w:val="16"/>
                <w:b w:val="1"/>
                <w:bCs w:val="1"/>
                <w:color w:val="auto"/>
              </w:rPr>
              <w:t>$3,592</w:t>
            </w:r>
          </w:p>
        </w:tc>
        <w:tc>
          <w:tcPr>
            <w:tcW w:w="1680" w:type="dxa"/>
            <w:vAlign w:val="bottom"/>
          </w:tcPr>
          <w:p>
            <w:pPr>
              <w:jc w:val="right"/>
              <w:ind w:right="419"/>
              <w:spacing w:after="0"/>
              <w:rPr>
                <w:sz w:val="20"/>
                <w:szCs w:val="20"/>
                <w:color w:val="auto"/>
              </w:rPr>
            </w:pPr>
            <w:r>
              <w:rPr>
                <w:rFonts w:ascii="Arial" w:cs="Arial" w:eastAsia="Arial" w:hAnsi="Arial"/>
                <w:sz w:val="16"/>
                <w:szCs w:val="16"/>
                <w:b w:val="1"/>
                <w:bCs w:val="1"/>
                <w:color w:val="auto"/>
              </w:rPr>
              <w:t>$3,472</w:t>
            </w:r>
          </w:p>
        </w:tc>
        <w:tc>
          <w:tcPr>
            <w:tcW w:w="1860" w:type="dxa"/>
            <w:vAlign w:val="bottom"/>
          </w:tcPr>
          <w:p>
            <w:pPr>
              <w:jc w:val="right"/>
              <w:ind w:right="599"/>
              <w:spacing w:after="0"/>
              <w:rPr>
                <w:sz w:val="20"/>
                <w:szCs w:val="20"/>
                <w:color w:val="auto"/>
              </w:rPr>
            </w:pPr>
            <w:r>
              <w:rPr>
                <w:rFonts w:ascii="Arial" w:cs="Arial" w:eastAsia="Arial" w:hAnsi="Arial"/>
                <w:sz w:val="16"/>
                <w:szCs w:val="16"/>
                <w:b w:val="1"/>
                <w:bCs w:val="1"/>
                <w:color w:val="auto"/>
              </w:rPr>
              <w:t>$4,243</w:t>
            </w:r>
          </w:p>
        </w:tc>
        <w:tc>
          <w:tcPr>
            <w:tcW w:w="1380" w:type="dxa"/>
            <w:vAlign w:val="bottom"/>
          </w:tcPr>
          <w:p>
            <w:pPr>
              <w:jc w:val="right"/>
              <w:ind w:right="299"/>
              <w:spacing w:after="0"/>
              <w:rPr>
                <w:sz w:val="20"/>
                <w:szCs w:val="20"/>
                <w:color w:val="auto"/>
              </w:rPr>
            </w:pPr>
            <w:r>
              <w:rPr>
                <w:rFonts w:ascii="Arial" w:cs="Arial" w:eastAsia="Arial" w:hAnsi="Arial"/>
                <w:sz w:val="16"/>
                <w:szCs w:val="16"/>
                <w:b w:val="1"/>
                <w:bCs w:val="1"/>
                <w:color w:val="auto"/>
              </w:rPr>
              <w:t>$14,498</w:t>
            </w:r>
          </w:p>
        </w:tc>
        <w:tc>
          <w:tcPr>
            <w:tcW w:w="0" w:type="dxa"/>
            <w:vAlign w:val="bottom"/>
          </w:tcPr>
          <w:p>
            <w:pPr>
              <w:spacing w:after="0"/>
              <w:rPr>
                <w:sz w:val="1"/>
                <w:szCs w:val="1"/>
                <w:color w:val="auto"/>
              </w:rPr>
            </w:pPr>
          </w:p>
        </w:tc>
      </w:tr>
      <w:tr>
        <w:trPr>
          <w:trHeight w:val="33"/>
        </w:trPr>
        <w:tc>
          <w:tcPr>
            <w:tcW w:w="30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Comparable sales (decrease) increase</w:t>
            </w:r>
            <w:r>
              <w:rPr>
                <w:rFonts w:ascii="Arial" w:cs="Arial" w:eastAsia="Arial" w:hAnsi="Arial"/>
                <w:sz w:val="21"/>
                <w:szCs w:val="21"/>
                <w:color w:val="auto"/>
                <w:vertAlign w:val="superscript"/>
              </w:rPr>
              <w:t>2</w:t>
            </w:r>
          </w:p>
        </w:tc>
        <w:tc>
          <w:tcPr>
            <w:tcW w:w="1680" w:type="dxa"/>
            <w:vAlign w:val="bottom"/>
            <w:shd w:val="clear" w:color="auto" w:fill="CCEEFF"/>
          </w:tcPr>
          <w:p>
            <w:pPr>
              <w:jc w:val="right"/>
              <w:ind w:right="259"/>
              <w:spacing w:after="0"/>
              <w:rPr>
                <w:sz w:val="20"/>
                <w:szCs w:val="20"/>
                <w:color w:val="auto"/>
              </w:rPr>
            </w:pPr>
            <w:r>
              <w:rPr>
                <w:rFonts w:ascii="Arial" w:cs="Arial" w:eastAsia="Arial" w:hAnsi="Arial"/>
                <w:sz w:val="16"/>
                <w:szCs w:val="16"/>
                <w:b w:val="1"/>
                <w:bCs w:val="1"/>
                <w:color w:val="auto"/>
              </w:rPr>
              <w:t>(1.7%)</w:t>
            </w:r>
          </w:p>
        </w:tc>
        <w:tc>
          <w:tcPr>
            <w:tcW w:w="1760" w:type="dxa"/>
            <w:vAlign w:val="bottom"/>
            <w:shd w:val="clear" w:color="auto" w:fill="CCEEFF"/>
          </w:tcPr>
          <w:p>
            <w:pPr>
              <w:jc w:val="right"/>
              <w:ind w:right="259"/>
              <w:spacing w:after="0"/>
              <w:rPr>
                <w:sz w:val="20"/>
                <w:szCs w:val="20"/>
                <w:color w:val="auto"/>
              </w:rPr>
            </w:pPr>
            <w:r>
              <w:rPr>
                <w:rFonts w:ascii="Arial" w:cs="Arial" w:eastAsia="Arial" w:hAnsi="Arial"/>
                <w:sz w:val="16"/>
                <w:szCs w:val="16"/>
                <w:b w:val="1"/>
                <w:bCs w:val="1"/>
                <w:color w:val="auto"/>
              </w:rPr>
              <w:t>(1.2%)</w:t>
            </w:r>
          </w:p>
        </w:tc>
        <w:tc>
          <w:tcPr>
            <w:tcW w:w="1680" w:type="dxa"/>
            <w:vAlign w:val="bottom"/>
            <w:shd w:val="clear" w:color="auto" w:fill="CCEEFF"/>
          </w:tcPr>
          <w:p>
            <w:pPr>
              <w:jc w:val="right"/>
              <w:ind w:right="259"/>
              <w:spacing w:after="0"/>
              <w:rPr>
                <w:sz w:val="20"/>
                <w:szCs w:val="20"/>
                <w:color w:val="auto"/>
              </w:rPr>
            </w:pPr>
            <w:r>
              <w:rPr>
                <w:rFonts w:ascii="Arial" w:cs="Arial" w:eastAsia="Arial" w:hAnsi="Arial"/>
                <w:sz w:val="16"/>
                <w:szCs w:val="16"/>
                <w:b w:val="1"/>
                <w:bCs w:val="1"/>
                <w:color w:val="auto"/>
              </w:rPr>
              <w:t>2.4%</w:t>
            </w:r>
          </w:p>
        </w:tc>
        <w:tc>
          <w:tcPr>
            <w:tcW w:w="1860" w:type="dxa"/>
            <w:vAlign w:val="bottom"/>
            <w:shd w:val="clear" w:color="auto" w:fill="CCEEFF"/>
          </w:tcPr>
          <w:p>
            <w:pPr>
              <w:jc w:val="right"/>
              <w:ind w:right="379"/>
              <w:spacing w:after="0"/>
              <w:rPr>
                <w:sz w:val="20"/>
                <w:szCs w:val="20"/>
                <w:color w:val="auto"/>
              </w:rPr>
            </w:pPr>
            <w:r>
              <w:rPr>
                <w:rFonts w:ascii="Arial" w:cs="Arial" w:eastAsia="Arial" w:hAnsi="Arial"/>
                <w:sz w:val="16"/>
                <w:szCs w:val="16"/>
                <w:b w:val="1"/>
                <w:bCs w:val="1"/>
                <w:color w:val="auto"/>
              </w:rPr>
              <w:t>(0.9%)</w:t>
            </w:r>
          </w:p>
        </w:tc>
        <w:tc>
          <w:tcPr>
            <w:tcW w:w="138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(0.4%)</w:t>
            </w:r>
          </w:p>
        </w:tc>
        <w:tc>
          <w:tcPr>
            <w:tcW w:w="0" w:type="dxa"/>
            <w:vAlign w:val="bottom"/>
          </w:tcPr>
          <w:p>
            <w:pPr>
              <w:spacing w:after="0"/>
              <w:rPr>
                <w:sz w:val="1"/>
                <w:szCs w:val="1"/>
                <w:color w:val="auto"/>
              </w:rPr>
            </w:pPr>
          </w:p>
        </w:tc>
      </w:tr>
      <w:tr>
        <w:trPr>
          <w:trHeight w:val="237"/>
        </w:trPr>
        <w:tc>
          <w:tcPr>
            <w:tcW w:w="3060" w:type="dxa"/>
            <w:vAlign w:val="bottom"/>
          </w:tcPr>
          <w:p>
            <w:pPr>
              <w:ind w:left="40"/>
              <w:spacing w:after="0"/>
              <w:rPr>
                <w:sz w:val="20"/>
                <w:szCs w:val="20"/>
                <w:color w:val="auto"/>
              </w:rPr>
            </w:pPr>
            <w:r>
              <w:rPr>
                <w:rFonts w:ascii="Arial" w:cs="Arial" w:eastAsia="Arial" w:hAnsi="Arial"/>
                <w:sz w:val="16"/>
                <w:szCs w:val="16"/>
                <w:color w:val="auto"/>
              </w:rPr>
              <w:t>Credit card revenues, net</w:t>
            </w:r>
          </w:p>
        </w:tc>
        <w:tc>
          <w:tcPr>
            <w:tcW w:w="1680" w:type="dxa"/>
            <w:vAlign w:val="bottom"/>
          </w:tcPr>
          <w:p>
            <w:pPr>
              <w:jc w:val="right"/>
              <w:ind w:right="479"/>
              <w:spacing w:after="0"/>
              <w:rPr>
                <w:sz w:val="20"/>
                <w:szCs w:val="20"/>
                <w:color w:val="auto"/>
              </w:rPr>
            </w:pPr>
            <w:r>
              <w:rPr>
                <w:rFonts w:ascii="Arial" w:cs="Arial" w:eastAsia="Arial" w:hAnsi="Arial"/>
                <w:sz w:val="16"/>
                <w:szCs w:val="16"/>
                <w:b w:val="1"/>
                <w:bCs w:val="1"/>
                <w:color w:val="auto"/>
              </w:rPr>
              <w:t>57</w:t>
            </w:r>
          </w:p>
        </w:tc>
        <w:tc>
          <w:tcPr>
            <w:tcW w:w="1760" w:type="dxa"/>
            <w:vAlign w:val="bottom"/>
          </w:tcPr>
          <w:p>
            <w:pPr>
              <w:jc w:val="right"/>
              <w:ind w:right="479"/>
              <w:spacing w:after="0"/>
              <w:rPr>
                <w:sz w:val="20"/>
                <w:szCs w:val="20"/>
                <w:color w:val="auto"/>
              </w:rPr>
            </w:pPr>
            <w:r>
              <w:rPr>
                <w:rFonts w:ascii="Arial" w:cs="Arial" w:eastAsia="Arial" w:hAnsi="Arial"/>
                <w:sz w:val="16"/>
                <w:szCs w:val="16"/>
                <w:b w:val="1"/>
                <w:bCs w:val="1"/>
                <w:color w:val="auto"/>
              </w:rPr>
              <w:t>59</w:t>
            </w:r>
          </w:p>
        </w:tc>
        <w:tc>
          <w:tcPr>
            <w:tcW w:w="1680" w:type="dxa"/>
            <w:vAlign w:val="bottom"/>
          </w:tcPr>
          <w:p>
            <w:pPr>
              <w:jc w:val="right"/>
              <w:ind w:right="419"/>
              <w:spacing w:after="0"/>
              <w:rPr>
                <w:sz w:val="20"/>
                <w:szCs w:val="20"/>
                <w:color w:val="auto"/>
              </w:rPr>
            </w:pPr>
            <w:r>
              <w:rPr>
                <w:rFonts w:ascii="Arial" w:cs="Arial" w:eastAsia="Arial" w:hAnsi="Arial"/>
                <w:sz w:val="16"/>
                <w:szCs w:val="16"/>
                <w:b w:val="1"/>
                <w:bCs w:val="1"/>
                <w:color w:val="auto"/>
              </w:rPr>
              <w:t>70</w:t>
            </w:r>
          </w:p>
        </w:tc>
        <w:tc>
          <w:tcPr>
            <w:tcW w:w="1860" w:type="dxa"/>
            <w:vAlign w:val="bottom"/>
          </w:tcPr>
          <w:p>
            <w:pPr>
              <w:jc w:val="right"/>
              <w:ind w:right="599"/>
              <w:spacing w:after="0"/>
              <w:rPr>
                <w:sz w:val="20"/>
                <w:szCs w:val="20"/>
                <w:color w:val="auto"/>
              </w:rPr>
            </w:pPr>
            <w:r>
              <w:rPr>
                <w:rFonts w:ascii="Arial" w:cs="Arial" w:eastAsia="Arial" w:hAnsi="Arial"/>
                <w:sz w:val="16"/>
                <w:szCs w:val="16"/>
                <w:b w:val="1"/>
                <w:bCs w:val="1"/>
                <w:color w:val="auto"/>
              </w:rPr>
              <w:t>73</w:t>
            </w:r>
          </w:p>
        </w:tc>
        <w:tc>
          <w:tcPr>
            <w:tcW w:w="1380" w:type="dxa"/>
            <w:vAlign w:val="bottom"/>
          </w:tcPr>
          <w:p>
            <w:pPr>
              <w:jc w:val="right"/>
              <w:ind w:right="299"/>
              <w:spacing w:after="0"/>
              <w:rPr>
                <w:sz w:val="20"/>
                <w:szCs w:val="20"/>
                <w:color w:val="auto"/>
              </w:rPr>
            </w:pPr>
            <w:r>
              <w:rPr>
                <w:rFonts w:ascii="Arial" w:cs="Arial" w:eastAsia="Arial" w:hAnsi="Arial"/>
                <w:sz w:val="16"/>
                <w:szCs w:val="16"/>
                <w:b w:val="1"/>
                <w:bCs w:val="1"/>
                <w:color w:val="auto"/>
              </w:rPr>
              <w:t>259</w:t>
            </w:r>
          </w:p>
        </w:tc>
        <w:tc>
          <w:tcPr>
            <w:tcW w:w="0" w:type="dxa"/>
            <w:vAlign w:val="bottom"/>
          </w:tcPr>
          <w:p>
            <w:pPr>
              <w:spacing w:after="0"/>
              <w:rPr>
                <w:sz w:val="1"/>
                <w:szCs w:val="1"/>
                <w:color w:val="auto"/>
              </w:rPr>
            </w:pPr>
          </w:p>
        </w:tc>
      </w:tr>
      <w:tr>
        <w:trPr>
          <w:trHeight w:val="33"/>
        </w:trPr>
        <w:tc>
          <w:tcPr>
            <w:tcW w:w="30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168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b w:val="1"/>
                <w:bCs w:val="1"/>
                <w:color w:val="auto"/>
              </w:rPr>
              <w:t>1,092</w:t>
            </w:r>
          </w:p>
        </w:tc>
        <w:tc>
          <w:tcPr>
            <w:tcW w:w="176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b w:val="1"/>
                <w:bCs w:val="1"/>
                <w:color w:val="auto"/>
              </w:rPr>
              <w:t>1,233</w:t>
            </w:r>
          </w:p>
        </w:tc>
        <w:tc>
          <w:tcPr>
            <w:tcW w:w="168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b w:val="1"/>
                <w:bCs w:val="1"/>
                <w:color w:val="auto"/>
              </w:rPr>
              <w:t>1,211</w:t>
            </w:r>
          </w:p>
        </w:tc>
        <w:tc>
          <w:tcPr>
            <w:tcW w:w="1860" w:type="dxa"/>
            <w:vAlign w:val="bottom"/>
            <w:tcBorders>
              <w:bottom w:val="single" w:sz="8" w:color="CCEEFF"/>
            </w:tcBorders>
            <w:shd w:val="clear" w:color="auto" w:fill="CCEEFF"/>
          </w:tcPr>
          <w:p>
            <w:pPr>
              <w:jc w:val="right"/>
              <w:ind w:right="599"/>
              <w:spacing w:after="0"/>
              <w:rPr>
                <w:sz w:val="20"/>
                <w:szCs w:val="20"/>
                <w:color w:val="auto"/>
              </w:rPr>
            </w:pPr>
            <w:r>
              <w:rPr>
                <w:rFonts w:ascii="Arial" w:cs="Arial" w:eastAsia="Arial" w:hAnsi="Arial"/>
                <w:sz w:val="16"/>
                <w:szCs w:val="16"/>
                <w:b w:val="1"/>
                <w:bCs w:val="1"/>
                <w:color w:val="auto"/>
              </w:rPr>
              <w:t>1,523</w:t>
            </w:r>
          </w:p>
        </w:tc>
        <w:tc>
          <w:tcPr>
            <w:tcW w:w="138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b w:val="1"/>
                <w:bCs w:val="1"/>
                <w:color w:val="auto"/>
              </w:rPr>
              <w:t>5,058</w:t>
            </w:r>
          </w:p>
        </w:tc>
        <w:tc>
          <w:tcPr>
            <w:tcW w:w="0" w:type="dxa"/>
            <w:vAlign w:val="bottom"/>
          </w:tcPr>
          <w:p>
            <w:pPr>
              <w:spacing w:after="0"/>
              <w:rPr>
                <w:sz w:val="1"/>
                <w:szCs w:val="1"/>
                <w:color w:val="auto"/>
              </w:rPr>
            </w:pPr>
          </w:p>
        </w:tc>
      </w:tr>
      <w:tr>
        <w:trPr>
          <w:trHeight w:val="220"/>
        </w:trPr>
        <w:tc>
          <w:tcPr>
            <w:tcW w:w="3060" w:type="dxa"/>
            <w:vAlign w:val="bottom"/>
          </w:tcPr>
          <w:p>
            <w:pPr>
              <w:ind w:left="40"/>
              <w:spacing w:after="0"/>
              <w:rPr>
                <w:sz w:val="20"/>
                <w:szCs w:val="20"/>
                <w:color w:val="auto"/>
              </w:rPr>
            </w:pPr>
            <w:r>
              <w:rPr>
                <w:rFonts w:ascii="Arial" w:cs="Arial" w:eastAsia="Arial" w:hAnsi="Arial"/>
                <w:sz w:val="16"/>
                <w:szCs w:val="16"/>
                <w:color w:val="auto"/>
              </w:rPr>
              <w:t>Selling, general and administrative</w:t>
            </w:r>
          </w:p>
        </w:tc>
        <w:tc>
          <w:tcPr>
            <w:tcW w:w="1680" w:type="dxa"/>
            <w:vAlign w:val="bottom"/>
            <w:vMerge w:val="restart"/>
          </w:tcPr>
          <w:p>
            <w:pPr>
              <w:jc w:val="right"/>
              <w:ind w:right="419"/>
              <w:spacing w:after="0"/>
              <w:rPr>
                <w:sz w:val="20"/>
                <w:szCs w:val="20"/>
                <w:color w:val="auto"/>
              </w:rPr>
            </w:pPr>
            <w:r>
              <w:rPr>
                <w:rFonts w:ascii="Arial" w:cs="Arial" w:eastAsia="Arial" w:hAnsi="Arial"/>
                <w:sz w:val="16"/>
                <w:szCs w:val="16"/>
                <w:b w:val="1"/>
                <w:bCs w:val="1"/>
                <w:color w:val="auto"/>
              </w:rPr>
              <w:t>(1,043)</w:t>
            </w:r>
          </w:p>
        </w:tc>
        <w:tc>
          <w:tcPr>
            <w:tcW w:w="1760" w:type="dxa"/>
            <w:vAlign w:val="bottom"/>
            <w:vMerge w:val="restart"/>
          </w:tcPr>
          <w:p>
            <w:pPr>
              <w:jc w:val="right"/>
              <w:ind w:right="419"/>
              <w:spacing w:after="0"/>
              <w:rPr>
                <w:sz w:val="20"/>
                <w:szCs w:val="20"/>
                <w:color w:val="auto"/>
              </w:rPr>
            </w:pPr>
            <w:r>
              <w:rPr>
                <w:rFonts w:ascii="Arial" w:cs="Arial" w:eastAsia="Arial" w:hAnsi="Arial"/>
                <w:sz w:val="16"/>
                <w:szCs w:val="16"/>
                <w:b w:val="1"/>
                <w:bCs w:val="1"/>
                <w:color w:val="auto"/>
              </w:rPr>
              <w:t>(1,071)</w:t>
            </w:r>
          </w:p>
        </w:tc>
        <w:tc>
          <w:tcPr>
            <w:tcW w:w="1680" w:type="dxa"/>
            <w:vAlign w:val="bottom"/>
            <w:vMerge w:val="restart"/>
          </w:tcPr>
          <w:p>
            <w:pPr>
              <w:jc w:val="right"/>
              <w:ind w:right="359"/>
              <w:spacing w:after="0"/>
              <w:rPr>
                <w:sz w:val="20"/>
                <w:szCs w:val="20"/>
                <w:color w:val="auto"/>
              </w:rPr>
            </w:pPr>
            <w:r>
              <w:rPr>
                <w:rFonts w:ascii="Arial" w:cs="Arial" w:eastAsia="Arial" w:hAnsi="Arial"/>
                <w:sz w:val="16"/>
                <w:szCs w:val="16"/>
                <w:b w:val="1"/>
                <w:bCs w:val="1"/>
                <w:color w:val="auto"/>
              </w:rPr>
              <w:t>(1,029)</w:t>
            </w:r>
          </w:p>
        </w:tc>
        <w:tc>
          <w:tcPr>
            <w:tcW w:w="1860" w:type="dxa"/>
            <w:vAlign w:val="bottom"/>
            <w:vMerge w:val="restart"/>
          </w:tcPr>
          <w:p>
            <w:pPr>
              <w:jc w:val="right"/>
              <w:ind w:right="539"/>
              <w:spacing w:after="0"/>
              <w:rPr>
                <w:sz w:val="20"/>
                <w:szCs w:val="20"/>
                <w:color w:val="auto"/>
              </w:rPr>
            </w:pPr>
            <w:r>
              <w:rPr>
                <w:rFonts w:ascii="Arial" w:cs="Arial" w:eastAsia="Arial" w:hAnsi="Arial"/>
                <w:sz w:val="16"/>
                <w:szCs w:val="16"/>
                <w:b w:val="1"/>
                <w:bCs w:val="1"/>
                <w:color w:val="auto"/>
              </w:rPr>
              <w:t>(1,172)</w:t>
            </w:r>
          </w:p>
        </w:tc>
        <w:tc>
          <w:tcPr>
            <w:tcW w:w="1380" w:type="dxa"/>
            <w:vAlign w:val="bottom"/>
            <w:vMerge w:val="restart"/>
          </w:tcPr>
          <w:p>
            <w:pPr>
              <w:jc w:val="right"/>
              <w:ind w:right="239"/>
              <w:spacing w:after="0"/>
              <w:rPr>
                <w:sz w:val="20"/>
                <w:szCs w:val="20"/>
                <w:color w:val="auto"/>
              </w:rPr>
            </w:pPr>
            <w:r>
              <w:rPr>
                <w:rFonts w:ascii="Arial" w:cs="Arial" w:eastAsia="Arial" w:hAnsi="Arial"/>
                <w:sz w:val="16"/>
                <w:szCs w:val="16"/>
                <w:b w:val="1"/>
                <w:bCs w:val="1"/>
                <w:color w:val="auto"/>
              </w:rPr>
              <w:t>(4,315)</w:t>
            </w:r>
          </w:p>
        </w:tc>
        <w:tc>
          <w:tcPr>
            <w:tcW w:w="0" w:type="dxa"/>
            <w:vAlign w:val="bottom"/>
          </w:tcPr>
          <w:p>
            <w:pPr>
              <w:spacing w:after="0"/>
              <w:rPr>
                <w:sz w:val="1"/>
                <w:szCs w:val="1"/>
                <w:color w:val="auto"/>
              </w:rPr>
            </w:pPr>
          </w:p>
        </w:tc>
      </w:tr>
      <w:tr>
        <w:trPr>
          <w:trHeight w:val="206"/>
        </w:trPr>
        <w:tc>
          <w:tcPr>
            <w:tcW w:w="3060" w:type="dxa"/>
            <w:vAlign w:val="bottom"/>
          </w:tcPr>
          <w:p>
            <w:pPr>
              <w:ind w:left="40"/>
              <w:spacing w:after="0"/>
              <w:rPr>
                <w:sz w:val="20"/>
                <w:szCs w:val="20"/>
                <w:color w:val="auto"/>
              </w:rPr>
            </w:pPr>
            <w:r>
              <w:rPr>
                <w:rFonts w:ascii="Arial" w:cs="Arial" w:eastAsia="Arial" w:hAnsi="Arial"/>
                <w:sz w:val="16"/>
                <w:szCs w:val="16"/>
                <w:color w:val="auto"/>
              </w:rPr>
              <w:t>expenses</w:t>
            </w:r>
          </w:p>
        </w:tc>
        <w:tc>
          <w:tcPr>
            <w:tcW w:w="1680" w:type="dxa"/>
            <w:vAlign w:val="bottom"/>
            <w:vMerge w:val="continue"/>
          </w:tcPr>
          <w:p>
            <w:pPr>
              <w:spacing w:after="0"/>
              <w:rPr>
                <w:sz w:val="17"/>
                <w:szCs w:val="17"/>
                <w:color w:val="auto"/>
              </w:rPr>
            </w:pPr>
          </w:p>
        </w:tc>
        <w:tc>
          <w:tcPr>
            <w:tcW w:w="1760" w:type="dxa"/>
            <w:vAlign w:val="bottom"/>
            <w:vMerge w:val="continue"/>
          </w:tcPr>
          <w:p>
            <w:pPr>
              <w:spacing w:after="0"/>
              <w:rPr>
                <w:sz w:val="17"/>
                <w:szCs w:val="17"/>
                <w:color w:val="auto"/>
              </w:rPr>
            </w:pPr>
          </w:p>
        </w:tc>
        <w:tc>
          <w:tcPr>
            <w:tcW w:w="1680" w:type="dxa"/>
            <w:vAlign w:val="bottom"/>
            <w:vMerge w:val="continue"/>
          </w:tcPr>
          <w:p>
            <w:pPr>
              <w:spacing w:after="0"/>
              <w:rPr>
                <w:sz w:val="17"/>
                <w:szCs w:val="17"/>
                <w:color w:val="auto"/>
              </w:rPr>
            </w:pPr>
          </w:p>
        </w:tc>
        <w:tc>
          <w:tcPr>
            <w:tcW w:w="1860" w:type="dxa"/>
            <w:vAlign w:val="bottom"/>
            <w:vMerge w:val="continue"/>
          </w:tcPr>
          <w:p>
            <w:pPr>
              <w:spacing w:after="0"/>
              <w:rPr>
                <w:sz w:val="17"/>
                <w:szCs w:val="17"/>
                <w:color w:val="auto"/>
              </w:rPr>
            </w:pPr>
          </w:p>
        </w:tc>
        <w:tc>
          <w:tcPr>
            <w:tcW w:w="13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30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Goodwill impairment</w:t>
            </w:r>
          </w:p>
        </w:tc>
        <w:tc>
          <w:tcPr>
            <w:tcW w:w="168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b w:val="1"/>
                <w:bCs w:val="1"/>
                <w:color w:val="auto"/>
              </w:rPr>
              <w:t>—</w:t>
            </w:r>
          </w:p>
        </w:tc>
        <w:tc>
          <w:tcPr>
            <w:tcW w:w="176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b w:val="1"/>
                <w:bCs w:val="1"/>
                <w:color w:val="auto"/>
              </w:rPr>
              <w:t>—</w:t>
            </w:r>
          </w:p>
        </w:tc>
        <w:tc>
          <w:tcPr>
            <w:tcW w:w="168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b w:val="1"/>
                <w:bCs w:val="1"/>
                <w:color w:val="auto"/>
              </w:rPr>
              <w:t>(197)</w:t>
            </w:r>
          </w:p>
        </w:tc>
        <w:tc>
          <w:tcPr>
            <w:tcW w:w="1860" w:type="dxa"/>
            <w:vAlign w:val="bottom"/>
            <w:tcBorders>
              <w:bottom w:val="single" w:sz="8" w:color="CCEEFF"/>
            </w:tcBorders>
            <w:shd w:val="clear" w:color="auto" w:fill="CCEEFF"/>
          </w:tcPr>
          <w:p>
            <w:pPr>
              <w:jc w:val="right"/>
              <w:ind w:right="599"/>
              <w:spacing w:after="0"/>
              <w:rPr>
                <w:sz w:val="20"/>
                <w:szCs w:val="20"/>
                <w:color w:val="auto"/>
              </w:rPr>
            </w:pPr>
            <w:r>
              <w:rPr>
                <w:rFonts w:ascii="Arial" w:cs="Arial" w:eastAsia="Arial" w:hAnsi="Arial"/>
                <w:sz w:val="16"/>
                <w:szCs w:val="16"/>
                <w:b w:val="1"/>
                <w:bCs w:val="1"/>
                <w:color w:val="auto"/>
              </w:rPr>
              <w:t>—</w:t>
            </w:r>
          </w:p>
        </w:tc>
        <w:tc>
          <w:tcPr>
            <w:tcW w:w="138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b w:val="1"/>
                <w:bCs w:val="1"/>
                <w:color w:val="auto"/>
              </w:rPr>
              <w:t>(197)</w:t>
            </w:r>
          </w:p>
        </w:tc>
        <w:tc>
          <w:tcPr>
            <w:tcW w:w="0" w:type="dxa"/>
            <w:vAlign w:val="bottom"/>
          </w:tcPr>
          <w:p>
            <w:pPr>
              <w:spacing w:after="0"/>
              <w:rPr>
                <w:sz w:val="1"/>
                <w:szCs w:val="1"/>
                <w:color w:val="auto"/>
              </w:rPr>
            </w:pPr>
          </w:p>
        </w:tc>
      </w:tr>
      <w:tr>
        <w:trPr>
          <w:trHeight w:val="237"/>
        </w:trPr>
        <w:tc>
          <w:tcPr>
            <w:tcW w:w="3060" w:type="dxa"/>
            <w:vAlign w:val="bottom"/>
          </w:tcPr>
          <w:p>
            <w:pPr>
              <w:ind w:left="40"/>
              <w:spacing w:after="0"/>
              <w:rPr>
                <w:sz w:val="20"/>
                <w:szCs w:val="20"/>
                <w:color w:val="auto"/>
              </w:rPr>
            </w:pPr>
            <w:r>
              <w:rPr>
                <w:rFonts w:ascii="Arial" w:cs="Arial" w:eastAsia="Arial" w:hAnsi="Arial"/>
                <w:sz w:val="16"/>
                <w:szCs w:val="16"/>
                <w:color w:val="auto"/>
              </w:rPr>
              <w:t>Earnings before interest and income taxes</w:t>
            </w:r>
          </w:p>
        </w:tc>
        <w:tc>
          <w:tcPr>
            <w:tcW w:w="1680" w:type="dxa"/>
            <w:vAlign w:val="bottom"/>
          </w:tcPr>
          <w:p>
            <w:pPr>
              <w:jc w:val="right"/>
              <w:ind w:right="479"/>
              <w:spacing w:after="0"/>
              <w:rPr>
                <w:sz w:val="20"/>
                <w:szCs w:val="20"/>
                <w:color w:val="auto"/>
              </w:rPr>
            </w:pPr>
            <w:r>
              <w:rPr>
                <w:rFonts w:ascii="Arial" w:cs="Arial" w:eastAsia="Arial" w:hAnsi="Arial"/>
                <w:sz w:val="16"/>
                <w:szCs w:val="16"/>
                <w:b w:val="1"/>
                <w:bCs w:val="1"/>
                <w:color w:val="auto"/>
              </w:rPr>
              <w:t>106</w:t>
            </w:r>
          </w:p>
        </w:tc>
        <w:tc>
          <w:tcPr>
            <w:tcW w:w="1760" w:type="dxa"/>
            <w:vAlign w:val="bottom"/>
          </w:tcPr>
          <w:p>
            <w:pPr>
              <w:jc w:val="right"/>
              <w:ind w:right="479"/>
              <w:spacing w:after="0"/>
              <w:rPr>
                <w:sz w:val="20"/>
                <w:szCs w:val="20"/>
                <w:color w:val="auto"/>
              </w:rPr>
            </w:pPr>
            <w:r>
              <w:rPr>
                <w:rFonts w:ascii="Arial" w:cs="Arial" w:eastAsia="Arial" w:hAnsi="Arial"/>
                <w:sz w:val="16"/>
                <w:szCs w:val="16"/>
                <w:b w:val="1"/>
                <w:bCs w:val="1"/>
                <w:color w:val="auto"/>
              </w:rPr>
              <w:t>221</w:t>
            </w:r>
          </w:p>
        </w:tc>
        <w:tc>
          <w:tcPr>
            <w:tcW w:w="1680" w:type="dxa"/>
            <w:vAlign w:val="bottom"/>
          </w:tcPr>
          <w:p>
            <w:pPr>
              <w:jc w:val="right"/>
              <w:ind w:right="419"/>
              <w:spacing w:after="0"/>
              <w:rPr>
                <w:sz w:val="20"/>
                <w:szCs w:val="20"/>
                <w:color w:val="auto"/>
              </w:rPr>
            </w:pPr>
            <w:r>
              <w:rPr>
                <w:rFonts w:ascii="Arial" w:cs="Arial" w:eastAsia="Arial" w:hAnsi="Arial"/>
                <w:sz w:val="16"/>
                <w:szCs w:val="16"/>
                <w:b w:val="1"/>
                <w:bCs w:val="1"/>
                <w:color w:val="auto"/>
              </w:rPr>
              <w:t>55</w:t>
            </w:r>
          </w:p>
        </w:tc>
        <w:tc>
          <w:tcPr>
            <w:tcW w:w="1860" w:type="dxa"/>
            <w:vAlign w:val="bottom"/>
          </w:tcPr>
          <w:p>
            <w:pPr>
              <w:jc w:val="right"/>
              <w:ind w:right="599"/>
              <w:spacing w:after="0"/>
              <w:rPr>
                <w:sz w:val="20"/>
                <w:szCs w:val="20"/>
                <w:color w:val="auto"/>
              </w:rPr>
            </w:pPr>
            <w:r>
              <w:rPr>
                <w:rFonts w:ascii="Arial" w:cs="Arial" w:eastAsia="Arial" w:hAnsi="Arial"/>
                <w:sz w:val="16"/>
                <w:szCs w:val="16"/>
                <w:b w:val="1"/>
                <w:bCs w:val="1"/>
                <w:color w:val="auto"/>
              </w:rPr>
              <w:t>424</w:t>
            </w:r>
          </w:p>
        </w:tc>
        <w:tc>
          <w:tcPr>
            <w:tcW w:w="1380" w:type="dxa"/>
            <w:vAlign w:val="bottom"/>
          </w:tcPr>
          <w:p>
            <w:pPr>
              <w:jc w:val="right"/>
              <w:ind w:right="299"/>
              <w:spacing w:after="0"/>
              <w:rPr>
                <w:sz w:val="20"/>
                <w:szCs w:val="20"/>
                <w:color w:val="auto"/>
              </w:rPr>
            </w:pPr>
            <w:r>
              <w:rPr>
                <w:rFonts w:ascii="Arial" w:cs="Arial" w:eastAsia="Arial" w:hAnsi="Arial"/>
                <w:sz w:val="16"/>
                <w:szCs w:val="16"/>
                <w:b w:val="1"/>
                <w:bCs w:val="1"/>
                <w:color w:val="auto"/>
              </w:rPr>
              <w:t>805</w:t>
            </w:r>
          </w:p>
        </w:tc>
        <w:tc>
          <w:tcPr>
            <w:tcW w:w="0" w:type="dxa"/>
            <w:vAlign w:val="bottom"/>
          </w:tcPr>
          <w:p>
            <w:pPr>
              <w:spacing w:after="0"/>
              <w:rPr>
                <w:sz w:val="1"/>
                <w:szCs w:val="1"/>
                <w:color w:val="auto"/>
              </w:rPr>
            </w:pPr>
          </w:p>
        </w:tc>
      </w:tr>
      <w:tr>
        <w:trPr>
          <w:trHeight w:val="33"/>
        </w:trPr>
        <w:tc>
          <w:tcPr>
            <w:tcW w:w="30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earnings (loss)</w:t>
            </w:r>
          </w:p>
        </w:tc>
        <w:tc>
          <w:tcPr>
            <w:tcW w:w="168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b w:val="1"/>
                <w:bCs w:val="1"/>
                <w:color w:val="auto"/>
              </w:rPr>
              <w:t>46</w:t>
            </w:r>
          </w:p>
        </w:tc>
        <w:tc>
          <w:tcPr>
            <w:tcW w:w="176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b w:val="1"/>
                <w:bCs w:val="1"/>
                <w:color w:val="auto"/>
              </w:rPr>
              <w:t>117</w:t>
            </w:r>
          </w:p>
        </w:tc>
        <w:tc>
          <w:tcPr>
            <w:tcW w:w="168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b w:val="1"/>
                <w:bCs w:val="1"/>
                <w:color w:val="auto"/>
              </w:rPr>
              <w:t>(10)</w:t>
            </w:r>
          </w:p>
        </w:tc>
        <w:tc>
          <w:tcPr>
            <w:tcW w:w="1860" w:type="dxa"/>
            <w:vAlign w:val="bottom"/>
            <w:tcBorders>
              <w:bottom w:val="single" w:sz="8" w:color="CCEEFF"/>
            </w:tcBorders>
            <w:shd w:val="clear" w:color="auto" w:fill="CCEEFF"/>
          </w:tcPr>
          <w:p>
            <w:pPr>
              <w:jc w:val="right"/>
              <w:ind w:right="599"/>
              <w:spacing w:after="0"/>
              <w:rPr>
                <w:sz w:val="20"/>
                <w:szCs w:val="20"/>
                <w:color w:val="auto"/>
              </w:rPr>
            </w:pPr>
            <w:r>
              <w:rPr>
                <w:rFonts w:ascii="Arial" w:cs="Arial" w:eastAsia="Arial" w:hAnsi="Arial"/>
                <w:sz w:val="16"/>
                <w:szCs w:val="16"/>
                <w:b w:val="1"/>
                <w:bCs w:val="1"/>
                <w:color w:val="auto"/>
              </w:rPr>
              <w:t>201</w:t>
            </w:r>
          </w:p>
        </w:tc>
        <w:tc>
          <w:tcPr>
            <w:tcW w:w="138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b w:val="1"/>
                <w:bCs w:val="1"/>
                <w:color w:val="auto"/>
              </w:rPr>
              <w:t>354</w:t>
            </w:r>
          </w:p>
        </w:tc>
        <w:tc>
          <w:tcPr>
            <w:tcW w:w="0" w:type="dxa"/>
            <w:vAlign w:val="bottom"/>
          </w:tcPr>
          <w:p>
            <w:pPr>
              <w:spacing w:after="0"/>
              <w:rPr>
                <w:sz w:val="1"/>
                <w:szCs w:val="1"/>
                <w:color w:val="auto"/>
              </w:rPr>
            </w:pPr>
          </w:p>
        </w:tc>
      </w:tr>
      <w:tr>
        <w:trPr>
          <w:trHeight w:val="237"/>
        </w:trPr>
        <w:tc>
          <w:tcPr>
            <w:tcW w:w="3060" w:type="dxa"/>
            <w:vAlign w:val="bottom"/>
          </w:tcPr>
          <w:p>
            <w:pPr>
              <w:ind w:left="40"/>
              <w:spacing w:after="0"/>
              <w:rPr>
                <w:sz w:val="20"/>
                <w:szCs w:val="20"/>
                <w:color w:val="auto"/>
              </w:rPr>
            </w:pPr>
            <w:r>
              <w:rPr>
                <w:rFonts w:ascii="Arial" w:cs="Arial" w:eastAsia="Arial" w:hAnsi="Arial"/>
                <w:sz w:val="16"/>
                <w:szCs w:val="16"/>
                <w:color w:val="auto"/>
              </w:rPr>
              <w:t>Earnings (Loss) per basic share</w:t>
            </w:r>
          </w:p>
        </w:tc>
        <w:tc>
          <w:tcPr>
            <w:tcW w:w="1680" w:type="dxa"/>
            <w:vAlign w:val="bottom"/>
          </w:tcPr>
          <w:p>
            <w:pPr>
              <w:jc w:val="right"/>
              <w:ind w:right="479"/>
              <w:spacing w:after="0"/>
              <w:rPr>
                <w:sz w:val="20"/>
                <w:szCs w:val="20"/>
                <w:color w:val="auto"/>
              </w:rPr>
            </w:pPr>
            <w:r>
              <w:rPr>
                <w:rFonts w:ascii="Arial" w:cs="Arial" w:eastAsia="Arial" w:hAnsi="Arial"/>
                <w:sz w:val="16"/>
                <w:szCs w:val="16"/>
                <w:b w:val="1"/>
                <w:bCs w:val="1"/>
                <w:color w:val="auto"/>
              </w:rPr>
              <w:t>$0.27</w:t>
            </w:r>
          </w:p>
        </w:tc>
        <w:tc>
          <w:tcPr>
            <w:tcW w:w="1760" w:type="dxa"/>
            <w:vAlign w:val="bottom"/>
          </w:tcPr>
          <w:p>
            <w:pPr>
              <w:jc w:val="right"/>
              <w:ind w:right="479"/>
              <w:spacing w:after="0"/>
              <w:rPr>
                <w:sz w:val="20"/>
                <w:szCs w:val="20"/>
                <w:color w:val="auto"/>
              </w:rPr>
            </w:pPr>
            <w:r>
              <w:rPr>
                <w:rFonts w:ascii="Arial" w:cs="Arial" w:eastAsia="Arial" w:hAnsi="Arial"/>
                <w:sz w:val="16"/>
                <w:szCs w:val="16"/>
                <w:b w:val="1"/>
                <w:bCs w:val="1"/>
                <w:color w:val="auto"/>
              </w:rPr>
              <w:t>$0.67</w:t>
            </w:r>
          </w:p>
        </w:tc>
        <w:tc>
          <w:tcPr>
            <w:tcW w:w="1680" w:type="dxa"/>
            <w:vAlign w:val="bottom"/>
          </w:tcPr>
          <w:p>
            <w:pPr>
              <w:jc w:val="right"/>
              <w:ind w:right="359"/>
              <w:spacing w:after="0"/>
              <w:rPr>
                <w:sz w:val="20"/>
                <w:szCs w:val="20"/>
                <w:color w:val="auto"/>
              </w:rPr>
            </w:pPr>
            <w:r>
              <w:rPr>
                <w:rFonts w:ascii="Arial" w:cs="Arial" w:eastAsia="Arial" w:hAnsi="Arial"/>
                <w:sz w:val="16"/>
                <w:szCs w:val="16"/>
                <w:b w:val="1"/>
                <w:bCs w:val="1"/>
                <w:color w:val="auto"/>
              </w:rPr>
              <w:t>($0.06)</w:t>
            </w:r>
          </w:p>
        </w:tc>
        <w:tc>
          <w:tcPr>
            <w:tcW w:w="1860" w:type="dxa"/>
            <w:vAlign w:val="bottom"/>
          </w:tcPr>
          <w:p>
            <w:pPr>
              <w:jc w:val="right"/>
              <w:ind w:right="599"/>
              <w:spacing w:after="0"/>
              <w:rPr>
                <w:sz w:val="20"/>
                <w:szCs w:val="20"/>
                <w:color w:val="auto"/>
              </w:rPr>
            </w:pPr>
            <w:r>
              <w:rPr>
                <w:rFonts w:ascii="Arial" w:cs="Arial" w:eastAsia="Arial" w:hAnsi="Arial"/>
                <w:sz w:val="16"/>
                <w:szCs w:val="16"/>
                <w:b w:val="1"/>
                <w:bCs w:val="1"/>
                <w:color w:val="auto"/>
              </w:rPr>
              <w:t>$1.17</w:t>
            </w:r>
          </w:p>
        </w:tc>
        <w:tc>
          <w:tcPr>
            <w:tcW w:w="1380" w:type="dxa"/>
            <w:vAlign w:val="bottom"/>
          </w:tcPr>
          <w:p>
            <w:pPr>
              <w:jc w:val="right"/>
              <w:ind w:right="299"/>
              <w:spacing w:after="0"/>
              <w:rPr>
                <w:sz w:val="20"/>
                <w:szCs w:val="20"/>
                <w:color w:val="auto"/>
              </w:rPr>
            </w:pPr>
            <w:r>
              <w:rPr>
                <w:rFonts w:ascii="Arial" w:cs="Arial" w:eastAsia="Arial" w:hAnsi="Arial"/>
                <w:sz w:val="16"/>
                <w:szCs w:val="16"/>
                <w:b w:val="1"/>
                <w:bCs w:val="1"/>
                <w:color w:val="auto"/>
              </w:rPr>
              <w:t>$2.05</w:t>
            </w:r>
          </w:p>
        </w:tc>
        <w:tc>
          <w:tcPr>
            <w:tcW w:w="0" w:type="dxa"/>
            <w:vAlign w:val="bottom"/>
          </w:tcPr>
          <w:p>
            <w:pPr>
              <w:spacing w:after="0"/>
              <w:rPr>
                <w:sz w:val="1"/>
                <w:szCs w:val="1"/>
                <w:color w:val="auto"/>
              </w:rPr>
            </w:pPr>
          </w:p>
        </w:tc>
      </w:tr>
      <w:tr>
        <w:trPr>
          <w:trHeight w:val="33"/>
        </w:trPr>
        <w:tc>
          <w:tcPr>
            <w:tcW w:w="30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Earnings (Loss) per diluted share</w:t>
            </w:r>
            <w:r>
              <w:rPr>
                <w:rFonts w:ascii="Arial" w:cs="Arial" w:eastAsia="Arial" w:hAnsi="Arial"/>
                <w:sz w:val="21"/>
                <w:szCs w:val="21"/>
                <w:color w:val="auto"/>
                <w:vertAlign w:val="superscript"/>
              </w:rPr>
              <w:t>3</w:t>
            </w:r>
          </w:p>
        </w:tc>
        <w:tc>
          <w:tcPr>
            <w:tcW w:w="1680" w:type="dxa"/>
            <w:vAlign w:val="bottom"/>
            <w:shd w:val="clear" w:color="auto" w:fill="CCEEFF"/>
          </w:tcPr>
          <w:p>
            <w:pPr>
              <w:jc w:val="right"/>
              <w:ind w:right="479"/>
              <w:spacing w:after="0"/>
              <w:rPr>
                <w:sz w:val="20"/>
                <w:szCs w:val="20"/>
                <w:color w:val="auto"/>
              </w:rPr>
            </w:pPr>
            <w:r>
              <w:rPr>
                <w:rFonts w:ascii="Arial" w:cs="Arial" w:eastAsia="Arial" w:hAnsi="Arial"/>
                <w:sz w:val="16"/>
                <w:szCs w:val="16"/>
                <w:b w:val="1"/>
                <w:bCs w:val="1"/>
                <w:color w:val="auto"/>
              </w:rPr>
              <w:t>$0.26</w:t>
            </w:r>
          </w:p>
        </w:tc>
        <w:tc>
          <w:tcPr>
            <w:tcW w:w="1760" w:type="dxa"/>
            <w:vAlign w:val="bottom"/>
            <w:shd w:val="clear" w:color="auto" w:fill="CCEEFF"/>
          </w:tcPr>
          <w:p>
            <w:pPr>
              <w:jc w:val="right"/>
              <w:ind w:right="479"/>
              <w:spacing w:after="0"/>
              <w:rPr>
                <w:sz w:val="20"/>
                <w:szCs w:val="20"/>
                <w:color w:val="auto"/>
              </w:rPr>
            </w:pPr>
            <w:r>
              <w:rPr>
                <w:rFonts w:ascii="Arial" w:cs="Arial" w:eastAsia="Arial" w:hAnsi="Arial"/>
                <w:sz w:val="16"/>
                <w:szCs w:val="16"/>
                <w:b w:val="1"/>
                <w:bCs w:val="1"/>
                <w:color w:val="auto"/>
              </w:rPr>
              <w:t>$0.67</w:t>
            </w:r>
          </w:p>
        </w:tc>
        <w:tc>
          <w:tcPr>
            <w:tcW w:w="1680" w:type="dxa"/>
            <w:vAlign w:val="bottom"/>
            <w:shd w:val="clear" w:color="auto" w:fill="CCEEFF"/>
          </w:tcPr>
          <w:p>
            <w:pPr>
              <w:jc w:val="right"/>
              <w:ind w:right="359"/>
              <w:spacing w:after="0"/>
              <w:rPr>
                <w:sz w:val="20"/>
                <w:szCs w:val="20"/>
                <w:color w:val="auto"/>
              </w:rPr>
            </w:pPr>
            <w:r>
              <w:rPr>
                <w:rFonts w:ascii="Arial" w:cs="Arial" w:eastAsia="Arial" w:hAnsi="Arial"/>
                <w:sz w:val="16"/>
                <w:szCs w:val="16"/>
                <w:b w:val="1"/>
                <w:bCs w:val="1"/>
                <w:color w:val="auto"/>
              </w:rPr>
              <w:t>($0.06)</w:t>
            </w:r>
          </w:p>
        </w:tc>
        <w:tc>
          <w:tcPr>
            <w:tcW w:w="1860" w:type="dxa"/>
            <w:vAlign w:val="bottom"/>
            <w:shd w:val="clear" w:color="auto" w:fill="CCEEFF"/>
          </w:tcPr>
          <w:p>
            <w:pPr>
              <w:jc w:val="right"/>
              <w:ind w:right="599"/>
              <w:spacing w:after="0"/>
              <w:rPr>
                <w:sz w:val="20"/>
                <w:szCs w:val="20"/>
                <w:color w:val="auto"/>
              </w:rPr>
            </w:pPr>
            <w:r>
              <w:rPr>
                <w:rFonts w:ascii="Arial" w:cs="Arial" w:eastAsia="Arial" w:hAnsi="Arial"/>
                <w:sz w:val="16"/>
                <w:szCs w:val="16"/>
                <w:b w:val="1"/>
                <w:bCs w:val="1"/>
                <w:color w:val="auto"/>
              </w:rPr>
              <w:t>$1.15</w:t>
            </w:r>
          </w:p>
        </w:tc>
        <w:tc>
          <w:tcPr>
            <w:tcW w:w="1380" w:type="dxa"/>
            <w:vAlign w:val="bottom"/>
            <w:shd w:val="clear" w:color="auto" w:fill="CCEEFF"/>
          </w:tcPr>
          <w:p>
            <w:pPr>
              <w:jc w:val="right"/>
              <w:ind w:right="299"/>
              <w:spacing w:after="0"/>
              <w:rPr>
                <w:sz w:val="20"/>
                <w:szCs w:val="20"/>
                <w:color w:val="auto"/>
              </w:rPr>
            </w:pPr>
            <w:r>
              <w:rPr>
                <w:rFonts w:ascii="Arial" w:cs="Arial" w:eastAsia="Arial" w:hAnsi="Arial"/>
                <w:sz w:val="16"/>
                <w:szCs w:val="16"/>
                <w:b w:val="1"/>
                <w:bCs w:val="1"/>
                <w:color w:val="auto"/>
              </w:rPr>
              <w:t>$2.02</w:t>
            </w:r>
          </w:p>
        </w:tc>
        <w:tc>
          <w:tcPr>
            <w:tcW w:w="0" w:type="dxa"/>
            <w:vAlign w:val="bottom"/>
          </w:tcPr>
          <w:p>
            <w:pPr>
              <w:spacing w:after="0"/>
              <w:rPr>
                <w:sz w:val="1"/>
                <w:szCs w:val="1"/>
                <w:color w:val="auto"/>
              </w:rPr>
            </w:pPr>
          </w:p>
        </w:tc>
      </w:tr>
      <w:tr>
        <w:trPr>
          <w:trHeight w:val="297"/>
        </w:trPr>
        <w:tc>
          <w:tcPr>
            <w:tcW w:w="30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Fiscal year 2015</w:t>
            </w:r>
          </w:p>
        </w:tc>
        <w:tc>
          <w:tcPr>
            <w:tcW w:w="16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060" w:type="dxa"/>
            <w:vAlign w:val="bottom"/>
          </w:tcPr>
          <w:p>
            <w:pPr>
              <w:ind w:left="40"/>
              <w:spacing w:after="0"/>
              <w:rPr>
                <w:sz w:val="20"/>
                <w:szCs w:val="20"/>
                <w:color w:val="auto"/>
              </w:rPr>
            </w:pPr>
            <w:r>
              <w:rPr>
                <w:rFonts w:ascii="Arial" w:cs="Arial" w:eastAsia="Arial" w:hAnsi="Arial"/>
                <w:sz w:val="16"/>
                <w:szCs w:val="16"/>
                <w:color w:val="auto"/>
              </w:rPr>
              <w:t>Net sales</w:t>
            </w:r>
          </w:p>
        </w:tc>
        <w:tc>
          <w:tcPr>
            <w:tcW w:w="1680" w:type="dxa"/>
            <w:vAlign w:val="bottom"/>
          </w:tcPr>
          <w:p>
            <w:pPr>
              <w:jc w:val="right"/>
              <w:ind w:right="479"/>
              <w:spacing w:after="0"/>
              <w:rPr>
                <w:sz w:val="20"/>
                <w:szCs w:val="20"/>
                <w:color w:val="auto"/>
              </w:rPr>
            </w:pPr>
            <w:r>
              <w:rPr>
                <w:rFonts w:ascii="Arial" w:cs="Arial" w:eastAsia="Arial" w:hAnsi="Arial"/>
                <w:sz w:val="16"/>
                <w:szCs w:val="16"/>
                <w:color w:val="auto"/>
              </w:rPr>
              <w:t>$3,115</w:t>
            </w:r>
          </w:p>
        </w:tc>
        <w:tc>
          <w:tcPr>
            <w:tcW w:w="1760" w:type="dxa"/>
            <w:vAlign w:val="bottom"/>
          </w:tcPr>
          <w:p>
            <w:pPr>
              <w:jc w:val="right"/>
              <w:ind w:right="479"/>
              <w:spacing w:after="0"/>
              <w:rPr>
                <w:sz w:val="20"/>
                <w:szCs w:val="20"/>
                <w:color w:val="auto"/>
              </w:rPr>
            </w:pPr>
            <w:r>
              <w:rPr>
                <w:rFonts w:ascii="Arial" w:cs="Arial" w:eastAsia="Arial" w:hAnsi="Arial"/>
                <w:sz w:val="16"/>
                <w:szCs w:val="16"/>
                <w:color w:val="auto"/>
              </w:rPr>
              <w:t>$3,598</w:t>
            </w:r>
          </w:p>
        </w:tc>
        <w:tc>
          <w:tcPr>
            <w:tcW w:w="1680" w:type="dxa"/>
            <w:vAlign w:val="bottom"/>
          </w:tcPr>
          <w:p>
            <w:pPr>
              <w:jc w:val="right"/>
              <w:ind w:right="419"/>
              <w:spacing w:after="0"/>
              <w:rPr>
                <w:sz w:val="20"/>
                <w:szCs w:val="20"/>
                <w:color w:val="auto"/>
              </w:rPr>
            </w:pPr>
            <w:r>
              <w:rPr>
                <w:rFonts w:ascii="Arial" w:cs="Arial" w:eastAsia="Arial" w:hAnsi="Arial"/>
                <w:sz w:val="16"/>
                <w:szCs w:val="16"/>
                <w:color w:val="auto"/>
              </w:rPr>
              <w:t>$3,239</w:t>
            </w:r>
          </w:p>
        </w:tc>
        <w:tc>
          <w:tcPr>
            <w:tcW w:w="1860" w:type="dxa"/>
            <w:vAlign w:val="bottom"/>
          </w:tcPr>
          <w:p>
            <w:pPr>
              <w:jc w:val="right"/>
              <w:ind w:right="599"/>
              <w:spacing w:after="0"/>
              <w:rPr>
                <w:sz w:val="20"/>
                <w:szCs w:val="20"/>
                <w:color w:val="auto"/>
              </w:rPr>
            </w:pPr>
            <w:r>
              <w:rPr>
                <w:rFonts w:ascii="Arial" w:cs="Arial" w:eastAsia="Arial" w:hAnsi="Arial"/>
                <w:sz w:val="16"/>
                <w:szCs w:val="16"/>
                <w:color w:val="auto"/>
              </w:rPr>
              <w:t>$4,143</w:t>
            </w:r>
          </w:p>
        </w:tc>
        <w:tc>
          <w:tcPr>
            <w:tcW w:w="1380" w:type="dxa"/>
            <w:vAlign w:val="bottom"/>
          </w:tcPr>
          <w:p>
            <w:pPr>
              <w:jc w:val="right"/>
              <w:ind w:right="299"/>
              <w:spacing w:after="0"/>
              <w:rPr>
                <w:sz w:val="20"/>
                <w:szCs w:val="20"/>
                <w:color w:val="auto"/>
              </w:rPr>
            </w:pPr>
            <w:r>
              <w:rPr>
                <w:rFonts w:ascii="Arial" w:cs="Arial" w:eastAsia="Arial" w:hAnsi="Arial"/>
                <w:sz w:val="16"/>
                <w:szCs w:val="16"/>
                <w:color w:val="auto"/>
              </w:rPr>
              <w:t>$14,095</w:t>
            </w:r>
          </w:p>
        </w:tc>
        <w:tc>
          <w:tcPr>
            <w:tcW w:w="0" w:type="dxa"/>
            <w:vAlign w:val="bottom"/>
          </w:tcPr>
          <w:p>
            <w:pPr>
              <w:spacing w:after="0"/>
              <w:rPr>
                <w:sz w:val="1"/>
                <w:szCs w:val="1"/>
                <w:color w:val="auto"/>
              </w:rPr>
            </w:pPr>
          </w:p>
        </w:tc>
      </w:tr>
      <w:tr>
        <w:trPr>
          <w:trHeight w:val="33"/>
        </w:trPr>
        <w:tc>
          <w:tcPr>
            <w:tcW w:w="30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Comparable sales increase</w:t>
            </w:r>
          </w:p>
        </w:tc>
        <w:tc>
          <w:tcPr>
            <w:tcW w:w="168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rPr>
              <w:t>4.4%</w:t>
            </w:r>
          </w:p>
        </w:tc>
        <w:tc>
          <w:tcPr>
            <w:tcW w:w="176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rPr>
              <w:t>4.9%</w:t>
            </w:r>
          </w:p>
        </w:tc>
        <w:tc>
          <w:tcPr>
            <w:tcW w:w="168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0.9%</w:t>
            </w:r>
          </w:p>
        </w:tc>
        <w:tc>
          <w:tcPr>
            <w:tcW w:w="1860" w:type="dxa"/>
            <w:vAlign w:val="bottom"/>
            <w:tcBorders>
              <w:bottom w:val="single" w:sz="8" w:color="CCEEFF"/>
            </w:tcBorders>
            <w:shd w:val="clear" w:color="auto" w:fill="CCEEFF"/>
          </w:tcPr>
          <w:p>
            <w:pPr>
              <w:jc w:val="right"/>
              <w:ind w:right="459"/>
              <w:spacing w:after="0"/>
              <w:rPr>
                <w:sz w:val="20"/>
                <w:szCs w:val="20"/>
                <w:color w:val="auto"/>
              </w:rPr>
            </w:pPr>
            <w:r>
              <w:rPr>
                <w:rFonts w:ascii="Arial" w:cs="Arial" w:eastAsia="Arial" w:hAnsi="Arial"/>
                <w:sz w:val="16"/>
                <w:szCs w:val="16"/>
                <w:color w:val="auto"/>
              </w:rPr>
              <w:t>1.0%</w:t>
            </w:r>
          </w:p>
        </w:tc>
        <w:tc>
          <w:tcPr>
            <w:tcW w:w="138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70"/>
        </w:trPr>
        <w:tc>
          <w:tcPr>
            <w:tcW w:w="3060" w:type="dxa"/>
            <w:vAlign w:val="bottom"/>
          </w:tcPr>
          <w:p>
            <w:pPr>
              <w:ind w:left="40"/>
              <w:spacing w:after="0"/>
              <w:rPr>
                <w:sz w:val="20"/>
                <w:szCs w:val="20"/>
                <w:color w:val="auto"/>
              </w:rPr>
            </w:pPr>
            <w:r>
              <w:rPr>
                <w:rFonts w:ascii="Arial" w:cs="Arial" w:eastAsia="Arial" w:hAnsi="Arial"/>
                <w:sz w:val="16"/>
                <w:szCs w:val="16"/>
                <w:color w:val="auto"/>
              </w:rPr>
              <w:t>Credit card revenues, net</w:t>
            </w:r>
            <w:r>
              <w:rPr>
                <w:rFonts w:ascii="Arial" w:cs="Arial" w:eastAsia="Arial" w:hAnsi="Arial"/>
                <w:sz w:val="21"/>
                <w:szCs w:val="21"/>
                <w:color w:val="auto"/>
                <w:vertAlign w:val="superscript"/>
              </w:rPr>
              <w:t>4</w:t>
            </w:r>
          </w:p>
        </w:tc>
        <w:tc>
          <w:tcPr>
            <w:tcW w:w="1680" w:type="dxa"/>
            <w:vAlign w:val="bottom"/>
          </w:tcPr>
          <w:p>
            <w:pPr>
              <w:jc w:val="right"/>
              <w:ind w:right="479"/>
              <w:spacing w:after="0"/>
              <w:rPr>
                <w:sz w:val="20"/>
                <w:szCs w:val="20"/>
                <w:color w:val="auto"/>
              </w:rPr>
            </w:pPr>
            <w:r>
              <w:rPr>
                <w:rFonts w:ascii="Arial" w:cs="Arial" w:eastAsia="Arial" w:hAnsi="Arial"/>
                <w:sz w:val="16"/>
                <w:szCs w:val="16"/>
                <w:color w:val="auto"/>
              </w:rPr>
              <w:t>100</w:t>
            </w:r>
          </w:p>
        </w:tc>
        <w:tc>
          <w:tcPr>
            <w:tcW w:w="1760" w:type="dxa"/>
            <w:vAlign w:val="bottom"/>
          </w:tcPr>
          <w:p>
            <w:pPr>
              <w:jc w:val="right"/>
              <w:ind w:right="479"/>
              <w:spacing w:after="0"/>
              <w:rPr>
                <w:sz w:val="20"/>
                <w:szCs w:val="20"/>
                <w:color w:val="auto"/>
              </w:rPr>
            </w:pPr>
            <w:r>
              <w:rPr>
                <w:rFonts w:ascii="Arial" w:cs="Arial" w:eastAsia="Arial" w:hAnsi="Arial"/>
                <w:sz w:val="16"/>
                <w:szCs w:val="16"/>
                <w:color w:val="auto"/>
              </w:rPr>
              <w:t>103</w:t>
            </w:r>
          </w:p>
        </w:tc>
        <w:tc>
          <w:tcPr>
            <w:tcW w:w="1680" w:type="dxa"/>
            <w:vAlign w:val="bottom"/>
          </w:tcPr>
          <w:p>
            <w:pPr>
              <w:jc w:val="right"/>
              <w:ind w:right="419"/>
              <w:spacing w:after="0"/>
              <w:rPr>
                <w:sz w:val="20"/>
                <w:szCs w:val="20"/>
                <w:color w:val="auto"/>
              </w:rPr>
            </w:pPr>
            <w:r>
              <w:rPr>
                <w:rFonts w:ascii="Arial" w:cs="Arial" w:eastAsia="Arial" w:hAnsi="Arial"/>
                <w:sz w:val="16"/>
                <w:szCs w:val="16"/>
                <w:color w:val="auto"/>
              </w:rPr>
              <w:t>89</w:t>
            </w:r>
          </w:p>
        </w:tc>
        <w:tc>
          <w:tcPr>
            <w:tcW w:w="1860" w:type="dxa"/>
            <w:vAlign w:val="bottom"/>
          </w:tcPr>
          <w:p>
            <w:pPr>
              <w:jc w:val="right"/>
              <w:ind w:right="599"/>
              <w:spacing w:after="0"/>
              <w:rPr>
                <w:sz w:val="20"/>
                <w:szCs w:val="20"/>
                <w:color w:val="auto"/>
              </w:rPr>
            </w:pPr>
            <w:r>
              <w:rPr>
                <w:rFonts w:ascii="Arial" w:cs="Arial" w:eastAsia="Arial" w:hAnsi="Arial"/>
                <w:sz w:val="16"/>
                <w:szCs w:val="16"/>
                <w:color w:val="auto"/>
              </w:rPr>
              <w:t>51</w:t>
            </w:r>
          </w:p>
        </w:tc>
        <w:tc>
          <w:tcPr>
            <w:tcW w:w="1380" w:type="dxa"/>
            <w:vAlign w:val="bottom"/>
          </w:tcPr>
          <w:p>
            <w:pPr>
              <w:jc w:val="right"/>
              <w:ind w:right="299"/>
              <w:spacing w:after="0"/>
              <w:rPr>
                <w:sz w:val="20"/>
                <w:szCs w:val="20"/>
                <w:color w:val="auto"/>
              </w:rPr>
            </w:pPr>
            <w:r>
              <w:rPr>
                <w:rFonts w:ascii="Arial" w:cs="Arial" w:eastAsia="Arial" w:hAnsi="Arial"/>
                <w:sz w:val="16"/>
                <w:szCs w:val="16"/>
                <w:color w:val="auto"/>
              </w:rPr>
              <w:t>342</w:t>
            </w:r>
          </w:p>
        </w:tc>
        <w:tc>
          <w:tcPr>
            <w:tcW w:w="0" w:type="dxa"/>
            <w:vAlign w:val="bottom"/>
          </w:tcPr>
          <w:p>
            <w:pPr>
              <w:spacing w:after="0"/>
              <w:rPr>
                <w:sz w:val="1"/>
                <w:szCs w:val="1"/>
                <w:color w:val="auto"/>
              </w:rPr>
            </w:pPr>
          </w:p>
        </w:tc>
      </w:tr>
      <w:tr>
        <w:trPr>
          <w:trHeight w:val="250"/>
        </w:trPr>
        <w:tc>
          <w:tcPr>
            <w:tcW w:w="3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168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color w:val="auto"/>
              </w:rPr>
              <w:t>1,116</w:t>
            </w:r>
          </w:p>
        </w:tc>
        <w:tc>
          <w:tcPr>
            <w:tcW w:w="176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color w:val="auto"/>
              </w:rPr>
              <w:t>1,271</w:t>
            </w:r>
          </w:p>
        </w:tc>
        <w:tc>
          <w:tcPr>
            <w:tcW w:w="168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color w:val="auto"/>
              </w:rPr>
              <w:t>1,097</w:t>
            </w:r>
          </w:p>
        </w:tc>
        <w:tc>
          <w:tcPr>
            <w:tcW w:w="1860" w:type="dxa"/>
            <w:vAlign w:val="bottom"/>
            <w:tcBorders>
              <w:bottom w:val="single" w:sz="8" w:color="CCEEFF"/>
            </w:tcBorders>
            <w:shd w:val="clear" w:color="auto" w:fill="CCEEFF"/>
          </w:tcPr>
          <w:p>
            <w:pPr>
              <w:jc w:val="right"/>
              <w:ind w:right="599"/>
              <w:spacing w:after="0"/>
              <w:rPr>
                <w:sz w:val="20"/>
                <w:szCs w:val="20"/>
                <w:color w:val="auto"/>
              </w:rPr>
            </w:pPr>
            <w:r>
              <w:rPr>
                <w:rFonts w:ascii="Arial" w:cs="Arial" w:eastAsia="Arial" w:hAnsi="Arial"/>
                <w:sz w:val="16"/>
                <w:szCs w:val="16"/>
                <w:color w:val="auto"/>
              </w:rPr>
              <w:t>1,443</w:t>
            </w:r>
          </w:p>
        </w:tc>
        <w:tc>
          <w:tcPr>
            <w:tcW w:w="138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rPr>
              <w:t>4,927</w:t>
            </w:r>
          </w:p>
        </w:tc>
        <w:tc>
          <w:tcPr>
            <w:tcW w:w="0" w:type="dxa"/>
            <w:vAlign w:val="bottom"/>
          </w:tcPr>
          <w:p>
            <w:pPr>
              <w:spacing w:after="0"/>
              <w:rPr>
                <w:sz w:val="1"/>
                <w:szCs w:val="1"/>
                <w:color w:val="auto"/>
              </w:rPr>
            </w:pPr>
          </w:p>
        </w:tc>
      </w:tr>
      <w:tr>
        <w:trPr>
          <w:trHeight w:val="220"/>
        </w:trPr>
        <w:tc>
          <w:tcPr>
            <w:tcW w:w="3060" w:type="dxa"/>
            <w:vAlign w:val="bottom"/>
          </w:tcPr>
          <w:p>
            <w:pPr>
              <w:ind w:left="40"/>
              <w:spacing w:after="0"/>
              <w:rPr>
                <w:sz w:val="20"/>
                <w:szCs w:val="20"/>
                <w:color w:val="auto"/>
              </w:rPr>
            </w:pPr>
            <w:r>
              <w:rPr>
                <w:rFonts w:ascii="Arial" w:cs="Arial" w:eastAsia="Arial" w:hAnsi="Arial"/>
                <w:sz w:val="16"/>
                <w:szCs w:val="16"/>
                <w:color w:val="auto"/>
              </w:rPr>
              <w:t>Selling, general and administrative</w:t>
            </w:r>
          </w:p>
        </w:tc>
        <w:tc>
          <w:tcPr>
            <w:tcW w:w="16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060" w:type="dxa"/>
            <w:vAlign w:val="bottom"/>
          </w:tcPr>
          <w:p>
            <w:pPr>
              <w:ind w:left="40"/>
              <w:spacing w:after="0"/>
              <w:rPr>
                <w:sz w:val="20"/>
                <w:szCs w:val="20"/>
                <w:color w:val="auto"/>
              </w:rPr>
            </w:pPr>
            <w:r>
              <w:rPr>
                <w:rFonts w:ascii="Arial" w:cs="Arial" w:eastAsia="Arial" w:hAnsi="Arial"/>
                <w:sz w:val="16"/>
                <w:szCs w:val="16"/>
                <w:color w:val="auto"/>
              </w:rPr>
              <w:t>expenses</w:t>
            </w:r>
          </w:p>
        </w:tc>
        <w:tc>
          <w:tcPr>
            <w:tcW w:w="1680" w:type="dxa"/>
            <w:vAlign w:val="bottom"/>
          </w:tcPr>
          <w:p>
            <w:pPr>
              <w:jc w:val="right"/>
              <w:ind w:right="419"/>
              <w:spacing w:after="0"/>
              <w:rPr>
                <w:sz w:val="20"/>
                <w:szCs w:val="20"/>
                <w:color w:val="auto"/>
              </w:rPr>
            </w:pPr>
            <w:r>
              <w:rPr>
                <w:rFonts w:ascii="Arial" w:cs="Arial" w:eastAsia="Arial" w:hAnsi="Arial"/>
                <w:sz w:val="16"/>
                <w:szCs w:val="16"/>
                <w:color w:val="auto"/>
              </w:rPr>
              <w:t>(971)</w:t>
            </w:r>
          </w:p>
        </w:tc>
        <w:tc>
          <w:tcPr>
            <w:tcW w:w="1760" w:type="dxa"/>
            <w:vAlign w:val="bottom"/>
          </w:tcPr>
          <w:p>
            <w:pPr>
              <w:jc w:val="right"/>
              <w:ind w:right="419"/>
              <w:spacing w:after="0"/>
              <w:rPr>
                <w:sz w:val="20"/>
                <w:szCs w:val="20"/>
                <w:color w:val="auto"/>
              </w:rPr>
            </w:pPr>
            <w:r>
              <w:rPr>
                <w:rFonts w:ascii="Arial" w:cs="Arial" w:eastAsia="Arial" w:hAnsi="Arial"/>
                <w:sz w:val="16"/>
                <w:szCs w:val="16"/>
                <w:color w:val="auto"/>
              </w:rPr>
              <w:t>(997)</w:t>
            </w:r>
          </w:p>
        </w:tc>
        <w:tc>
          <w:tcPr>
            <w:tcW w:w="1680" w:type="dxa"/>
            <w:vAlign w:val="bottom"/>
          </w:tcPr>
          <w:p>
            <w:pPr>
              <w:jc w:val="right"/>
              <w:ind w:right="359"/>
              <w:spacing w:after="0"/>
              <w:rPr>
                <w:sz w:val="20"/>
                <w:szCs w:val="20"/>
                <w:color w:val="auto"/>
              </w:rPr>
            </w:pPr>
            <w:r>
              <w:rPr>
                <w:rFonts w:ascii="Arial" w:cs="Arial" w:eastAsia="Arial" w:hAnsi="Arial"/>
                <w:sz w:val="16"/>
                <w:szCs w:val="16"/>
                <w:color w:val="auto"/>
              </w:rPr>
              <w:t>(1,031)</w:t>
            </w:r>
          </w:p>
        </w:tc>
        <w:tc>
          <w:tcPr>
            <w:tcW w:w="1860" w:type="dxa"/>
            <w:vAlign w:val="bottom"/>
          </w:tcPr>
          <w:p>
            <w:pPr>
              <w:jc w:val="right"/>
              <w:ind w:right="539"/>
              <w:spacing w:after="0"/>
              <w:rPr>
                <w:sz w:val="20"/>
                <w:szCs w:val="20"/>
                <w:color w:val="auto"/>
              </w:rPr>
            </w:pPr>
            <w:r>
              <w:rPr>
                <w:rFonts w:ascii="Arial" w:cs="Arial" w:eastAsia="Arial" w:hAnsi="Arial"/>
                <w:sz w:val="16"/>
                <w:szCs w:val="16"/>
                <w:color w:val="auto"/>
              </w:rPr>
              <w:t>(1,170)</w:t>
            </w:r>
          </w:p>
        </w:tc>
        <w:tc>
          <w:tcPr>
            <w:tcW w:w="1380" w:type="dxa"/>
            <w:vAlign w:val="bottom"/>
          </w:tcPr>
          <w:p>
            <w:pPr>
              <w:jc w:val="right"/>
              <w:ind w:right="239"/>
              <w:spacing w:after="0"/>
              <w:rPr>
                <w:sz w:val="20"/>
                <w:szCs w:val="20"/>
                <w:color w:val="auto"/>
              </w:rPr>
            </w:pPr>
            <w:r>
              <w:rPr>
                <w:rFonts w:ascii="Arial" w:cs="Arial" w:eastAsia="Arial" w:hAnsi="Arial"/>
                <w:sz w:val="16"/>
                <w:szCs w:val="16"/>
                <w:color w:val="auto"/>
              </w:rPr>
              <w:t>(4,168)</w:t>
            </w:r>
          </w:p>
        </w:tc>
        <w:tc>
          <w:tcPr>
            <w:tcW w:w="0" w:type="dxa"/>
            <w:vAlign w:val="bottom"/>
          </w:tcPr>
          <w:p>
            <w:pPr>
              <w:spacing w:after="0"/>
              <w:rPr>
                <w:sz w:val="1"/>
                <w:szCs w:val="1"/>
                <w:color w:val="auto"/>
              </w:rPr>
            </w:pPr>
          </w:p>
        </w:tc>
      </w:tr>
      <w:tr>
        <w:trPr>
          <w:trHeight w:val="33"/>
        </w:trPr>
        <w:tc>
          <w:tcPr>
            <w:tcW w:w="30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Earnings before interest and income taxes</w:t>
            </w:r>
          </w:p>
        </w:tc>
        <w:tc>
          <w:tcPr>
            <w:tcW w:w="168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color w:val="auto"/>
              </w:rPr>
              <w:t>245</w:t>
            </w:r>
          </w:p>
        </w:tc>
        <w:tc>
          <w:tcPr>
            <w:tcW w:w="176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color w:val="auto"/>
              </w:rPr>
              <w:t>377</w:t>
            </w:r>
          </w:p>
        </w:tc>
        <w:tc>
          <w:tcPr>
            <w:tcW w:w="168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color w:val="auto"/>
              </w:rPr>
              <w:t>155</w:t>
            </w:r>
          </w:p>
        </w:tc>
        <w:tc>
          <w:tcPr>
            <w:tcW w:w="1860" w:type="dxa"/>
            <w:vAlign w:val="bottom"/>
            <w:tcBorders>
              <w:bottom w:val="single" w:sz="8" w:color="CCEEFF"/>
            </w:tcBorders>
            <w:shd w:val="clear" w:color="auto" w:fill="CCEEFF"/>
          </w:tcPr>
          <w:p>
            <w:pPr>
              <w:jc w:val="right"/>
              <w:ind w:right="599"/>
              <w:spacing w:after="0"/>
              <w:rPr>
                <w:sz w:val="20"/>
                <w:szCs w:val="20"/>
                <w:color w:val="auto"/>
              </w:rPr>
            </w:pPr>
            <w:r>
              <w:rPr>
                <w:rFonts w:ascii="Arial" w:cs="Arial" w:eastAsia="Arial" w:hAnsi="Arial"/>
                <w:sz w:val="16"/>
                <w:szCs w:val="16"/>
                <w:color w:val="auto"/>
              </w:rPr>
              <w:t>324</w:t>
            </w:r>
          </w:p>
        </w:tc>
        <w:tc>
          <w:tcPr>
            <w:tcW w:w="138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rPr>
              <w:t>1,101</w:t>
            </w:r>
          </w:p>
        </w:tc>
        <w:tc>
          <w:tcPr>
            <w:tcW w:w="0" w:type="dxa"/>
            <w:vAlign w:val="bottom"/>
          </w:tcPr>
          <w:p>
            <w:pPr>
              <w:spacing w:after="0"/>
              <w:rPr>
                <w:sz w:val="1"/>
                <w:szCs w:val="1"/>
                <w:color w:val="auto"/>
              </w:rPr>
            </w:pPr>
          </w:p>
        </w:tc>
      </w:tr>
      <w:tr>
        <w:trPr>
          <w:trHeight w:val="237"/>
        </w:trPr>
        <w:tc>
          <w:tcPr>
            <w:tcW w:w="3060" w:type="dxa"/>
            <w:vAlign w:val="bottom"/>
          </w:tcPr>
          <w:p>
            <w:pPr>
              <w:ind w:left="40"/>
              <w:spacing w:after="0"/>
              <w:rPr>
                <w:sz w:val="20"/>
                <w:szCs w:val="20"/>
                <w:color w:val="auto"/>
              </w:rPr>
            </w:pPr>
            <w:r>
              <w:rPr>
                <w:rFonts w:ascii="Arial" w:cs="Arial" w:eastAsia="Arial" w:hAnsi="Arial"/>
                <w:sz w:val="16"/>
                <w:szCs w:val="16"/>
                <w:color w:val="auto"/>
              </w:rPr>
              <w:t>Net earnings</w:t>
            </w:r>
          </w:p>
        </w:tc>
        <w:tc>
          <w:tcPr>
            <w:tcW w:w="1680" w:type="dxa"/>
            <w:vAlign w:val="bottom"/>
          </w:tcPr>
          <w:p>
            <w:pPr>
              <w:jc w:val="right"/>
              <w:ind w:right="479"/>
              <w:spacing w:after="0"/>
              <w:rPr>
                <w:sz w:val="20"/>
                <w:szCs w:val="20"/>
                <w:color w:val="auto"/>
              </w:rPr>
            </w:pPr>
            <w:r>
              <w:rPr>
                <w:rFonts w:ascii="Arial" w:cs="Arial" w:eastAsia="Arial" w:hAnsi="Arial"/>
                <w:sz w:val="16"/>
                <w:szCs w:val="16"/>
                <w:color w:val="auto"/>
              </w:rPr>
              <w:t>128</w:t>
            </w:r>
          </w:p>
        </w:tc>
        <w:tc>
          <w:tcPr>
            <w:tcW w:w="1760" w:type="dxa"/>
            <w:vAlign w:val="bottom"/>
          </w:tcPr>
          <w:p>
            <w:pPr>
              <w:jc w:val="right"/>
              <w:ind w:right="479"/>
              <w:spacing w:after="0"/>
              <w:rPr>
                <w:sz w:val="20"/>
                <w:szCs w:val="20"/>
                <w:color w:val="auto"/>
              </w:rPr>
            </w:pPr>
            <w:r>
              <w:rPr>
                <w:rFonts w:ascii="Arial" w:cs="Arial" w:eastAsia="Arial" w:hAnsi="Arial"/>
                <w:sz w:val="16"/>
                <w:szCs w:val="16"/>
                <w:color w:val="auto"/>
              </w:rPr>
              <w:t>211</w:t>
            </w:r>
          </w:p>
        </w:tc>
        <w:tc>
          <w:tcPr>
            <w:tcW w:w="1680" w:type="dxa"/>
            <w:vAlign w:val="bottom"/>
          </w:tcPr>
          <w:p>
            <w:pPr>
              <w:jc w:val="right"/>
              <w:ind w:right="419"/>
              <w:spacing w:after="0"/>
              <w:rPr>
                <w:sz w:val="20"/>
                <w:szCs w:val="20"/>
                <w:color w:val="auto"/>
              </w:rPr>
            </w:pPr>
            <w:r>
              <w:rPr>
                <w:rFonts w:ascii="Arial" w:cs="Arial" w:eastAsia="Arial" w:hAnsi="Arial"/>
                <w:sz w:val="16"/>
                <w:szCs w:val="16"/>
                <w:color w:val="auto"/>
              </w:rPr>
              <w:t>81</w:t>
            </w:r>
          </w:p>
        </w:tc>
        <w:tc>
          <w:tcPr>
            <w:tcW w:w="1860" w:type="dxa"/>
            <w:vAlign w:val="bottom"/>
          </w:tcPr>
          <w:p>
            <w:pPr>
              <w:jc w:val="right"/>
              <w:ind w:right="599"/>
              <w:spacing w:after="0"/>
              <w:rPr>
                <w:sz w:val="20"/>
                <w:szCs w:val="20"/>
                <w:color w:val="auto"/>
              </w:rPr>
            </w:pPr>
            <w:r>
              <w:rPr>
                <w:rFonts w:ascii="Arial" w:cs="Arial" w:eastAsia="Arial" w:hAnsi="Arial"/>
                <w:sz w:val="16"/>
                <w:szCs w:val="16"/>
                <w:color w:val="auto"/>
              </w:rPr>
              <w:t>180</w:t>
            </w:r>
          </w:p>
        </w:tc>
        <w:tc>
          <w:tcPr>
            <w:tcW w:w="1380" w:type="dxa"/>
            <w:vAlign w:val="bottom"/>
          </w:tcPr>
          <w:p>
            <w:pPr>
              <w:jc w:val="right"/>
              <w:ind w:right="299"/>
              <w:spacing w:after="0"/>
              <w:rPr>
                <w:sz w:val="20"/>
                <w:szCs w:val="20"/>
                <w:color w:val="auto"/>
              </w:rPr>
            </w:pPr>
            <w:r>
              <w:rPr>
                <w:rFonts w:ascii="Arial" w:cs="Arial" w:eastAsia="Arial" w:hAnsi="Arial"/>
                <w:sz w:val="16"/>
                <w:szCs w:val="16"/>
                <w:color w:val="auto"/>
              </w:rPr>
              <w:t>600</w:t>
            </w:r>
          </w:p>
        </w:tc>
        <w:tc>
          <w:tcPr>
            <w:tcW w:w="0" w:type="dxa"/>
            <w:vAlign w:val="bottom"/>
          </w:tcPr>
          <w:p>
            <w:pPr>
              <w:spacing w:after="0"/>
              <w:rPr>
                <w:sz w:val="1"/>
                <w:szCs w:val="1"/>
                <w:color w:val="auto"/>
              </w:rPr>
            </w:pPr>
          </w:p>
        </w:tc>
      </w:tr>
      <w:tr>
        <w:trPr>
          <w:trHeight w:val="33"/>
        </w:trPr>
        <w:tc>
          <w:tcPr>
            <w:tcW w:w="30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Earnings per basic share</w:t>
            </w:r>
          </w:p>
        </w:tc>
        <w:tc>
          <w:tcPr>
            <w:tcW w:w="168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color w:val="auto"/>
              </w:rPr>
              <w:t>$0.67</w:t>
            </w:r>
          </w:p>
        </w:tc>
        <w:tc>
          <w:tcPr>
            <w:tcW w:w="176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color w:val="auto"/>
              </w:rPr>
              <w:t>$1.11</w:t>
            </w:r>
          </w:p>
        </w:tc>
        <w:tc>
          <w:tcPr>
            <w:tcW w:w="168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color w:val="auto"/>
              </w:rPr>
              <w:t>$0.43</w:t>
            </w:r>
          </w:p>
        </w:tc>
        <w:tc>
          <w:tcPr>
            <w:tcW w:w="1860" w:type="dxa"/>
            <w:vAlign w:val="bottom"/>
            <w:tcBorders>
              <w:bottom w:val="single" w:sz="8" w:color="CCEEFF"/>
            </w:tcBorders>
            <w:shd w:val="clear" w:color="auto" w:fill="CCEEFF"/>
          </w:tcPr>
          <w:p>
            <w:pPr>
              <w:jc w:val="right"/>
              <w:ind w:right="599"/>
              <w:spacing w:after="0"/>
              <w:rPr>
                <w:sz w:val="20"/>
                <w:szCs w:val="20"/>
                <w:color w:val="auto"/>
              </w:rPr>
            </w:pPr>
            <w:r>
              <w:rPr>
                <w:rFonts w:ascii="Arial" w:cs="Arial" w:eastAsia="Arial" w:hAnsi="Arial"/>
                <w:sz w:val="16"/>
                <w:szCs w:val="16"/>
                <w:color w:val="auto"/>
              </w:rPr>
              <w:t>$1.01</w:t>
            </w:r>
          </w:p>
        </w:tc>
        <w:tc>
          <w:tcPr>
            <w:tcW w:w="138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rPr>
              <w:t>$3.22</w:t>
            </w:r>
          </w:p>
        </w:tc>
        <w:tc>
          <w:tcPr>
            <w:tcW w:w="0" w:type="dxa"/>
            <w:vAlign w:val="bottom"/>
          </w:tcPr>
          <w:p>
            <w:pPr>
              <w:spacing w:after="0"/>
              <w:rPr>
                <w:sz w:val="1"/>
                <w:szCs w:val="1"/>
                <w:color w:val="auto"/>
              </w:rPr>
            </w:pPr>
          </w:p>
        </w:tc>
      </w:tr>
      <w:tr>
        <w:trPr>
          <w:trHeight w:val="237"/>
        </w:trPr>
        <w:tc>
          <w:tcPr>
            <w:tcW w:w="3060" w:type="dxa"/>
            <w:vAlign w:val="bottom"/>
          </w:tcPr>
          <w:p>
            <w:pPr>
              <w:ind w:left="40"/>
              <w:spacing w:after="0"/>
              <w:rPr>
                <w:sz w:val="20"/>
                <w:szCs w:val="20"/>
                <w:color w:val="auto"/>
              </w:rPr>
            </w:pPr>
            <w:r>
              <w:rPr>
                <w:rFonts w:ascii="Arial" w:cs="Arial" w:eastAsia="Arial" w:hAnsi="Arial"/>
                <w:sz w:val="16"/>
                <w:szCs w:val="16"/>
                <w:color w:val="auto"/>
              </w:rPr>
              <w:t>Earnings per diluted share</w:t>
            </w:r>
          </w:p>
        </w:tc>
        <w:tc>
          <w:tcPr>
            <w:tcW w:w="1680" w:type="dxa"/>
            <w:vAlign w:val="bottom"/>
          </w:tcPr>
          <w:p>
            <w:pPr>
              <w:jc w:val="right"/>
              <w:ind w:right="479"/>
              <w:spacing w:after="0"/>
              <w:rPr>
                <w:sz w:val="20"/>
                <w:szCs w:val="20"/>
                <w:color w:val="auto"/>
              </w:rPr>
            </w:pPr>
            <w:r>
              <w:rPr>
                <w:rFonts w:ascii="Arial" w:cs="Arial" w:eastAsia="Arial" w:hAnsi="Arial"/>
                <w:sz w:val="16"/>
                <w:szCs w:val="16"/>
                <w:color w:val="auto"/>
              </w:rPr>
              <w:t>$0.66</w:t>
            </w:r>
          </w:p>
        </w:tc>
        <w:tc>
          <w:tcPr>
            <w:tcW w:w="1760" w:type="dxa"/>
            <w:vAlign w:val="bottom"/>
          </w:tcPr>
          <w:p>
            <w:pPr>
              <w:jc w:val="right"/>
              <w:ind w:right="479"/>
              <w:spacing w:after="0"/>
              <w:rPr>
                <w:sz w:val="20"/>
                <w:szCs w:val="20"/>
                <w:color w:val="auto"/>
              </w:rPr>
            </w:pPr>
            <w:r>
              <w:rPr>
                <w:rFonts w:ascii="Arial" w:cs="Arial" w:eastAsia="Arial" w:hAnsi="Arial"/>
                <w:sz w:val="16"/>
                <w:szCs w:val="16"/>
                <w:color w:val="auto"/>
              </w:rPr>
              <w:t>$1.09</w:t>
            </w:r>
          </w:p>
        </w:tc>
        <w:tc>
          <w:tcPr>
            <w:tcW w:w="1680" w:type="dxa"/>
            <w:vAlign w:val="bottom"/>
          </w:tcPr>
          <w:p>
            <w:pPr>
              <w:jc w:val="right"/>
              <w:ind w:right="419"/>
              <w:spacing w:after="0"/>
              <w:rPr>
                <w:sz w:val="20"/>
                <w:szCs w:val="20"/>
                <w:color w:val="auto"/>
              </w:rPr>
            </w:pPr>
            <w:r>
              <w:rPr>
                <w:rFonts w:ascii="Arial" w:cs="Arial" w:eastAsia="Arial" w:hAnsi="Arial"/>
                <w:sz w:val="16"/>
                <w:szCs w:val="16"/>
                <w:color w:val="auto"/>
              </w:rPr>
              <w:t>$0.42</w:t>
            </w:r>
          </w:p>
        </w:tc>
        <w:tc>
          <w:tcPr>
            <w:tcW w:w="1860" w:type="dxa"/>
            <w:vAlign w:val="bottom"/>
          </w:tcPr>
          <w:p>
            <w:pPr>
              <w:jc w:val="right"/>
              <w:ind w:right="599"/>
              <w:spacing w:after="0"/>
              <w:rPr>
                <w:sz w:val="20"/>
                <w:szCs w:val="20"/>
                <w:color w:val="auto"/>
              </w:rPr>
            </w:pPr>
            <w:r>
              <w:rPr>
                <w:rFonts w:ascii="Arial" w:cs="Arial" w:eastAsia="Arial" w:hAnsi="Arial"/>
                <w:sz w:val="16"/>
                <w:szCs w:val="16"/>
                <w:color w:val="auto"/>
              </w:rPr>
              <w:t>$1.00</w:t>
            </w:r>
          </w:p>
        </w:tc>
        <w:tc>
          <w:tcPr>
            <w:tcW w:w="1380" w:type="dxa"/>
            <w:vAlign w:val="bottom"/>
          </w:tcPr>
          <w:p>
            <w:pPr>
              <w:jc w:val="right"/>
              <w:ind w:right="299"/>
              <w:spacing w:after="0"/>
              <w:rPr>
                <w:sz w:val="20"/>
                <w:szCs w:val="20"/>
                <w:color w:val="auto"/>
              </w:rPr>
            </w:pPr>
            <w:r>
              <w:rPr>
                <w:rFonts w:ascii="Arial" w:cs="Arial" w:eastAsia="Arial" w:hAnsi="Arial"/>
                <w:sz w:val="16"/>
                <w:szCs w:val="16"/>
                <w:color w:val="auto"/>
              </w:rPr>
              <w:t>$3.15</w:t>
            </w:r>
          </w:p>
        </w:tc>
        <w:tc>
          <w:tcPr>
            <w:tcW w:w="0" w:type="dxa"/>
            <w:vAlign w:val="bottom"/>
          </w:tcPr>
          <w:p>
            <w:pPr>
              <w:spacing w:after="0"/>
              <w:rPr>
                <w:sz w:val="1"/>
                <w:szCs w:val="1"/>
                <w:color w:val="auto"/>
              </w:rPr>
            </w:pPr>
          </w:p>
        </w:tc>
      </w:tr>
    </w:tbl>
    <w:p>
      <w:pPr>
        <w:spacing w:after="0" w:line="28" w:lineRule="exact"/>
        <w:rPr>
          <w:sz w:val="20"/>
          <w:szCs w:val="20"/>
          <w:color w:val="auto"/>
        </w:rPr>
      </w:pPr>
    </w:p>
    <w:p>
      <w:pPr>
        <w:ind w:left="80" w:hanging="72"/>
        <w:spacing w:after="0"/>
        <w:tabs>
          <w:tab w:leader="none" w:pos="80" w:val="left"/>
        </w:tabs>
        <w:numPr>
          <w:ilvl w:val="0"/>
          <w:numId w:val="39"/>
        </w:numPr>
        <w:rPr>
          <w:rFonts w:ascii="Arial" w:cs="Arial" w:eastAsia="Arial" w:hAnsi="Arial"/>
          <w:sz w:val="9"/>
          <w:szCs w:val="9"/>
          <w:color w:val="auto"/>
        </w:rPr>
      </w:pPr>
      <w:r>
        <w:rPr>
          <w:rFonts w:ascii="Arial" w:cs="Arial" w:eastAsia="Arial" w:hAnsi="Arial"/>
          <w:sz w:val="14"/>
          <w:szCs w:val="14"/>
          <w:color w:val="auto"/>
        </w:rPr>
        <w:t>Quarterly totals may not foot across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80" w:hanging="72"/>
        <w:spacing w:after="0"/>
        <w:tabs>
          <w:tab w:leader="none" w:pos="80" w:val="left"/>
        </w:tabs>
        <w:numPr>
          <w:ilvl w:val="0"/>
          <w:numId w:val="40"/>
        </w:numPr>
        <w:rPr>
          <w:rFonts w:ascii="Arial" w:cs="Arial" w:eastAsia="Arial" w:hAnsi="Arial"/>
          <w:sz w:val="8"/>
          <w:szCs w:val="8"/>
          <w:color w:val="auto"/>
        </w:rPr>
      </w:pPr>
      <w:r>
        <w:rPr>
          <w:rFonts w:ascii="Arial" w:cs="Arial" w:eastAsia="Arial" w:hAnsi="Arial"/>
          <w:sz w:val="13"/>
          <w:szCs w:val="13"/>
          <w:color w:val="auto"/>
        </w:rPr>
        <w:t>One week of the Anniversary Sale, historically our largest event of the year, shifted into the third quarter. Combined second and third quarter comparable sales, which removes the impact of the</w:t>
      </w:r>
    </w:p>
    <w:p>
      <w:pPr>
        <w:spacing w:after="0" w:line="13" w:lineRule="exact"/>
        <w:rPr>
          <w:sz w:val="20"/>
          <w:szCs w:val="20"/>
          <w:color w:val="auto"/>
        </w:rPr>
      </w:pPr>
    </w:p>
    <w:p>
      <w:pPr>
        <w:ind w:left="80"/>
        <w:spacing w:after="0"/>
        <w:rPr>
          <w:sz w:val="20"/>
          <w:szCs w:val="20"/>
          <w:color w:val="auto"/>
        </w:rPr>
      </w:pPr>
      <w:r>
        <w:rPr>
          <w:rFonts w:ascii="Arial" w:cs="Arial" w:eastAsia="Arial" w:hAnsi="Arial"/>
          <w:sz w:val="14"/>
          <w:szCs w:val="14"/>
          <w:color w:val="auto"/>
        </w:rPr>
        <w:t>event shift, increased 0.4% compared with the same period last year.</w:t>
      </w:r>
    </w:p>
    <w:p>
      <w:pPr>
        <w:spacing w:after="0" w:line="1" w:lineRule="exact"/>
        <w:rPr>
          <w:sz w:val="20"/>
          <w:szCs w:val="20"/>
          <w:color w:val="auto"/>
        </w:rPr>
      </w:pPr>
    </w:p>
    <w:p>
      <w:pPr>
        <w:ind w:left="80" w:hanging="72"/>
        <w:spacing w:after="0"/>
        <w:tabs>
          <w:tab w:leader="none" w:pos="80" w:val="left"/>
        </w:tabs>
        <w:numPr>
          <w:ilvl w:val="0"/>
          <w:numId w:val="41"/>
        </w:numPr>
        <w:rPr>
          <w:rFonts w:ascii="Arial" w:cs="Arial" w:eastAsia="Arial" w:hAnsi="Arial"/>
          <w:sz w:val="8"/>
          <w:szCs w:val="8"/>
          <w:color w:val="auto"/>
        </w:rPr>
      </w:pPr>
      <w:r>
        <w:rPr>
          <w:rFonts w:ascii="Arial" w:cs="Arial" w:eastAsia="Arial" w:hAnsi="Arial"/>
          <w:sz w:val="13"/>
          <w:szCs w:val="13"/>
          <w:color w:val="auto"/>
        </w:rPr>
        <w:t>Due to the anti-dilutive effect resulting from the reported net loss in the third quarter of 2016, the impact of potentially dilutive securities on the weighted-average shares outstanding has been</w:t>
      </w:r>
    </w:p>
    <w:p>
      <w:pPr>
        <w:spacing w:after="0" w:line="13" w:lineRule="exact"/>
        <w:rPr>
          <w:sz w:val="20"/>
          <w:szCs w:val="20"/>
          <w:color w:val="auto"/>
        </w:rPr>
      </w:pPr>
    </w:p>
    <w:p>
      <w:pPr>
        <w:ind w:left="80" w:right="400"/>
        <w:spacing w:after="0" w:line="241" w:lineRule="auto"/>
        <w:rPr>
          <w:sz w:val="20"/>
          <w:szCs w:val="20"/>
          <w:color w:val="auto"/>
        </w:rPr>
      </w:pPr>
      <w:r>
        <w:rPr>
          <w:rFonts w:ascii="Arial" w:cs="Arial" w:eastAsia="Arial" w:hAnsi="Arial"/>
          <w:sz w:val="14"/>
          <w:szCs w:val="14"/>
          <w:color w:val="auto"/>
        </w:rPr>
        <w:t>omitted from the quarterly calculation of loss per diluted share. The impact of these potentially dilutive securities has been included in the calculation of weighted-average shares for all other periods in 2016.</w:t>
      </w:r>
    </w:p>
    <w:p>
      <w:pPr>
        <w:spacing w:after="0" w:line="1" w:lineRule="exact"/>
        <w:rPr>
          <w:sz w:val="20"/>
          <w:szCs w:val="20"/>
          <w:color w:val="auto"/>
        </w:rPr>
      </w:pPr>
    </w:p>
    <w:p>
      <w:pPr>
        <w:ind w:left="80" w:hanging="72"/>
        <w:spacing w:after="0"/>
        <w:tabs>
          <w:tab w:leader="none" w:pos="80" w:val="left"/>
        </w:tabs>
        <w:numPr>
          <w:ilvl w:val="0"/>
          <w:numId w:val="42"/>
        </w:numPr>
        <w:rPr>
          <w:rFonts w:ascii="Arial" w:cs="Arial" w:eastAsia="Arial" w:hAnsi="Arial"/>
          <w:sz w:val="9"/>
          <w:szCs w:val="9"/>
          <w:color w:val="auto"/>
        </w:rPr>
      </w:pPr>
      <w:r>
        <w:rPr>
          <w:rFonts w:ascii="Arial" w:cs="Arial" w:eastAsia="Arial" w:hAnsi="Arial"/>
          <w:sz w:val="14"/>
          <w:szCs w:val="14"/>
          <w:color w:val="auto"/>
        </w:rPr>
        <w:t>On October 1, 2015, we completed the sale of a substantial majority of our U.S. Visa and private label credit card portfolio to TD (see Note 2: Credit Card Receivable Transaction).</w:t>
      </w: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3"/>
          <w:szCs w:val="13"/>
          <w:color w:val="auto"/>
        </w:rPr>
        <w:t xml:space="preserve">Nordstrom, Inc. and subsidiaries </w:t>
      </w:r>
      <w:r>
        <w:rPr>
          <w:rFonts w:ascii="Arial" w:cs="Arial" w:eastAsia="Arial" w:hAnsi="Arial"/>
          <w:sz w:val="16"/>
          <w:szCs w:val="16"/>
          <w:color w:val="auto"/>
        </w:rPr>
        <w:t>63</w:t>
      </w:r>
    </w:p>
    <w:p>
      <w:pPr>
        <w:sectPr>
          <w:pgSz w:w="11900" w:h="16838" w:orient="portrait"/>
          <w:cols w:equalWidth="0" w:num="1">
            <w:col w:w="11420"/>
          </w:cols>
          <w:pgMar w:left="240" w:top="126" w:right="239" w:bottom="1440" w:gutter="0" w:footer="0" w:header="0"/>
        </w:sectPr>
      </w:pPr>
    </w:p>
    <w:bookmarkStart w:id="64" w:name="page65"/>
    <w:bookmarkEnd w:id="64"/>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 Changes in and Disagreements With Accountants on Accounting and Financial Disclosure.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9A. Controls and Procedures.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7" w:lineRule="exact"/>
        <w:rPr>
          <w:sz w:val="20"/>
          <w:szCs w:val="20"/>
          <w:color w:val="auto"/>
        </w:rPr>
      </w:pPr>
    </w:p>
    <w:p>
      <w:pPr>
        <w:ind w:right="260"/>
        <w:spacing w:after="0" w:line="253" w:lineRule="auto"/>
        <w:rPr>
          <w:sz w:val="20"/>
          <w:szCs w:val="20"/>
          <w:color w:val="auto"/>
        </w:rPr>
      </w:pPr>
      <w:r>
        <w:rPr>
          <w:rFonts w:ascii="Arial" w:cs="Arial" w:eastAsia="Arial" w:hAnsi="Arial"/>
          <w:sz w:val="18"/>
          <w:szCs w:val="18"/>
          <w:color w:val="auto"/>
        </w:rPr>
        <w:t>On May 4, 2015, the Company filed a Form 8-K announcing the appointment of Blake Nordstrom, Pete Nordstrom and Erik Nordstrom as co-presidents of Nordstrom, Inc. The three executives retained their current roles and responsibilities following that appointment. In light of those individual responsibilities, Blake Nordstrom continues to serve as the Company’s principal executive officer for purposes of the Securities Exchange Act of 1934, as amended (the “Exchange Act”). The Company’s Executive Vice President and Chief Financial Officer is the Company’s principal financial officer for purposes of the Exchange Act.</w:t>
      </w:r>
    </w:p>
    <w:p>
      <w:pPr>
        <w:spacing w:after="0" w:line="13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As of the end of the period covered by this Annual Report on Form 10-K, the Company performed an evaluation under the supervision and with the participation of management, including our principal executive officer and principal financial officer, of the design and effectiveness of our disclosure controls and procedures (as defined in rules 13a-15(e) or 15d-15(e) under the Exchange Act. Based upon that evaluation, our principal executive officer and principal financial officer concluded that, as of the end of the period covered by this Annual Report, our disclosure controls and procedures were effective in the timely and accurate recording, processing, summarizing and reporting of material financial and non-financial information within the time periods specified within the SEC’s rules and forms. Our principal executive officer and principal financial officer also concluded that our disclosure controls and procedures were effective to ensure that information required to be disclosed in the reports that we file or submit under the Exchange Act is accumulated and communicated to our management, including our principal executive officer and principal financial officer, to allow timely decisions regarding required disclosure.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7" w:lineRule="exact"/>
        <w:rPr>
          <w:sz w:val="20"/>
          <w:szCs w:val="20"/>
          <w:color w:val="auto"/>
        </w:rPr>
      </w:pPr>
    </w:p>
    <w:p>
      <w:pPr>
        <w:ind w:right="40"/>
        <w:spacing w:after="0" w:line="323" w:lineRule="auto"/>
        <w:rPr>
          <w:sz w:val="20"/>
          <w:szCs w:val="20"/>
          <w:color w:val="auto"/>
        </w:rPr>
      </w:pPr>
      <w:r>
        <w:rPr>
          <w:rFonts w:ascii="Arial" w:cs="Arial" w:eastAsia="Arial" w:hAnsi="Arial"/>
          <w:sz w:val="16"/>
          <w:szCs w:val="16"/>
          <w:color w:val="auto"/>
        </w:rPr>
        <w:t>There have been no changes in our internal control over financial reporting (as defined in Rules 13a-15(f) or 15d-15(f) of the Exchange Act) during our most recently completed fiscal quarter that have materially affected, or are reasonably likely to materially affect, our internal control over financial reporting.</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as is defined in the Exchange Act. These internal controls are designed to provide reasonable assurance that the reported financial information is presented fairly, that disclosures are adequate and that the judgments inherent in the preparation of financial statements are reasonable. There are inherent limitations in the effectiveness of any system of internal control, including the possibility of human error and overriding of controls. Consequently, an effective internal control system can only provide reasonable, not absolute, assurance with respect to reporting financial information.</w:t>
      </w:r>
    </w:p>
    <w:p>
      <w:pPr>
        <w:spacing w:after="0" w:line="125"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 xml:space="preserve">Management conducted an evaluation of the effectiveness of our internal control over financial reporting based on the framework and criteria established in </w:t>
      </w:r>
      <w:r>
        <w:rPr>
          <w:rFonts w:ascii="Arial" w:cs="Arial" w:eastAsia="Arial" w:hAnsi="Arial"/>
          <w:sz w:val="17"/>
          <w:szCs w:val="17"/>
          <w:i w:val="1"/>
          <w:iCs w:val="1"/>
          <w:color w:val="auto"/>
        </w:rPr>
        <w:t xml:space="preserve">Internal Control – Integrated Framework (2013), </w:t>
      </w:r>
      <w:r>
        <w:rPr>
          <w:rFonts w:ascii="Arial" w:cs="Arial" w:eastAsia="Arial" w:hAnsi="Arial"/>
          <w:sz w:val="17"/>
          <w:szCs w:val="17"/>
          <w:color w:val="auto"/>
        </w:rPr>
        <w:t>issued by the Committee of Sponsoring Organizations of the Treadway Commission. Based on this</w:t>
      </w:r>
      <w:r>
        <w:rPr>
          <w:rFonts w:ascii="Arial" w:cs="Arial" w:eastAsia="Arial" w:hAnsi="Arial"/>
          <w:sz w:val="17"/>
          <w:szCs w:val="17"/>
          <w:i w:val="1"/>
          <w:iCs w:val="1"/>
          <w:color w:val="auto"/>
        </w:rPr>
        <w:t xml:space="preserve"> </w:t>
      </w:r>
      <w:r>
        <w:rPr>
          <w:rFonts w:ascii="Arial" w:cs="Arial" w:eastAsia="Arial" w:hAnsi="Arial"/>
          <w:sz w:val="17"/>
          <w:szCs w:val="17"/>
          <w:color w:val="auto"/>
        </w:rPr>
        <w:t>evaluation, management concluded that the Company’s internal control over financial reporting was effective as of January 28, 2017.</w:t>
      </w:r>
    </w:p>
    <w:p>
      <w:pPr>
        <w:spacing w:after="0" w:line="111"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Deloitte &amp; Touche LLP, an independent registered public accounting firm, was retained to audit Nordstrom’s Consolidated Financial Statements and the effectiveness of the Company’s internal control over financial reporting. They have issued an attestation report on the Company’s internal control over financial reporting as of January 28, 2017, which is included herein.</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64</w:t>
      </w:r>
    </w:p>
    <w:p>
      <w:pPr>
        <w:sectPr>
          <w:pgSz w:w="11900" w:h="16838" w:orient="portrait"/>
          <w:cols w:equalWidth="0" w:num="1">
            <w:col w:w="11360"/>
          </w:cols>
          <w:pgMar w:left="240" w:top="126" w:right="299" w:bottom="1440" w:gutter="0" w:footer="0" w:header="0"/>
        </w:sectPr>
      </w:pPr>
    </w:p>
    <w:bookmarkStart w:id="65" w:name="page66"/>
    <w:bookmarkEnd w:id="65"/>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 Nordstrom,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Seattle, Washington</w:t>
      </w:r>
    </w:p>
    <w:p>
      <w:pPr>
        <w:spacing w:after="0" w:line="157"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 xml:space="preserve">We have audited the internal control over financial reporting of Nordstrom, Inc. and subsidiaries (the “Company”) as of January 28, 2017,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 The Company’s management is responsible for maintaining effective internal control over financial reporting and for its assessment of the effectiveness of internal control over financial reporting, included in the accompanying </w:t>
      </w:r>
      <w:r>
        <w:rPr>
          <w:rFonts w:ascii="Arial" w:cs="Arial" w:eastAsia="Arial" w:hAnsi="Arial"/>
          <w:sz w:val="17"/>
          <w:szCs w:val="17"/>
          <w:i w:val="1"/>
          <w:iCs w:val="1"/>
          <w:color w:val="auto"/>
        </w:rPr>
        <w:t>Management’s Report on Internal Control Over Financial Reporting</w:t>
      </w:r>
      <w:r>
        <w:rPr>
          <w:rFonts w:ascii="Arial" w:cs="Arial" w:eastAsia="Arial" w:hAnsi="Arial"/>
          <w:sz w:val="17"/>
          <w:szCs w:val="17"/>
          <w:color w:val="auto"/>
        </w:rPr>
        <w:t>. Our responsibility is to express an opinion on the Company’s internal control over financial reporting based on our audit.</w:t>
      </w:r>
    </w:p>
    <w:p>
      <w:pPr>
        <w:spacing w:after="0" w:line="132" w:lineRule="exact"/>
        <w:rPr>
          <w:sz w:val="20"/>
          <w:szCs w:val="20"/>
          <w:color w:val="auto"/>
        </w:rPr>
      </w:pPr>
    </w:p>
    <w:p>
      <w:pPr>
        <w:jc w:val="both"/>
        <w:ind w:right="120"/>
        <w:spacing w:after="0" w:line="276" w:lineRule="auto"/>
        <w:rPr>
          <w:sz w:val="20"/>
          <w:szCs w:val="20"/>
          <w:color w:val="auto"/>
        </w:rPr>
      </w:pPr>
      <w:r>
        <w:rPr>
          <w:rFonts w:ascii="Arial" w:cs="Arial" w:eastAsia="Arial" w:hAnsi="Arial"/>
          <w:sz w:val="17"/>
          <w:szCs w:val="17"/>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32"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41" w:lineRule="exact"/>
        <w:rPr>
          <w:sz w:val="20"/>
          <w:szCs w:val="20"/>
          <w:color w:val="auto"/>
        </w:rPr>
      </w:pPr>
    </w:p>
    <w:p>
      <w:pPr>
        <w:ind w:right="380"/>
        <w:spacing w:after="0" w:line="279" w:lineRule="auto"/>
        <w:rPr>
          <w:sz w:val="20"/>
          <w:szCs w:val="20"/>
          <w:color w:val="auto"/>
        </w:rPr>
      </w:pPr>
      <w:r>
        <w:rPr>
          <w:rFonts w:ascii="Arial" w:cs="Arial" w:eastAsia="Arial" w:hAnsi="Arial"/>
          <w:sz w:val="17"/>
          <w:szCs w:val="17"/>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131"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 xml:space="preserve">In our opinion, the Company maintained, in all material respects, effective internal control over financial reporting as of January 28, 2017, based on the criteria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the Committee of Sponsoring Organizations of the Treadway Commission.</w:t>
      </w:r>
    </w:p>
    <w:p>
      <w:pPr>
        <w:spacing w:after="0" w:line="83"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the consolidated financial statements as of and for the year ended January 28, 2017 of the Company and our report dated March 20, 2017 expressed an unqualified opinion on those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Seattle, Washington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20, 2017</w:t>
      </w:r>
    </w:p>
    <w:p>
      <w:pPr>
        <w:spacing w:after="0" w:line="200" w:lineRule="exact"/>
        <w:rPr>
          <w:sz w:val="20"/>
          <w:szCs w:val="20"/>
          <w:color w:val="auto"/>
        </w:rPr>
      </w:pPr>
    </w:p>
    <w:p>
      <w:pPr>
        <w:spacing w:after="0" w:line="204" w:lineRule="exact"/>
        <w:rPr>
          <w:sz w:val="20"/>
          <w:szCs w:val="20"/>
          <w:color w:val="auto"/>
        </w:rPr>
      </w:pPr>
    </w:p>
    <w:p>
      <w:pPr>
        <w:jc w:val="right"/>
        <w:spacing w:after="0"/>
        <w:rPr>
          <w:sz w:val="20"/>
          <w:szCs w:val="20"/>
          <w:color w:val="auto"/>
        </w:rPr>
      </w:pPr>
      <w:r>
        <w:rPr>
          <w:rFonts w:ascii="Arial" w:cs="Arial" w:eastAsia="Arial" w:hAnsi="Arial"/>
          <w:sz w:val="13"/>
          <w:szCs w:val="13"/>
          <w:color w:val="auto"/>
        </w:rPr>
        <w:t xml:space="preserve">Nordstrom, Inc. and subsidiaries </w:t>
      </w:r>
      <w:r>
        <w:rPr>
          <w:rFonts w:ascii="Arial" w:cs="Arial" w:eastAsia="Arial" w:hAnsi="Arial"/>
          <w:sz w:val="16"/>
          <w:szCs w:val="16"/>
          <w:color w:val="auto"/>
        </w:rPr>
        <w:t>65</w:t>
      </w:r>
    </w:p>
    <w:p>
      <w:pPr>
        <w:sectPr>
          <w:pgSz w:w="11900" w:h="16838" w:orient="portrait"/>
          <w:cols w:equalWidth="0" w:num="1">
            <w:col w:w="11420"/>
          </w:cols>
          <w:pgMar w:left="240" w:top="126" w:right="239" w:bottom="1440" w:gutter="0" w:footer="0" w:header="0"/>
        </w:sectPr>
      </w:pPr>
    </w:p>
    <w:bookmarkStart w:id="66" w:name="page67"/>
    <w:bookmarkEnd w:id="66"/>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9B. Other Information.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72" w:lineRule="exact"/>
        <w:rPr>
          <w:sz w:val="20"/>
          <w:szCs w:val="20"/>
          <w:color w:val="auto"/>
        </w:rPr>
      </w:pPr>
    </w:p>
    <w:p>
      <w:pPr>
        <w:jc w:val="right"/>
        <w:ind w:right="5200"/>
        <w:spacing w:after="0"/>
        <w:rPr>
          <w:sz w:val="20"/>
          <w:szCs w:val="20"/>
          <w:color w:val="auto"/>
        </w:rPr>
      </w:pPr>
      <w:r>
        <w:rPr>
          <w:rFonts w:ascii="Arial" w:cs="Arial" w:eastAsia="Arial" w:hAnsi="Arial"/>
          <w:sz w:val="22"/>
          <w:szCs w:val="22"/>
          <w:b w:val="1"/>
          <w:bCs w:val="1"/>
          <w:color w:val="auto"/>
        </w:rPr>
        <w:t>PART III</w:t>
      </w:r>
    </w:p>
    <w:p>
      <w:pPr>
        <w:spacing w:after="0" w:line="166" w:lineRule="exact"/>
        <w:rPr>
          <w:sz w:val="20"/>
          <w:szCs w:val="20"/>
          <w:color w:val="auto"/>
        </w:rPr>
      </w:pPr>
    </w:p>
    <w:p>
      <w:pPr>
        <w:jc w:val="right"/>
        <w:ind w:right="5220"/>
        <w:spacing w:after="0"/>
        <w:rPr>
          <w:sz w:val="20"/>
          <w:szCs w:val="20"/>
          <w:color w:val="auto"/>
        </w:rPr>
      </w:pPr>
      <w:r>
        <w:rPr>
          <w:rFonts w:ascii="Arial" w:cs="Arial" w:eastAsia="Arial" w:hAnsi="Arial"/>
          <w:sz w:val="19"/>
          <w:szCs w:val="19"/>
          <w:b w:val="1"/>
          <w:bCs w:val="1"/>
          <w:color w:val="auto"/>
        </w:rPr>
        <w:t>Item 10. Directors, Executive Officers and Corporate Governance.</w:t>
      </w:r>
    </w:p>
    <w:p>
      <w:pPr>
        <w:spacing w:after="0" w:line="20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information required under this item is included in the following sections of our Proxy Statement for our 2017 Annual Meeting of Shareholders, the sections of which are incorporated by reference herein and will be filed within 120 days after the end of our fiscal year:</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Corporate Governance</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Director Nominating Process</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Section 16(a) Beneficial Ownership Reporting Compliance</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Requirements and Deadlines for Submission of Proxy Proposals, Nomination of Directors and other Business of Shareholders</w:t>
      </w:r>
    </w:p>
    <w:p>
      <w:pPr>
        <w:spacing w:after="0" w:line="15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certifications of our Co-President and Chief Financial Officer required pursuant to Sections 302 and 906 of the Sarbanes-Oxley Act of 2002 are included as exhibits to this Annual Report on Form 10-K and were included as exhibits to each of our quarterly reports on Form 10-Q. Our Co-President certified to the New York Stock Exchange (“NYSE”) on May 31, 2016 pursuant to Section 303A.12(a) of the NYSE’s listing standards, that he was not aware of any violation by the Company of the NYSE’s corporate governance listing standards as of that date.</w:t>
      </w:r>
    </w:p>
    <w:p>
      <w:pPr>
        <w:spacing w:after="0" w:line="1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11. Executive Compensation.</w:t>
      </w:r>
    </w:p>
    <w:p>
      <w:pPr>
        <w:spacing w:after="0" w:line="16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information required under this item is included in the following sections of our Proxy Statement for our 2017 Annual Meeting of Shareholders, the sections of which are incorporated by reference herein and will be filed within 120 days after the end of our fiscal year:</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Compensation of Executive Officers</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Director Compensation</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Compensation Committee Interlocks and Insider Participation</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Compensation Committee Report</w:t>
      </w:r>
    </w:p>
    <w:p>
      <w:pPr>
        <w:spacing w:after="0" w:line="15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12. Security Ownership of Certain Beneficial Owners and Management and Related Shareholder Matters.</w:t>
      </w:r>
    </w:p>
    <w:p>
      <w:pPr>
        <w:spacing w:after="0" w:line="17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information required under this item is included in the following sections of our Proxy Statement for our 2017 Annual Meeting of Shareholders, the sections of which are incorporated by reference herein and will be filed within 120 days after the end of our fiscal year:</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Security Ownership of Certain Beneficial Owners and Management</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Equity Compensation Plans</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13. Certain Relationships and Related Transactions, and Director Independence.</w:t>
      </w:r>
    </w:p>
    <w:p>
      <w:pPr>
        <w:spacing w:after="0" w:line="16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information required under this item is included in the following sections of our Proxy Statement for our 2017 Annual Meeting of Shareholders, the sections of which are incorporated by reference herein and will be filed within 120 days after the end of our fiscal year:</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Corporate Governance</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Certain Relationships and Related Transactions</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14. Principal Accounting Fees and Services.</w:t>
      </w:r>
    </w:p>
    <w:p>
      <w:pPr>
        <w:spacing w:after="0" w:line="165"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information required under this item is included in the following section of our Proxy Statement for our 2017 Annual Meeting of Shareholders, the section of which is incorporated by reference herein and will be filed within 120 days after the end of our fiscal year:</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Ratification of the Appointment of Independent Registered Public Accounting Firm</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6"/>
          <w:szCs w:val="16"/>
          <w:color w:val="auto"/>
        </w:rPr>
        <w:t>66</w:t>
      </w:r>
    </w:p>
    <w:p>
      <w:pPr>
        <w:sectPr>
          <w:pgSz w:w="11900" w:h="16838" w:orient="portrait"/>
          <w:cols w:equalWidth="0" w:num="1">
            <w:col w:w="11340"/>
          </w:cols>
          <w:pgMar w:left="240" w:top="126" w:right="319" w:bottom="1440" w:gutter="0" w:footer="0" w:header="0"/>
        </w:sectPr>
      </w:pPr>
    </w:p>
    <w:bookmarkStart w:id="67" w:name="page68"/>
    <w:bookmarkEnd w:id="67"/>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8600" w:type="dxa"/>
            <w:vAlign w:val="bottom"/>
          </w:tcPr>
          <w:p>
            <w:pPr>
              <w:ind w:left="5280"/>
              <w:spacing w:after="0"/>
              <w:rPr>
                <w:sz w:val="20"/>
                <w:szCs w:val="20"/>
                <w:color w:val="auto"/>
              </w:rPr>
            </w:pPr>
            <w:r>
              <w:rPr>
                <w:rFonts w:ascii="Arial" w:cs="Arial" w:eastAsia="Arial" w:hAnsi="Arial"/>
                <w:sz w:val="22"/>
                <w:szCs w:val="22"/>
                <w:b w:val="1"/>
                <w:bCs w:val="1"/>
                <w:color w:val="auto"/>
              </w:rPr>
              <w:t>PART IV</w:t>
            </w:r>
          </w:p>
        </w:tc>
        <w:tc>
          <w:tcPr>
            <w:tcW w:w="2820" w:type="dxa"/>
            <w:vAlign w:val="bottom"/>
          </w:tcPr>
          <w:p>
            <w:pPr>
              <w:spacing w:after="0"/>
              <w:rPr>
                <w:sz w:val="24"/>
                <w:szCs w:val="24"/>
                <w:color w:val="auto"/>
              </w:rPr>
            </w:pPr>
          </w:p>
        </w:tc>
      </w:tr>
      <w:tr>
        <w:trPr>
          <w:trHeight w:val="419"/>
        </w:trPr>
        <w:tc>
          <w:tcPr>
            <w:tcW w:w="8600" w:type="dxa"/>
            <w:vAlign w:val="bottom"/>
          </w:tcPr>
          <w:p>
            <w:pPr>
              <w:spacing w:after="0"/>
              <w:rPr>
                <w:sz w:val="20"/>
                <w:szCs w:val="20"/>
                <w:color w:val="auto"/>
              </w:rPr>
            </w:pPr>
            <w:r>
              <w:rPr>
                <w:rFonts w:ascii="Arial" w:cs="Arial" w:eastAsia="Arial" w:hAnsi="Arial"/>
                <w:sz w:val="22"/>
                <w:szCs w:val="22"/>
                <w:b w:val="1"/>
                <w:bCs w:val="1"/>
                <w:color w:val="auto"/>
              </w:rPr>
              <w:t>Item 15. Exhibits and Financial Statement Schedules.</w:t>
            </w:r>
          </w:p>
        </w:tc>
        <w:tc>
          <w:tcPr>
            <w:tcW w:w="2820" w:type="dxa"/>
            <w:vAlign w:val="bottom"/>
          </w:tcPr>
          <w:p>
            <w:pPr>
              <w:spacing w:after="0"/>
              <w:rPr>
                <w:sz w:val="24"/>
                <w:szCs w:val="24"/>
                <w:color w:val="auto"/>
              </w:rPr>
            </w:pPr>
          </w:p>
        </w:tc>
      </w:tr>
      <w:tr>
        <w:trPr>
          <w:trHeight w:val="368"/>
        </w:trPr>
        <w:tc>
          <w:tcPr>
            <w:tcW w:w="8600" w:type="dxa"/>
            <w:vAlign w:val="bottom"/>
          </w:tcPr>
          <w:p>
            <w:pPr>
              <w:spacing w:after="0"/>
              <w:rPr>
                <w:sz w:val="20"/>
                <w:szCs w:val="20"/>
                <w:color w:val="auto"/>
              </w:rPr>
            </w:pPr>
            <w:r>
              <w:rPr>
                <w:rFonts w:ascii="Arial" w:cs="Arial" w:eastAsia="Arial" w:hAnsi="Arial"/>
                <w:sz w:val="18"/>
                <w:szCs w:val="18"/>
                <w:color w:val="auto"/>
              </w:rPr>
              <w:t>The following information required under this item is filed as part of this report:</w:t>
            </w:r>
          </w:p>
        </w:tc>
        <w:tc>
          <w:tcPr>
            <w:tcW w:w="2820" w:type="dxa"/>
            <w:vAlign w:val="bottom"/>
          </w:tcPr>
          <w:p>
            <w:pPr>
              <w:spacing w:after="0"/>
              <w:rPr>
                <w:sz w:val="24"/>
                <w:szCs w:val="24"/>
                <w:color w:val="auto"/>
              </w:rPr>
            </w:pPr>
          </w:p>
        </w:tc>
      </w:tr>
      <w:tr>
        <w:trPr>
          <w:trHeight w:val="378"/>
        </w:trPr>
        <w:tc>
          <w:tcPr>
            <w:tcW w:w="8600" w:type="dxa"/>
            <w:vAlign w:val="bottom"/>
          </w:tcPr>
          <w:p>
            <w:pPr>
              <w:spacing w:after="0"/>
              <w:rPr>
                <w:sz w:val="20"/>
                <w:szCs w:val="20"/>
                <w:color w:val="auto"/>
              </w:rPr>
            </w:pPr>
            <w:r>
              <w:rPr>
                <w:rFonts w:ascii="Arial" w:cs="Arial" w:eastAsia="Arial" w:hAnsi="Arial"/>
                <w:sz w:val="18"/>
                <w:szCs w:val="18"/>
                <w:b w:val="1"/>
                <w:bCs w:val="1"/>
                <w:color w:val="auto"/>
              </w:rPr>
              <w:t>(a)1. FINANCIAL STATEMENTS</w:t>
            </w:r>
          </w:p>
        </w:tc>
        <w:tc>
          <w:tcPr>
            <w:tcW w:w="2820" w:type="dxa"/>
            <w:vAlign w:val="bottom"/>
          </w:tcPr>
          <w:p>
            <w:pPr>
              <w:spacing w:after="0"/>
              <w:rPr>
                <w:sz w:val="24"/>
                <w:szCs w:val="24"/>
                <w:color w:val="auto"/>
              </w:rPr>
            </w:pPr>
          </w:p>
        </w:tc>
      </w:tr>
      <w:tr>
        <w:trPr>
          <w:trHeight w:val="359"/>
        </w:trPr>
        <w:tc>
          <w:tcPr>
            <w:tcW w:w="8600" w:type="dxa"/>
            <w:vAlign w:val="bottom"/>
          </w:tcPr>
          <w:p>
            <w:pPr>
              <w:spacing w:after="0"/>
              <w:rPr>
                <w:sz w:val="24"/>
                <w:szCs w:val="24"/>
                <w:color w:val="auto"/>
              </w:rPr>
            </w:pPr>
          </w:p>
        </w:tc>
        <w:tc>
          <w:tcPr>
            <w:tcW w:w="2820" w:type="dxa"/>
            <w:vAlign w:val="bottom"/>
          </w:tcPr>
          <w:p>
            <w:pPr>
              <w:jc w:val="right"/>
              <w:spacing w:after="0"/>
              <w:rPr>
                <w:sz w:val="20"/>
                <w:szCs w:val="20"/>
                <w:color w:val="auto"/>
              </w:rPr>
            </w:pPr>
            <w:r>
              <w:rPr>
                <w:rFonts w:ascii="Arial" w:cs="Arial" w:eastAsia="Arial" w:hAnsi="Arial"/>
                <w:sz w:val="16"/>
                <w:szCs w:val="16"/>
                <w:b w:val="1"/>
                <w:bCs w:val="1"/>
                <w:color w:val="auto"/>
              </w:rPr>
              <w:t>Page</w:t>
            </w:r>
          </w:p>
        </w:tc>
      </w:tr>
      <w:tr>
        <w:trPr>
          <w:trHeight w:val="33"/>
        </w:trPr>
        <w:tc>
          <w:tcPr>
            <w:tcW w:w="8600" w:type="dxa"/>
            <w:vAlign w:val="bottom"/>
          </w:tcPr>
          <w:p>
            <w:pPr>
              <w:spacing w:after="0"/>
              <w:rPr>
                <w:sz w:val="2"/>
                <w:szCs w:val="2"/>
                <w:color w:val="auto"/>
              </w:rPr>
            </w:pPr>
          </w:p>
        </w:tc>
        <w:tc>
          <w:tcPr>
            <w:tcW w:w="2820" w:type="dxa"/>
            <w:vAlign w:val="bottom"/>
          </w:tcPr>
          <w:p>
            <w:pPr>
              <w:spacing w:after="0"/>
              <w:rPr>
                <w:sz w:val="2"/>
                <w:szCs w:val="2"/>
                <w:color w:val="auto"/>
              </w:rPr>
            </w:pPr>
          </w:p>
        </w:tc>
      </w:tr>
      <w:tr>
        <w:trPr>
          <w:trHeight w:val="237"/>
        </w:trPr>
        <w:tc>
          <w:tcPr>
            <w:tcW w:w="86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Report of Independent Registered Public Accounting Firm</w:t>
            </w:r>
          </w:p>
        </w:tc>
        <w:tc>
          <w:tcPr>
            <w:tcW w:w="2820" w:type="dxa"/>
            <w:vAlign w:val="bottom"/>
            <w:tcBorders>
              <w:bottom w:val="single" w:sz="8" w:color="CCEEFF"/>
            </w:tcBorders>
            <w:shd w:val="clear" w:color="auto" w:fill="CCEEFF"/>
          </w:tcPr>
          <w:p>
            <w:pPr>
              <w:jc w:val="right"/>
              <w:spacing w:after="0"/>
              <w:rPr>
                <w:rFonts w:ascii="Arial" w:cs="Arial" w:eastAsia="Arial" w:hAnsi="Arial"/>
                <w:sz w:val="16"/>
                <w:szCs w:val="16"/>
                <w:color w:val="auto"/>
              </w:rPr>
            </w:pPr>
            <w:hyperlink w:anchor="page36">
              <w:r>
                <w:rPr>
                  <w:rFonts w:ascii="Arial" w:cs="Arial" w:eastAsia="Arial" w:hAnsi="Arial"/>
                  <w:sz w:val="16"/>
                  <w:szCs w:val="16"/>
                  <w:color w:val="auto"/>
                </w:rPr>
                <w:t>36</w:t>
              </w:r>
            </w:hyperlink>
          </w:p>
        </w:tc>
      </w:tr>
      <w:tr>
        <w:trPr>
          <w:trHeight w:val="224"/>
        </w:trPr>
        <w:tc>
          <w:tcPr>
            <w:tcW w:w="8600" w:type="dxa"/>
            <w:vAlign w:val="bottom"/>
          </w:tcPr>
          <w:p>
            <w:pPr>
              <w:ind w:left="380"/>
              <w:spacing w:after="0"/>
              <w:rPr>
                <w:sz w:val="20"/>
                <w:szCs w:val="20"/>
                <w:color w:val="auto"/>
              </w:rPr>
            </w:pPr>
            <w:r>
              <w:rPr>
                <w:rFonts w:ascii="Arial" w:cs="Arial" w:eastAsia="Arial" w:hAnsi="Arial"/>
                <w:sz w:val="16"/>
                <w:szCs w:val="16"/>
                <w:color w:val="auto"/>
              </w:rPr>
              <w:t>Consolidated Statements of Earnings</w:t>
            </w:r>
          </w:p>
        </w:tc>
        <w:tc>
          <w:tcPr>
            <w:tcW w:w="2820" w:type="dxa"/>
            <w:vAlign w:val="bottom"/>
          </w:tcPr>
          <w:p>
            <w:pPr>
              <w:jc w:val="right"/>
              <w:spacing w:after="0"/>
              <w:rPr>
                <w:rFonts w:ascii="Arial" w:cs="Arial" w:eastAsia="Arial" w:hAnsi="Arial"/>
                <w:sz w:val="16"/>
                <w:szCs w:val="16"/>
                <w:color w:val="auto"/>
              </w:rPr>
            </w:pPr>
            <w:hyperlink w:anchor="page37">
              <w:r>
                <w:rPr>
                  <w:rFonts w:ascii="Arial" w:cs="Arial" w:eastAsia="Arial" w:hAnsi="Arial"/>
                  <w:sz w:val="16"/>
                  <w:szCs w:val="16"/>
                  <w:color w:val="auto"/>
                </w:rPr>
                <w:t>37</w:t>
              </w:r>
            </w:hyperlink>
          </w:p>
        </w:tc>
      </w:tr>
      <w:tr>
        <w:trPr>
          <w:trHeight w:val="33"/>
        </w:trPr>
        <w:tc>
          <w:tcPr>
            <w:tcW w:w="8600" w:type="dxa"/>
            <w:vAlign w:val="bottom"/>
          </w:tcPr>
          <w:p>
            <w:pPr>
              <w:spacing w:after="0"/>
              <w:rPr>
                <w:sz w:val="2"/>
                <w:szCs w:val="2"/>
                <w:color w:val="auto"/>
              </w:rPr>
            </w:pPr>
          </w:p>
        </w:tc>
        <w:tc>
          <w:tcPr>
            <w:tcW w:w="2820" w:type="dxa"/>
            <w:vAlign w:val="bottom"/>
          </w:tcPr>
          <w:p>
            <w:pPr>
              <w:spacing w:after="0"/>
              <w:rPr>
                <w:sz w:val="2"/>
                <w:szCs w:val="2"/>
                <w:color w:val="auto"/>
              </w:rPr>
            </w:pPr>
          </w:p>
        </w:tc>
      </w:tr>
      <w:tr>
        <w:trPr>
          <w:trHeight w:val="237"/>
        </w:trPr>
        <w:tc>
          <w:tcPr>
            <w:tcW w:w="86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Consolidated Statements of Comprehensive Earnings</w:t>
            </w:r>
          </w:p>
        </w:tc>
        <w:tc>
          <w:tcPr>
            <w:tcW w:w="2820" w:type="dxa"/>
            <w:vAlign w:val="bottom"/>
            <w:tcBorders>
              <w:bottom w:val="single" w:sz="8" w:color="CCEEFF"/>
            </w:tcBorders>
            <w:shd w:val="clear" w:color="auto" w:fill="CCEEFF"/>
          </w:tcPr>
          <w:p>
            <w:pPr>
              <w:jc w:val="right"/>
              <w:spacing w:after="0"/>
              <w:rPr>
                <w:rFonts w:ascii="Arial" w:cs="Arial" w:eastAsia="Arial" w:hAnsi="Arial"/>
                <w:sz w:val="16"/>
                <w:szCs w:val="16"/>
                <w:color w:val="auto"/>
              </w:rPr>
            </w:pPr>
            <w:hyperlink w:anchor="page37">
              <w:r>
                <w:rPr>
                  <w:rFonts w:ascii="Arial" w:cs="Arial" w:eastAsia="Arial" w:hAnsi="Arial"/>
                  <w:sz w:val="16"/>
                  <w:szCs w:val="16"/>
                  <w:color w:val="auto"/>
                </w:rPr>
                <w:t>37</w:t>
              </w:r>
            </w:hyperlink>
          </w:p>
        </w:tc>
      </w:tr>
      <w:tr>
        <w:trPr>
          <w:trHeight w:val="224"/>
        </w:trPr>
        <w:tc>
          <w:tcPr>
            <w:tcW w:w="8600" w:type="dxa"/>
            <w:vAlign w:val="bottom"/>
          </w:tcPr>
          <w:p>
            <w:pPr>
              <w:ind w:left="380"/>
              <w:spacing w:after="0"/>
              <w:rPr>
                <w:sz w:val="20"/>
                <w:szCs w:val="20"/>
                <w:color w:val="auto"/>
              </w:rPr>
            </w:pPr>
            <w:r>
              <w:rPr>
                <w:rFonts w:ascii="Arial" w:cs="Arial" w:eastAsia="Arial" w:hAnsi="Arial"/>
                <w:sz w:val="16"/>
                <w:szCs w:val="16"/>
                <w:color w:val="auto"/>
              </w:rPr>
              <w:t>Consolidated Balance Sheets</w:t>
            </w:r>
          </w:p>
        </w:tc>
        <w:tc>
          <w:tcPr>
            <w:tcW w:w="2820" w:type="dxa"/>
            <w:vAlign w:val="bottom"/>
          </w:tcPr>
          <w:p>
            <w:pPr>
              <w:jc w:val="right"/>
              <w:spacing w:after="0"/>
              <w:rPr>
                <w:rFonts w:ascii="Arial" w:cs="Arial" w:eastAsia="Arial" w:hAnsi="Arial"/>
                <w:sz w:val="16"/>
                <w:szCs w:val="16"/>
                <w:color w:val="auto"/>
              </w:rPr>
            </w:pPr>
            <w:hyperlink w:anchor="page38">
              <w:r>
                <w:rPr>
                  <w:rFonts w:ascii="Arial" w:cs="Arial" w:eastAsia="Arial" w:hAnsi="Arial"/>
                  <w:sz w:val="16"/>
                  <w:szCs w:val="16"/>
                  <w:color w:val="auto"/>
                </w:rPr>
                <w:t>38</w:t>
              </w:r>
            </w:hyperlink>
          </w:p>
        </w:tc>
      </w:tr>
      <w:tr>
        <w:trPr>
          <w:trHeight w:val="33"/>
        </w:trPr>
        <w:tc>
          <w:tcPr>
            <w:tcW w:w="8600" w:type="dxa"/>
            <w:vAlign w:val="bottom"/>
          </w:tcPr>
          <w:p>
            <w:pPr>
              <w:spacing w:after="0"/>
              <w:rPr>
                <w:sz w:val="2"/>
                <w:szCs w:val="2"/>
                <w:color w:val="auto"/>
              </w:rPr>
            </w:pPr>
          </w:p>
        </w:tc>
        <w:tc>
          <w:tcPr>
            <w:tcW w:w="2820" w:type="dxa"/>
            <w:vAlign w:val="bottom"/>
          </w:tcPr>
          <w:p>
            <w:pPr>
              <w:spacing w:after="0"/>
              <w:rPr>
                <w:sz w:val="2"/>
                <w:szCs w:val="2"/>
                <w:color w:val="auto"/>
              </w:rPr>
            </w:pPr>
          </w:p>
        </w:tc>
      </w:tr>
      <w:tr>
        <w:trPr>
          <w:trHeight w:val="237"/>
        </w:trPr>
        <w:tc>
          <w:tcPr>
            <w:tcW w:w="86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Consolidated Statements of Shareholders’ Equity</w:t>
            </w:r>
          </w:p>
        </w:tc>
        <w:tc>
          <w:tcPr>
            <w:tcW w:w="2820" w:type="dxa"/>
            <w:vAlign w:val="bottom"/>
            <w:tcBorders>
              <w:bottom w:val="single" w:sz="8" w:color="CCEEFF"/>
            </w:tcBorders>
            <w:shd w:val="clear" w:color="auto" w:fill="CCEEFF"/>
          </w:tcPr>
          <w:p>
            <w:pPr>
              <w:jc w:val="right"/>
              <w:spacing w:after="0"/>
              <w:rPr>
                <w:rFonts w:ascii="Arial" w:cs="Arial" w:eastAsia="Arial" w:hAnsi="Arial"/>
                <w:sz w:val="16"/>
                <w:szCs w:val="16"/>
                <w:color w:val="auto"/>
              </w:rPr>
            </w:pPr>
            <w:hyperlink w:anchor="page39">
              <w:r>
                <w:rPr>
                  <w:rFonts w:ascii="Arial" w:cs="Arial" w:eastAsia="Arial" w:hAnsi="Arial"/>
                  <w:sz w:val="16"/>
                  <w:szCs w:val="16"/>
                  <w:color w:val="auto"/>
                </w:rPr>
                <w:t>39</w:t>
              </w:r>
            </w:hyperlink>
          </w:p>
        </w:tc>
      </w:tr>
      <w:tr>
        <w:trPr>
          <w:trHeight w:val="224"/>
        </w:trPr>
        <w:tc>
          <w:tcPr>
            <w:tcW w:w="8600" w:type="dxa"/>
            <w:vAlign w:val="bottom"/>
          </w:tcPr>
          <w:p>
            <w:pPr>
              <w:ind w:left="380"/>
              <w:spacing w:after="0"/>
              <w:rPr>
                <w:sz w:val="20"/>
                <w:szCs w:val="20"/>
                <w:color w:val="auto"/>
              </w:rPr>
            </w:pPr>
            <w:r>
              <w:rPr>
                <w:rFonts w:ascii="Arial" w:cs="Arial" w:eastAsia="Arial" w:hAnsi="Arial"/>
                <w:sz w:val="16"/>
                <w:szCs w:val="16"/>
                <w:color w:val="auto"/>
              </w:rPr>
              <w:t>Consolidated Statements of Cash Flows</w:t>
            </w:r>
          </w:p>
        </w:tc>
        <w:tc>
          <w:tcPr>
            <w:tcW w:w="2820" w:type="dxa"/>
            <w:vAlign w:val="bottom"/>
          </w:tcPr>
          <w:p>
            <w:pPr>
              <w:jc w:val="right"/>
              <w:spacing w:after="0"/>
              <w:rPr>
                <w:rFonts w:ascii="Arial" w:cs="Arial" w:eastAsia="Arial" w:hAnsi="Arial"/>
                <w:sz w:val="16"/>
                <w:szCs w:val="16"/>
                <w:color w:val="auto"/>
              </w:rPr>
            </w:pPr>
            <w:hyperlink w:anchor="page40">
              <w:r>
                <w:rPr>
                  <w:rFonts w:ascii="Arial" w:cs="Arial" w:eastAsia="Arial" w:hAnsi="Arial"/>
                  <w:sz w:val="16"/>
                  <w:szCs w:val="16"/>
                  <w:color w:val="auto"/>
                </w:rPr>
                <w:t>40</w:t>
              </w:r>
            </w:hyperlink>
          </w:p>
        </w:tc>
      </w:tr>
      <w:tr>
        <w:trPr>
          <w:trHeight w:val="33"/>
        </w:trPr>
        <w:tc>
          <w:tcPr>
            <w:tcW w:w="8600" w:type="dxa"/>
            <w:vAlign w:val="bottom"/>
          </w:tcPr>
          <w:p>
            <w:pPr>
              <w:spacing w:after="0"/>
              <w:rPr>
                <w:sz w:val="2"/>
                <w:szCs w:val="2"/>
                <w:color w:val="auto"/>
              </w:rPr>
            </w:pPr>
          </w:p>
        </w:tc>
        <w:tc>
          <w:tcPr>
            <w:tcW w:w="2820" w:type="dxa"/>
            <w:vAlign w:val="bottom"/>
          </w:tcPr>
          <w:p>
            <w:pPr>
              <w:spacing w:after="0"/>
              <w:rPr>
                <w:sz w:val="2"/>
                <w:szCs w:val="2"/>
                <w:color w:val="auto"/>
              </w:rPr>
            </w:pPr>
          </w:p>
        </w:tc>
      </w:tr>
      <w:tr>
        <w:trPr>
          <w:trHeight w:val="237"/>
        </w:trPr>
        <w:tc>
          <w:tcPr>
            <w:tcW w:w="86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Management’s Report on Internal Control Over Financial Reporting</w:t>
            </w:r>
          </w:p>
        </w:tc>
        <w:tc>
          <w:tcPr>
            <w:tcW w:w="2820" w:type="dxa"/>
            <w:vAlign w:val="bottom"/>
            <w:tcBorders>
              <w:bottom w:val="single" w:sz="8" w:color="CCEEFF"/>
            </w:tcBorders>
            <w:shd w:val="clear" w:color="auto" w:fill="CCEEFF"/>
          </w:tcPr>
          <w:p>
            <w:pPr>
              <w:jc w:val="right"/>
              <w:spacing w:after="0"/>
              <w:rPr>
                <w:rFonts w:ascii="Arial" w:cs="Arial" w:eastAsia="Arial" w:hAnsi="Arial"/>
                <w:sz w:val="16"/>
                <w:szCs w:val="16"/>
                <w:color w:val="auto"/>
              </w:rPr>
            </w:pPr>
            <w:hyperlink w:anchor="page65">
              <w:r>
                <w:rPr>
                  <w:rFonts w:ascii="Arial" w:cs="Arial" w:eastAsia="Arial" w:hAnsi="Arial"/>
                  <w:sz w:val="16"/>
                  <w:szCs w:val="16"/>
                  <w:color w:val="auto"/>
                </w:rPr>
                <w:t>64</w:t>
              </w:r>
            </w:hyperlink>
          </w:p>
        </w:tc>
      </w:tr>
      <w:tr>
        <w:trPr>
          <w:trHeight w:val="224"/>
        </w:trPr>
        <w:tc>
          <w:tcPr>
            <w:tcW w:w="8600" w:type="dxa"/>
            <w:vAlign w:val="bottom"/>
          </w:tcPr>
          <w:p>
            <w:pPr>
              <w:ind w:left="380"/>
              <w:spacing w:after="0"/>
              <w:rPr>
                <w:sz w:val="20"/>
                <w:szCs w:val="20"/>
                <w:color w:val="auto"/>
              </w:rPr>
            </w:pPr>
            <w:r>
              <w:rPr>
                <w:rFonts w:ascii="Arial" w:cs="Arial" w:eastAsia="Arial" w:hAnsi="Arial"/>
                <w:sz w:val="16"/>
                <w:szCs w:val="16"/>
                <w:color w:val="auto"/>
              </w:rPr>
              <w:t>Report of Independent Registered Public Accounting Firm</w:t>
            </w:r>
          </w:p>
        </w:tc>
        <w:tc>
          <w:tcPr>
            <w:tcW w:w="2820" w:type="dxa"/>
            <w:vAlign w:val="bottom"/>
          </w:tcPr>
          <w:p>
            <w:pPr>
              <w:jc w:val="right"/>
              <w:spacing w:after="0"/>
              <w:rPr>
                <w:rFonts w:ascii="Arial" w:cs="Arial" w:eastAsia="Arial" w:hAnsi="Arial"/>
                <w:sz w:val="16"/>
                <w:szCs w:val="16"/>
                <w:color w:val="auto"/>
              </w:rPr>
            </w:pPr>
            <w:hyperlink w:anchor="page66">
              <w:r>
                <w:rPr>
                  <w:rFonts w:ascii="Arial" w:cs="Arial" w:eastAsia="Arial" w:hAnsi="Arial"/>
                  <w:sz w:val="16"/>
                  <w:szCs w:val="16"/>
                  <w:color w:val="auto"/>
                </w:rPr>
                <w:t>65</w:t>
              </w:r>
            </w:hyperlink>
          </w:p>
        </w:tc>
      </w:tr>
    </w:tbl>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(a)3. EXHIBITS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Exhibits are incorporated herein by reference or are filed with this report as set forth in the Index to Exhibits on pages 70 through 75 hereof.</w:t>
      </w:r>
    </w:p>
    <w:p>
      <w:pPr>
        <w:spacing w:after="0" w:line="17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All other schedules and exhibits are omitted because they are not applicable, not required or because the information required has been given as part of this report.</w:t>
      </w:r>
    </w:p>
    <w:p>
      <w:pPr>
        <w:spacing w:after="0" w:line="364" w:lineRule="exact"/>
        <w:rPr>
          <w:sz w:val="20"/>
          <w:szCs w:val="20"/>
          <w:color w:val="auto"/>
        </w:rPr>
      </w:pPr>
    </w:p>
    <w:p>
      <w:pPr>
        <w:jc w:val="right"/>
        <w:spacing w:after="0"/>
        <w:rPr>
          <w:sz w:val="20"/>
          <w:szCs w:val="20"/>
          <w:color w:val="auto"/>
        </w:rPr>
      </w:pPr>
      <w:r>
        <w:rPr>
          <w:rFonts w:ascii="Arial" w:cs="Arial" w:eastAsia="Arial" w:hAnsi="Arial"/>
          <w:sz w:val="13"/>
          <w:szCs w:val="13"/>
          <w:color w:val="auto"/>
        </w:rPr>
        <w:t xml:space="preserve">Nordstrom, Inc. and subsidiaries </w:t>
      </w:r>
      <w:r>
        <w:rPr>
          <w:rFonts w:ascii="Arial" w:cs="Arial" w:eastAsia="Arial" w:hAnsi="Arial"/>
          <w:sz w:val="16"/>
          <w:szCs w:val="16"/>
          <w:color w:val="auto"/>
        </w:rPr>
        <w:t>67</w:t>
      </w:r>
    </w:p>
    <w:p>
      <w:pPr>
        <w:sectPr>
          <w:pgSz w:w="11900" w:h="16838" w:orient="portrait"/>
          <w:cols w:equalWidth="0" w:num="1">
            <w:col w:w="11420"/>
          </w:cols>
          <w:pgMar w:left="240" w:top="126" w:right="239" w:bottom="1440" w:gutter="0" w:footer="0" w:header="0"/>
        </w:sectPr>
      </w:pPr>
    </w:p>
    <w:bookmarkStart w:id="68" w:name="page69"/>
    <w:bookmarkEnd w:id="68"/>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SIGNATURES</w:t>
      </w:r>
    </w:p>
    <w:p>
      <w:pPr>
        <w:spacing w:after="0" w:line="165"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06"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NORDSTROM, INC.</w:t>
      </w:r>
    </w:p>
    <w:p>
      <w:pPr>
        <w:spacing w:after="0" w:line="63"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(Registrant)</w:t>
      </w:r>
    </w:p>
    <w:p>
      <w:pPr>
        <w:spacing w:after="0" w:line="347" w:lineRule="exact"/>
        <w:rPr>
          <w:sz w:val="20"/>
          <w:szCs w:val="20"/>
          <w:color w:val="auto"/>
        </w:rPr>
      </w:pPr>
    </w:p>
    <w:tbl>
      <w:tblPr>
        <w:tblLayout w:type="fixed"/>
        <w:tblInd w:w="6540" w:type="dxa"/>
        <w:tblCellMar>
          <w:top w:w="0" w:type="dxa"/>
          <w:left w:w="0" w:type="dxa"/>
          <w:bottom w:w="0" w:type="dxa"/>
          <w:right w:w="0" w:type="dxa"/>
        </w:tblCellMar>
      </w:tblPr>
      <w:tr>
        <w:trPr>
          <w:trHeight w:val="230"/>
        </w:trPr>
        <w:tc>
          <w:tcPr>
            <w:tcW w:w="600" w:type="dxa"/>
            <w:vAlign w:val="bottom"/>
          </w:tcPr>
          <w:p>
            <w:pPr>
              <w:ind w:left="20"/>
              <w:spacing w:after="0"/>
              <w:rPr>
                <w:sz w:val="20"/>
                <w:szCs w:val="20"/>
                <w:color w:val="auto"/>
              </w:rPr>
            </w:pPr>
            <w:r>
              <w:rPr>
                <w:rFonts w:ascii="Arial" w:cs="Arial" w:eastAsia="Arial" w:hAnsi="Arial"/>
                <w:sz w:val="18"/>
                <w:szCs w:val="18"/>
                <w:color w:val="auto"/>
              </w:rPr>
              <w:t>/s/</w:t>
            </w:r>
          </w:p>
        </w:tc>
        <w:tc>
          <w:tcPr>
            <w:tcW w:w="4280" w:type="dxa"/>
            <w:vAlign w:val="bottom"/>
          </w:tcPr>
          <w:p>
            <w:pPr>
              <w:jc w:val="right"/>
              <w:spacing w:after="0"/>
              <w:rPr>
                <w:sz w:val="20"/>
                <w:szCs w:val="20"/>
                <w:color w:val="auto"/>
              </w:rPr>
            </w:pPr>
            <w:r>
              <w:rPr>
                <w:rFonts w:ascii="Arial" w:cs="Arial" w:eastAsia="Arial" w:hAnsi="Arial"/>
                <w:sz w:val="18"/>
                <w:szCs w:val="18"/>
                <w:color w:val="auto"/>
              </w:rPr>
              <w:t>Michael G. Koppel</w:t>
            </w:r>
          </w:p>
        </w:tc>
      </w:tr>
      <w:tr>
        <w:trPr>
          <w:trHeight w:val="27"/>
        </w:trPr>
        <w:tc>
          <w:tcPr>
            <w:tcW w:w="600" w:type="dxa"/>
            <w:vAlign w:val="bottom"/>
            <w:tcBorders>
              <w:bottom w:val="single" w:sz="8" w:color="auto"/>
            </w:tcBorders>
          </w:tcPr>
          <w:p>
            <w:pPr>
              <w:spacing w:after="0"/>
              <w:rPr>
                <w:sz w:val="2"/>
                <w:szCs w:val="2"/>
                <w:color w:val="auto"/>
              </w:rPr>
            </w:pPr>
          </w:p>
        </w:tc>
        <w:tc>
          <w:tcPr>
            <w:tcW w:w="4280" w:type="dxa"/>
            <w:vAlign w:val="bottom"/>
            <w:tcBorders>
              <w:bottom w:val="single" w:sz="8" w:color="auto"/>
            </w:tcBorders>
          </w:tcPr>
          <w:p>
            <w:pPr>
              <w:spacing w:after="0"/>
              <w:rPr>
                <w:sz w:val="2"/>
                <w:szCs w:val="2"/>
                <w:color w:val="auto"/>
              </w:rPr>
            </w:pPr>
          </w:p>
        </w:tc>
      </w:tr>
      <w:tr>
        <w:trPr>
          <w:trHeight w:val="237"/>
        </w:trPr>
        <w:tc>
          <w:tcPr>
            <w:tcW w:w="600" w:type="dxa"/>
            <w:vAlign w:val="bottom"/>
          </w:tcPr>
          <w:p>
            <w:pPr>
              <w:spacing w:after="0"/>
              <w:rPr>
                <w:sz w:val="20"/>
                <w:szCs w:val="20"/>
                <w:color w:val="auto"/>
              </w:rPr>
            </w:pPr>
          </w:p>
        </w:tc>
        <w:tc>
          <w:tcPr>
            <w:tcW w:w="4280" w:type="dxa"/>
            <w:vAlign w:val="bottom"/>
          </w:tcPr>
          <w:p>
            <w:pPr>
              <w:jc w:val="right"/>
              <w:spacing w:after="0"/>
              <w:rPr>
                <w:sz w:val="20"/>
                <w:szCs w:val="20"/>
                <w:color w:val="auto"/>
              </w:rPr>
            </w:pPr>
            <w:r>
              <w:rPr>
                <w:rFonts w:ascii="Arial" w:cs="Arial" w:eastAsia="Arial" w:hAnsi="Arial"/>
                <w:sz w:val="18"/>
                <w:szCs w:val="18"/>
                <w:color w:val="auto"/>
              </w:rPr>
              <w:t>Michael G. Koppel</w:t>
            </w:r>
          </w:p>
        </w:tc>
      </w:tr>
      <w:tr>
        <w:trPr>
          <w:trHeight w:val="270"/>
        </w:trPr>
        <w:tc>
          <w:tcPr>
            <w:tcW w:w="600" w:type="dxa"/>
            <w:vAlign w:val="bottom"/>
          </w:tcPr>
          <w:p>
            <w:pPr>
              <w:spacing w:after="0"/>
              <w:rPr>
                <w:sz w:val="23"/>
                <w:szCs w:val="23"/>
                <w:color w:val="auto"/>
              </w:rPr>
            </w:pPr>
          </w:p>
        </w:tc>
        <w:tc>
          <w:tcPr>
            <w:tcW w:w="4280" w:type="dxa"/>
            <w:vAlign w:val="bottom"/>
          </w:tcPr>
          <w:p>
            <w:pPr>
              <w:jc w:val="right"/>
              <w:spacing w:after="0"/>
              <w:rPr>
                <w:sz w:val="20"/>
                <w:szCs w:val="20"/>
                <w:color w:val="auto"/>
              </w:rPr>
            </w:pPr>
            <w:r>
              <w:rPr>
                <w:rFonts w:ascii="Arial" w:cs="Arial" w:eastAsia="Arial" w:hAnsi="Arial"/>
                <w:sz w:val="18"/>
                <w:szCs w:val="18"/>
                <w:color w:val="auto"/>
              </w:rPr>
              <w:t>Executive Vice President and Chief Financial Officer</w:t>
            </w:r>
          </w:p>
        </w:tc>
      </w:tr>
      <w:tr>
        <w:trPr>
          <w:trHeight w:val="270"/>
        </w:trPr>
        <w:tc>
          <w:tcPr>
            <w:tcW w:w="600" w:type="dxa"/>
            <w:vAlign w:val="bottom"/>
          </w:tcPr>
          <w:p>
            <w:pPr>
              <w:spacing w:after="0"/>
              <w:rPr>
                <w:sz w:val="23"/>
                <w:szCs w:val="23"/>
                <w:color w:val="auto"/>
              </w:rPr>
            </w:pPr>
          </w:p>
        </w:tc>
        <w:tc>
          <w:tcPr>
            <w:tcW w:w="4280" w:type="dxa"/>
            <w:vAlign w:val="bottom"/>
          </w:tcPr>
          <w:p>
            <w:pPr>
              <w:jc w:val="right"/>
              <w:spacing w:after="0"/>
              <w:rPr>
                <w:sz w:val="20"/>
                <w:szCs w:val="20"/>
                <w:color w:val="auto"/>
              </w:rPr>
            </w:pPr>
            <w:r>
              <w:rPr>
                <w:rFonts w:ascii="Arial" w:cs="Arial" w:eastAsia="Arial" w:hAnsi="Arial"/>
                <w:sz w:val="18"/>
                <w:szCs w:val="18"/>
                <w:color w:val="auto"/>
              </w:rPr>
              <w:t>(Principal Financial Officer)</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Date: March 20, 2017</w:t>
      </w:r>
    </w:p>
    <w:p>
      <w:pPr>
        <w:spacing w:after="0" w:line="17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 indicated.</w:t>
      </w:r>
    </w:p>
    <w:p>
      <w:pPr>
        <w:sectPr>
          <w:pgSz w:w="11900" w:h="16838" w:orient="portrait"/>
          <w:cols w:equalWidth="0" w:num="1">
            <w:col w:w="11420"/>
          </w:cols>
          <w:pgMar w:left="240" w:top="126" w:right="239" w:bottom="847" w:gutter="0" w:footer="0" w:header="0"/>
        </w:sectPr>
      </w:pP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Financial Officer:</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40" w:type="dxa"/>
            <w:vAlign w:val="bottom"/>
          </w:tcPr>
          <w:p>
            <w:pPr>
              <w:ind w:left="40"/>
              <w:spacing w:after="0"/>
              <w:rPr>
                <w:sz w:val="20"/>
                <w:szCs w:val="20"/>
                <w:color w:val="auto"/>
              </w:rPr>
            </w:pPr>
            <w:r>
              <w:rPr>
                <w:rFonts w:ascii="Arial" w:cs="Arial" w:eastAsia="Arial" w:hAnsi="Arial"/>
                <w:sz w:val="18"/>
                <w:szCs w:val="18"/>
                <w:color w:val="auto"/>
              </w:rPr>
              <w:t>/s/</w:t>
            </w:r>
          </w:p>
        </w:tc>
        <w:tc>
          <w:tcPr>
            <w:tcW w:w="4240" w:type="dxa"/>
            <w:vAlign w:val="bottom"/>
          </w:tcPr>
          <w:p>
            <w:pPr>
              <w:jc w:val="right"/>
              <w:spacing w:after="0"/>
              <w:rPr>
                <w:sz w:val="20"/>
                <w:szCs w:val="20"/>
                <w:color w:val="auto"/>
              </w:rPr>
            </w:pPr>
            <w:r>
              <w:rPr>
                <w:rFonts w:ascii="Arial" w:cs="Arial" w:eastAsia="Arial" w:hAnsi="Arial"/>
                <w:sz w:val="18"/>
                <w:szCs w:val="18"/>
                <w:color w:val="auto"/>
              </w:rPr>
              <w:t>Michael G. Koppel</w:t>
            </w:r>
          </w:p>
        </w:tc>
      </w:tr>
      <w:tr>
        <w:trPr>
          <w:trHeight w:val="27"/>
        </w:trPr>
        <w:tc>
          <w:tcPr>
            <w:tcW w:w="1140" w:type="dxa"/>
            <w:vAlign w:val="bottom"/>
            <w:tcBorders>
              <w:bottom w:val="single" w:sz="8" w:color="auto"/>
            </w:tcBorders>
          </w:tcPr>
          <w:p>
            <w:pPr>
              <w:spacing w:after="0"/>
              <w:rPr>
                <w:sz w:val="2"/>
                <w:szCs w:val="2"/>
                <w:color w:val="auto"/>
              </w:rPr>
            </w:pPr>
          </w:p>
        </w:tc>
        <w:tc>
          <w:tcPr>
            <w:tcW w:w="4240" w:type="dxa"/>
            <w:vAlign w:val="bottom"/>
            <w:tcBorders>
              <w:bottom w:val="single" w:sz="8" w:color="auto"/>
            </w:tcBorders>
          </w:tcPr>
          <w:p>
            <w:pPr>
              <w:spacing w:after="0"/>
              <w:rPr>
                <w:sz w:val="2"/>
                <w:szCs w:val="2"/>
                <w:color w:val="auto"/>
              </w:rPr>
            </w:pPr>
          </w:p>
        </w:tc>
      </w:tr>
      <w:tr>
        <w:trPr>
          <w:trHeight w:val="237"/>
        </w:trPr>
        <w:tc>
          <w:tcPr>
            <w:tcW w:w="1140" w:type="dxa"/>
            <w:vAlign w:val="bottom"/>
          </w:tcPr>
          <w:p>
            <w:pPr>
              <w:spacing w:after="0"/>
              <w:rPr>
                <w:sz w:val="20"/>
                <w:szCs w:val="20"/>
                <w:color w:val="auto"/>
              </w:rPr>
            </w:pPr>
          </w:p>
        </w:tc>
        <w:tc>
          <w:tcPr>
            <w:tcW w:w="4240" w:type="dxa"/>
            <w:vAlign w:val="bottom"/>
          </w:tcPr>
          <w:p>
            <w:pPr>
              <w:jc w:val="right"/>
              <w:spacing w:after="0"/>
              <w:rPr>
                <w:sz w:val="20"/>
                <w:szCs w:val="20"/>
                <w:color w:val="auto"/>
              </w:rPr>
            </w:pPr>
            <w:r>
              <w:rPr>
                <w:rFonts w:ascii="Arial" w:cs="Arial" w:eastAsia="Arial" w:hAnsi="Arial"/>
                <w:sz w:val="18"/>
                <w:szCs w:val="18"/>
                <w:color w:val="auto"/>
              </w:rPr>
              <w:t>Michael G. Koppel</w:t>
            </w:r>
          </w:p>
        </w:tc>
      </w:tr>
      <w:tr>
        <w:trPr>
          <w:trHeight w:val="270"/>
        </w:trPr>
        <w:tc>
          <w:tcPr>
            <w:tcW w:w="1140" w:type="dxa"/>
            <w:vAlign w:val="bottom"/>
          </w:tcPr>
          <w:p>
            <w:pPr>
              <w:spacing w:after="0"/>
              <w:rPr>
                <w:sz w:val="23"/>
                <w:szCs w:val="23"/>
                <w:color w:val="auto"/>
              </w:rPr>
            </w:pPr>
          </w:p>
        </w:tc>
        <w:tc>
          <w:tcPr>
            <w:tcW w:w="4240" w:type="dxa"/>
            <w:vAlign w:val="bottom"/>
          </w:tcPr>
          <w:p>
            <w:pPr>
              <w:jc w:val="right"/>
              <w:spacing w:after="0"/>
              <w:rPr>
                <w:sz w:val="20"/>
                <w:szCs w:val="20"/>
                <w:color w:val="auto"/>
              </w:rPr>
            </w:pPr>
            <w:r>
              <w:rPr>
                <w:rFonts w:ascii="Arial" w:cs="Arial" w:eastAsia="Arial" w:hAnsi="Arial"/>
                <w:sz w:val="18"/>
                <w:szCs w:val="18"/>
                <w:color w:val="auto"/>
              </w:rPr>
              <w:t>Executive Vice President and Chief Financial Officer</w:t>
            </w:r>
          </w:p>
        </w:tc>
      </w:tr>
      <w:tr>
        <w:trPr>
          <w:trHeight w:val="392"/>
        </w:trPr>
        <w:tc>
          <w:tcPr>
            <w:tcW w:w="5380" w:type="dxa"/>
            <w:vAlign w:val="bottom"/>
            <w:gridSpan w:val="2"/>
          </w:tcPr>
          <w:p>
            <w:pPr>
              <w:ind w:left="40"/>
              <w:spacing w:after="0"/>
              <w:rPr>
                <w:sz w:val="20"/>
                <w:szCs w:val="20"/>
                <w:color w:val="auto"/>
              </w:rPr>
            </w:pPr>
            <w:r>
              <w:rPr>
                <w:rFonts w:ascii="Arial" w:cs="Arial" w:eastAsia="Arial" w:hAnsi="Arial"/>
                <w:sz w:val="18"/>
                <w:szCs w:val="18"/>
                <w:color w:val="auto"/>
              </w:rPr>
              <w:t>Principal Accounting Officer:</w:t>
            </w:r>
          </w:p>
        </w:tc>
      </w:tr>
      <w:tr>
        <w:trPr>
          <w:trHeight w:val="392"/>
        </w:trPr>
        <w:tc>
          <w:tcPr>
            <w:tcW w:w="1140" w:type="dxa"/>
            <w:vAlign w:val="bottom"/>
          </w:tcPr>
          <w:p>
            <w:pPr>
              <w:ind w:left="40"/>
              <w:spacing w:after="0"/>
              <w:rPr>
                <w:sz w:val="20"/>
                <w:szCs w:val="20"/>
                <w:color w:val="auto"/>
              </w:rPr>
            </w:pPr>
            <w:r>
              <w:rPr>
                <w:rFonts w:ascii="Arial" w:cs="Arial" w:eastAsia="Arial" w:hAnsi="Arial"/>
                <w:sz w:val="18"/>
                <w:szCs w:val="18"/>
                <w:color w:val="auto"/>
              </w:rPr>
              <w:t>/s/</w:t>
            </w:r>
          </w:p>
        </w:tc>
        <w:tc>
          <w:tcPr>
            <w:tcW w:w="4240" w:type="dxa"/>
            <w:vAlign w:val="bottom"/>
          </w:tcPr>
          <w:p>
            <w:pPr>
              <w:jc w:val="right"/>
              <w:spacing w:after="0"/>
              <w:rPr>
                <w:sz w:val="20"/>
                <w:szCs w:val="20"/>
                <w:color w:val="auto"/>
              </w:rPr>
            </w:pPr>
            <w:r>
              <w:rPr>
                <w:rFonts w:ascii="Arial" w:cs="Arial" w:eastAsia="Arial" w:hAnsi="Arial"/>
                <w:sz w:val="18"/>
                <w:szCs w:val="18"/>
                <w:color w:val="auto"/>
              </w:rPr>
              <w:t>James A. Howell</w:t>
            </w:r>
          </w:p>
        </w:tc>
      </w:tr>
      <w:tr>
        <w:trPr>
          <w:trHeight w:val="27"/>
        </w:trPr>
        <w:tc>
          <w:tcPr>
            <w:tcW w:w="1140" w:type="dxa"/>
            <w:vAlign w:val="bottom"/>
            <w:tcBorders>
              <w:bottom w:val="single" w:sz="8" w:color="auto"/>
            </w:tcBorders>
          </w:tcPr>
          <w:p>
            <w:pPr>
              <w:spacing w:after="0"/>
              <w:rPr>
                <w:sz w:val="2"/>
                <w:szCs w:val="2"/>
                <w:color w:val="auto"/>
              </w:rPr>
            </w:pPr>
          </w:p>
        </w:tc>
        <w:tc>
          <w:tcPr>
            <w:tcW w:w="4240" w:type="dxa"/>
            <w:vAlign w:val="bottom"/>
            <w:tcBorders>
              <w:bottom w:val="single" w:sz="8" w:color="auto"/>
            </w:tcBorders>
          </w:tcPr>
          <w:p>
            <w:pPr>
              <w:spacing w:after="0"/>
              <w:rPr>
                <w:sz w:val="2"/>
                <w:szCs w:val="2"/>
                <w:color w:val="auto"/>
              </w:rPr>
            </w:pPr>
          </w:p>
        </w:tc>
      </w:tr>
      <w:tr>
        <w:trPr>
          <w:trHeight w:val="237"/>
        </w:trPr>
        <w:tc>
          <w:tcPr>
            <w:tcW w:w="1140" w:type="dxa"/>
            <w:vAlign w:val="bottom"/>
          </w:tcPr>
          <w:p>
            <w:pPr>
              <w:spacing w:after="0"/>
              <w:rPr>
                <w:sz w:val="20"/>
                <w:szCs w:val="20"/>
                <w:color w:val="auto"/>
              </w:rPr>
            </w:pPr>
          </w:p>
        </w:tc>
        <w:tc>
          <w:tcPr>
            <w:tcW w:w="4240" w:type="dxa"/>
            <w:vAlign w:val="bottom"/>
          </w:tcPr>
          <w:p>
            <w:pPr>
              <w:jc w:val="right"/>
              <w:spacing w:after="0"/>
              <w:rPr>
                <w:sz w:val="20"/>
                <w:szCs w:val="20"/>
                <w:color w:val="auto"/>
              </w:rPr>
            </w:pPr>
            <w:r>
              <w:rPr>
                <w:rFonts w:ascii="Arial" w:cs="Arial" w:eastAsia="Arial" w:hAnsi="Arial"/>
                <w:sz w:val="18"/>
                <w:szCs w:val="18"/>
                <w:color w:val="auto"/>
              </w:rPr>
              <w:t>James A. Howell</w:t>
            </w:r>
          </w:p>
        </w:tc>
      </w:tr>
      <w:tr>
        <w:trPr>
          <w:trHeight w:val="270"/>
        </w:trPr>
        <w:tc>
          <w:tcPr>
            <w:tcW w:w="1140" w:type="dxa"/>
            <w:vAlign w:val="bottom"/>
          </w:tcPr>
          <w:p>
            <w:pPr>
              <w:spacing w:after="0"/>
              <w:rPr>
                <w:sz w:val="23"/>
                <w:szCs w:val="23"/>
                <w:color w:val="auto"/>
              </w:rPr>
            </w:pPr>
          </w:p>
        </w:tc>
        <w:tc>
          <w:tcPr>
            <w:tcW w:w="4240" w:type="dxa"/>
            <w:vAlign w:val="bottom"/>
          </w:tcPr>
          <w:p>
            <w:pPr>
              <w:jc w:val="right"/>
              <w:spacing w:after="0"/>
              <w:rPr>
                <w:sz w:val="20"/>
                <w:szCs w:val="20"/>
                <w:color w:val="auto"/>
              </w:rPr>
            </w:pPr>
            <w:r>
              <w:rPr>
                <w:rFonts w:ascii="Arial" w:cs="Arial" w:eastAsia="Arial" w:hAnsi="Arial"/>
                <w:sz w:val="18"/>
                <w:szCs w:val="18"/>
                <w:color w:val="auto"/>
              </w:rPr>
              <w:t>Executive Vice President, Finance and Treasurer</w:t>
            </w:r>
          </w:p>
        </w:tc>
      </w:tr>
      <w:tr>
        <w:trPr>
          <w:trHeight w:val="392"/>
        </w:trPr>
        <w:tc>
          <w:tcPr>
            <w:tcW w:w="1140" w:type="dxa"/>
            <w:vAlign w:val="bottom"/>
          </w:tcPr>
          <w:p>
            <w:pPr>
              <w:ind w:left="40"/>
              <w:spacing w:after="0"/>
              <w:rPr>
                <w:sz w:val="20"/>
                <w:szCs w:val="20"/>
                <w:color w:val="auto"/>
              </w:rPr>
            </w:pPr>
            <w:r>
              <w:rPr>
                <w:rFonts w:ascii="Arial" w:cs="Arial" w:eastAsia="Arial" w:hAnsi="Arial"/>
                <w:sz w:val="18"/>
                <w:szCs w:val="18"/>
                <w:color w:val="auto"/>
              </w:rPr>
              <w:t>Directors:</w:t>
            </w:r>
          </w:p>
        </w:tc>
        <w:tc>
          <w:tcPr>
            <w:tcW w:w="4240" w:type="dxa"/>
            <w:vAlign w:val="bottom"/>
          </w:tcPr>
          <w:p>
            <w:pPr>
              <w:spacing w:after="0"/>
              <w:rPr>
                <w:sz w:val="24"/>
                <w:szCs w:val="24"/>
                <w:color w:val="auto"/>
              </w:rPr>
            </w:pPr>
          </w:p>
        </w:tc>
      </w:tr>
      <w:tr>
        <w:trPr>
          <w:trHeight w:val="392"/>
        </w:trPr>
        <w:tc>
          <w:tcPr>
            <w:tcW w:w="1140" w:type="dxa"/>
            <w:vAlign w:val="bottom"/>
          </w:tcPr>
          <w:p>
            <w:pPr>
              <w:ind w:left="40"/>
              <w:spacing w:after="0"/>
              <w:rPr>
                <w:sz w:val="20"/>
                <w:szCs w:val="20"/>
                <w:color w:val="auto"/>
              </w:rPr>
            </w:pPr>
            <w:r>
              <w:rPr>
                <w:rFonts w:ascii="Arial" w:cs="Arial" w:eastAsia="Arial" w:hAnsi="Arial"/>
                <w:sz w:val="18"/>
                <w:szCs w:val="18"/>
                <w:color w:val="auto"/>
              </w:rPr>
              <w:t>/s/</w:t>
            </w:r>
          </w:p>
        </w:tc>
        <w:tc>
          <w:tcPr>
            <w:tcW w:w="4240" w:type="dxa"/>
            <w:vAlign w:val="bottom"/>
          </w:tcPr>
          <w:p>
            <w:pPr>
              <w:jc w:val="right"/>
              <w:spacing w:after="0"/>
              <w:rPr>
                <w:sz w:val="20"/>
                <w:szCs w:val="20"/>
                <w:color w:val="auto"/>
              </w:rPr>
            </w:pPr>
            <w:r>
              <w:rPr>
                <w:rFonts w:ascii="Arial" w:cs="Arial" w:eastAsia="Arial" w:hAnsi="Arial"/>
                <w:sz w:val="18"/>
                <w:szCs w:val="18"/>
                <w:color w:val="auto"/>
              </w:rPr>
              <w:t>Shellye L. Archambeau</w:t>
            </w:r>
          </w:p>
        </w:tc>
      </w:tr>
      <w:tr>
        <w:trPr>
          <w:trHeight w:val="27"/>
        </w:trPr>
        <w:tc>
          <w:tcPr>
            <w:tcW w:w="1140" w:type="dxa"/>
            <w:vAlign w:val="bottom"/>
            <w:tcBorders>
              <w:bottom w:val="single" w:sz="8" w:color="auto"/>
            </w:tcBorders>
          </w:tcPr>
          <w:p>
            <w:pPr>
              <w:spacing w:after="0"/>
              <w:rPr>
                <w:sz w:val="2"/>
                <w:szCs w:val="2"/>
                <w:color w:val="auto"/>
              </w:rPr>
            </w:pPr>
          </w:p>
        </w:tc>
        <w:tc>
          <w:tcPr>
            <w:tcW w:w="4240" w:type="dxa"/>
            <w:vAlign w:val="bottom"/>
            <w:tcBorders>
              <w:bottom w:val="single" w:sz="8" w:color="auto"/>
            </w:tcBorders>
          </w:tcPr>
          <w:p>
            <w:pPr>
              <w:spacing w:after="0"/>
              <w:rPr>
                <w:sz w:val="2"/>
                <w:szCs w:val="2"/>
                <w:color w:val="auto"/>
              </w:rPr>
            </w:pPr>
          </w:p>
        </w:tc>
      </w:tr>
      <w:tr>
        <w:trPr>
          <w:trHeight w:val="237"/>
        </w:trPr>
        <w:tc>
          <w:tcPr>
            <w:tcW w:w="1140" w:type="dxa"/>
            <w:vAlign w:val="bottom"/>
          </w:tcPr>
          <w:p>
            <w:pPr>
              <w:spacing w:after="0"/>
              <w:rPr>
                <w:sz w:val="20"/>
                <w:szCs w:val="20"/>
                <w:color w:val="auto"/>
              </w:rPr>
            </w:pPr>
          </w:p>
        </w:tc>
        <w:tc>
          <w:tcPr>
            <w:tcW w:w="4240" w:type="dxa"/>
            <w:vAlign w:val="bottom"/>
          </w:tcPr>
          <w:p>
            <w:pPr>
              <w:jc w:val="right"/>
              <w:spacing w:after="0"/>
              <w:rPr>
                <w:sz w:val="20"/>
                <w:szCs w:val="20"/>
                <w:color w:val="auto"/>
              </w:rPr>
            </w:pPr>
            <w:r>
              <w:rPr>
                <w:rFonts w:ascii="Arial" w:cs="Arial" w:eastAsia="Arial" w:hAnsi="Arial"/>
                <w:sz w:val="18"/>
                <w:szCs w:val="18"/>
                <w:color w:val="auto"/>
              </w:rPr>
              <w:t>Shellye L. Archambeau</w:t>
            </w:r>
          </w:p>
        </w:tc>
      </w:tr>
      <w:tr>
        <w:trPr>
          <w:trHeight w:val="270"/>
        </w:trPr>
        <w:tc>
          <w:tcPr>
            <w:tcW w:w="1140" w:type="dxa"/>
            <w:vAlign w:val="bottom"/>
          </w:tcPr>
          <w:p>
            <w:pPr>
              <w:spacing w:after="0"/>
              <w:rPr>
                <w:sz w:val="23"/>
                <w:szCs w:val="23"/>
                <w:color w:val="auto"/>
              </w:rPr>
            </w:pPr>
          </w:p>
        </w:tc>
        <w:tc>
          <w:tcPr>
            <w:tcW w:w="4240" w:type="dxa"/>
            <w:vAlign w:val="bottom"/>
          </w:tcPr>
          <w:p>
            <w:pPr>
              <w:jc w:val="right"/>
              <w:spacing w:after="0"/>
              <w:rPr>
                <w:sz w:val="20"/>
                <w:szCs w:val="20"/>
                <w:color w:val="auto"/>
              </w:rPr>
            </w:pPr>
            <w:r>
              <w:rPr>
                <w:rFonts w:ascii="Arial" w:cs="Arial" w:eastAsia="Arial" w:hAnsi="Arial"/>
                <w:sz w:val="18"/>
                <w:szCs w:val="18"/>
                <w:color w:val="auto"/>
              </w:rPr>
              <w:t>Director</w:t>
            </w:r>
          </w:p>
        </w:tc>
      </w:tr>
      <w:tr>
        <w:trPr>
          <w:trHeight w:val="392"/>
        </w:trPr>
        <w:tc>
          <w:tcPr>
            <w:tcW w:w="1140" w:type="dxa"/>
            <w:vAlign w:val="bottom"/>
          </w:tcPr>
          <w:p>
            <w:pPr>
              <w:ind w:left="40"/>
              <w:spacing w:after="0"/>
              <w:rPr>
                <w:sz w:val="20"/>
                <w:szCs w:val="20"/>
                <w:color w:val="auto"/>
              </w:rPr>
            </w:pPr>
            <w:r>
              <w:rPr>
                <w:rFonts w:ascii="Arial" w:cs="Arial" w:eastAsia="Arial" w:hAnsi="Arial"/>
                <w:sz w:val="18"/>
                <w:szCs w:val="18"/>
                <w:color w:val="auto"/>
              </w:rPr>
              <w:t>/s/</w:t>
            </w:r>
          </w:p>
        </w:tc>
        <w:tc>
          <w:tcPr>
            <w:tcW w:w="4240" w:type="dxa"/>
            <w:vAlign w:val="bottom"/>
          </w:tcPr>
          <w:p>
            <w:pPr>
              <w:jc w:val="right"/>
              <w:spacing w:after="0"/>
              <w:rPr>
                <w:sz w:val="20"/>
                <w:szCs w:val="20"/>
                <w:color w:val="auto"/>
              </w:rPr>
            </w:pPr>
            <w:r>
              <w:rPr>
                <w:rFonts w:ascii="Arial" w:cs="Arial" w:eastAsia="Arial" w:hAnsi="Arial"/>
                <w:sz w:val="18"/>
                <w:szCs w:val="18"/>
                <w:color w:val="auto"/>
              </w:rPr>
              <w:t>Enrique Hernandez, Jr.</w:t>
            </w:r>
          </w:p>
        </w:tc>
      </w:tr>
      <w:tr>
        <w:trPr>
          <w:trHeight w:val="27"/>
        </w:trPr>
        <w:tc>
          <w:tcPr>
            <w:tcW w:w="1140" w:type="dxa"/>
            <w:vAlign w:val="bottom"/>
            <w:tcBorders>
              <w:bottom w:val="single" w:sz="8" w:color="auto"/>
            </w:tcBorders>
          </w:tcPr>
          <w:p>
            <w:pPr>
              <w:spacing w:after="0"/>
              <w:rPr>
                <w:sz w:val="2"/>
                <w:szCs w:val="2"/>
                <w:color w:val="auto"/>
              </w:rPr>
            </w:pPr>
          </w:p>
        </w:tc>
        <w:tc>
          <w:tcPr>
            <w:tcW w:w="4240" w:type="dxa"/>
            <w:vAlign w:val="bottom"/>
            <w:tcBorders>
              <w:bottom w:val="single" w:sz="8" w:color="auto"/>
            </w:tcBorders>
          </w:tcPr>
          <w:p>
            <w:pPr>
              <w:spacing w:after="0"/>
              <w:rPr>
                <w:sz w:val="2"/>
                <w:szCs w:val="2"/>
                <w:color w:val="auto"/>
              </w:rPr>
            </w:pPr>
          </w:p>
        </w:tc>
      </w:tr>
      <w:tr>
        <w:trPr>
          <w:trHeight w:val="237"/>
        </w:trPr>
        <w:tc>
          <w:tcPr>
            <w:tcW w:w="1140" w:type="dxa"/>
            <w:vAlign w:val="bottom"/>
          </w:tcPr>
          <w:p>
            <w:pPr>
              <w:spacing w:after="0"/>
              <w:rPr>
                <w:sz w:val="20"/>
                <w:szCs w:val="20"/>
                <w:color w:val="auto"/>
              </w:rPr>
            </w:pPr>
          </w:p>
        </w:tc>
        <w:tc>
          <w:tcPr>
            <w:tcW w:w="4240" w:type="dxa"/>
            <w:vAlign w:val="bottom"/>
          </w:tcPr>
          <w:p>
            <w:pPr>
              <w:jc w:val="right"/>
              <w:spacing w:after="0"/>
              <w:rPr>
                <w:sz w:val="20"/>
                <w:szCs w:val="20"/>
                <w:color w:val="auto"/>
              </w:rPr>
            </w:pPr>
            <w:r>
              <w:rPr>
                <w:rFonts w:ascii="Arial" w:cs="Arial" w:eastAsia="Arial" w:hAnsi="Arial"/>
                <w:sz w:val="18"/>
                <w:szCs w:val="18"/>
                <w:color w:val="auto"/>
              </w:rPr>
              <w:t>Enrique Hernandez, Jr.</w:t>
            </w:r>
          </w:p>
        </w:tc>
      </w:tr>
      <w:tr>
        <w:trPr>
          <w:trHeight w:val="270"/>
        </w:trPr>
        <w:tc>
          <w:tcPr>
            <w:tcW w:w="1140" w:type="dxa"/>
            <w:vAlign w:val="bottom"/>
          </w:tcPr>
          <w:p>
            <w:pPr>
              <w:spacing w:after="0"/>
              <w:rPr>
                <w:sz w:val="23"/>
                <w:szCs w:val="23"/>
                <w:color w:val="auto"/>
              </w:rPr>
            </w:pPr>
          </w:p>
        </w:tc>
        <w:tc>
          <w:tcPr>
            <w:tcW w:w="4240" w:type="dxa"/>
            <w:vAlign w:val="bottom"/>
          </w:tcPr>
          <w:p>
            <w:pPr>
              <w:jc w:val="right"/>
              <w:spacing w:after="0"/>
              <w:rPr>
                <w:sz w:val="20"/>
                <w:szCs w:val="20"/>
                <w:color w:val="auto"/>
              </w:rPr>
            </w:pPr>
            <w:r>
              <w:rPr>
                <w:rFonts w:ascii="Arial" w:cs="Arial" w:eastAsia="Arial" w:hAnsi="Arial"/>
                <w:sz w:val="18"/>
                <w:szCs w:val="18"/>
                <w:color w:val="auto"/>
              </w:rPr>
              <w:t>Director</w:t>
            </w:r>
          </w:p>
        </w:tc>
      </w:tr>
      <w:tr>
        <w:trPr>
          <w:trHeight w:val="392"/>
        </w:trPr>
        <w:tc>
          <w:tcPr>
            <w:tcW w:w="1140" w:type="dxa"/>
            <w:vAlign w:val="bottom"/>
          </w:tcPr>
          <w:p>
            <w:pPr>
              <w:ind w:left="40"/>
              <w:spacing w:after="0"/>
              <w:rPr>
                <w:sz w:val="20"/>
                <w:szCs w:val="20"/>
                <w:color w:val="auto"/>
              </w:rPr>
            </w:pPr>
            <w:r>
              <w:rPr>
                <w:rFonts w:ascii="Arial" w:cs="Arial" w:eastAsia="Arial" w:hAnsi="Arial"/>
                <w:sz w:val="18"/>
                <w:szCs w:val="18"/>
                <w:color w:val="auto"/>
              </w:rPr>
              <w:t>/s/</w:t>
            </w:r>
          </w:p>
        </w:tc>
        <w:tc>
          <w:tcPr>
            <w:tcW w:w="4240" w:type="dxa"/>
            <w:vAlign w:val="bottom"/>
          </w:tcPr>
          <w:p>
            <w:pPr>
              <w:jc w:val="right"/>
              <w:spacing w:after="0"/>
              <w:rPr>
                <w:sz w:val="20"/>
                <w:szCs w:val="20"/>
                <w:color w:val="auto"/>
              </w:rPr>
            </w:pPr>
            <w:r>
              <w:rPr>
                <w:rFonts w:ascii="Arial" w:cs="Arial" w:eastAsia="Arial" w:hAnsi="Arial"/>
                <w:sz w:val="18"/>
                <w:szCs w:val="18"/>
                <w:color w:val="auto"/>
              </w:rPr>
              <w:t>Erik B. Nordstrom</w:t>
            </w:r>
          </w:p>
        </w:tc>
      </w:tr>
      <w:tr>
        <w:trPr>
          <w:trHeight w:val="27"/>
        </w:trPr>
        <w:tc>
          <w:tcPr>
            <w:tcW w:w="1140" w:type="dxa"/>
            <w:vAlign w:val="bottom"/>
            <w:tcBorders>
              <w:bottom w:val="single" w:sz="8" w:color="auto"/>
            </w:tcBorders>
          </w:tcPr>
          <w:p>
            <w:pPr>
              <w:spacing w:after="0"/>
              <w:rPr>
                <w:sz w:val="2"/>
                <w:szCs w:val="2"/>
                <w:color w:val="auto"/>
              </w:rPr>
            </w:pPr>
          </w:p>
        </w:tc>
        <w:tc>
          <w:tcPr>
            <w:tcW w:w="4240" w:type="dxa"/>
            <w:vAlign w:val="bottom"/>
            <w:tcBorders>
              <w:bottom w:val="single" w:sz="8" w:color="auto"/>
            </w:tcBorders>
          </w:tcPr>
          <w:p>
            <w:pPr>
              <w:spacing w:after="0"/>
              <w:rPr>
                <w:sz w:val="2"/>
                <w:szCs w:val="2"/>
                <w:color w:val="auto"/>
              </w:rPr>
            </w:pPr>
          </w:p>
        </w:tc>
      </w:tr>
      <w:tr>
        <w:trPr>
          <w:trHeight w:val="237"/>
        </w:trPr>
        <w:tc>
          <w:tcPr>
            <w:tcW w:w="1140" w:type="dxa"/>
            <w:vAlign w:val="bottom"/>
          </w:tcPr>
          <w:p>
            <w:pPr>
              <w:spacing w:after="0"/>
              <w:rPr>
                <w:sz w:val="20"/>
                <w:szCs w:val="20"/>
                <w:color w:val="auto"/>
              </w:rPr>
            </w:pPr>
          </w:p>
        </w:tc>
        <w:tc>
          <w:tcPr>
            <w:tcW w:w="4240" w:type="dxa"/>
            <w:vAlign w:val="bottom"/>
          </w:tcPr>
          <w:p>
            <w:pPr>
              <w:jc w:val="right"/>
              <w:spacing w:after="0"/>
              <w:rPr>
                <w:sz w:val="20"/>
                <w:szCs w:val="20"/>
                <w:color w:val="auto"/>
              </w:rPr>
            </w:pPr>
            <w:r>
              <w:rPr>
                <w:rFonts w:ascii="Arial" w:cs="Arial" w:eastAsia="Arial" w:hAnsi="Arial"/>
                <w:sz w:val="18"/>
                <w:szCs w:val="18"/>
                <w:color w:val="auto"/>
              </w:rPr>
              <w:t>Erik B. Nordstrom</w:t>
            </w:r>
          </w:p>
        </w:tc>
      </w:tr>
      <w:tr>
        <w:trPr>
          <w:trHeight w:val="270"/>
        </w:trPr>
        <w:tc>
          <w:tcPr>
            <w:tcW w:w="1140" w:type="dxa"/>
            <w:vAlign w:val="bottom"/>
          </w:tcPr>
          <w:p>
            <w:pPr>
              <w:spacing w:after="0"/>
              <w:rPr>
                <w:sz w:val="23"/>
                <w:szCs w:val="23"/>
                <w:color w:val="auto"/>
              </w:rPr>
            </w:pPr>
          </w:p>
        </w:tc>
        <w:tc>
          <w:tcPr>
            <w:tcW w:w="4240" w:type="dxa"/>
            <w:vAlign w:val="bottom"/>
          </w:tcPr>
          <w:p>
            <w:pPr>
              <w:jc w:val="right"/>
              <w:spacing w:after="0"/>
              <w:rPr>
                <w:sz w:val="20"/>
                <w:szCs w:val="20"/>
                <w:color w:val="auto"/>
              </w:rPr>
            </w:pPr>
            <w:r>
              <w:rPr>
                <w:rFonts w:ascii="Arial" w:cs="Arial" w:eastAsia="Arial" w:hAnsi="Arial"/>
                <w:sz w:val="18"/>
                <w:szCs w:val="18"/>
                <w:color w:val="auto"/>
              </w:rPr>
              <w:t>Director</w:t>
            </w:r>
          </w:p>
        </w:tc>
      </w:tr>
      <w:tr>
        <w:trPr>
          <w:trHeight w:val="392"/>
        </w:trPr>
        <w:tc>
          <w:tcPr>
            <w:tcW w:w="1140" w:type="dxa"/>
            <w:vAlign w:val="bottom"/>
          </w:tcPr>
          <w:p>
            <w:pPr>
              <w:ind w:left="40"/>
              <w:spacing w:after="0"/>
              <w:rPr>
                <w:sz w:val="20"/>
                <w:szCs w:val="20"/>
                <w:color w:val="auto"/>
              </w:rPr>
            </w:pPr>
            <w:r>
              <w:rPr>
                <w:rFonts w:ascii="Arial" w:cs="Arial" w:eastAsia="Arial" w:hAnsi="Arial"/>
                <w:sz w:val="18"/>
                <w:szCs w:val="18"/>
                <w:color w:val="auto"/>
              </w:rPr>
              <w:t>/s/</w:t>
            </w:r>
          </w:p>
        </w:tc>
        <w:tc>
          <w:tcPr>
            <w:tcW w:w="4240" w:type="dxa"/>
            <w:vAlign w:val="bottom"/>
          </w:tcPr>
          <w:p>
            <w:pPr>
              <w:jc w:val="right"/>
              <w:spacing w:after="0"/>
              <w:rPr>
                <w:sz w:val="20"/>
                <w:szCs w:val="20"/>
                <w:color w:val="auto"/>
              </w:rPr>
            </w:pPr>
            <w:r>
              <w:rPr>
                <w:rFonts w:ascii="Arial" w:cs="Arial" w:eastAsia="Arial" w:hAnsi="Arial"/>
                <w:sz w:val="18"/>
                <w:szCs w:val="18"/>
                <w:color w:val="auto"/>
              </w:rPr>
              <w:t>Philip G. Satre</w:t>
            </w:r>
          </w:p>
        </w:tc>
      </w:tr>
      <w:tr>
        <w:trPr>
          <w:trHeight w:val="27"/>
        </w:trPr>
        <w:tc>
          <w:tcPr>
            <w:tcW w:w="1140" w:type="dxa"/>
            <w:vAlign w:val="bottom"/>
            <w:tcBorders>
              <w:bottom w:val="single" w:sz="8" w:color="auto"/>
            </w:tcBorders>
          </w:tcPr>
          <w:p>
            <w:pPr>
              <w:spacing w:after="0"/>
              <w:rPr>
                <w:sz w:val="2"/>
                <w:szCs w:val="2"/>
                <w:color w:val="auto"/>
              </w:rPr>
            </w:pPr>
          </w:p>
        </w:tc>
        <w:tc>
          <w:tcPr>
            <w:tcW w:w="4240" w:type="dxa"/>
            <w:vAlign w:val="bottom"/>
            <w:tcBorders>
              <w:bottom w:val="single" w:sz="8" w:color="auto"/>
            </w:tcBorders>
          </w:tcPr>
          <w:p>
            <w:pPr>
              <w:spacing w:after="0"/>
              <w:rPr>
                <w:sz w:val="2"/>
                <w:szCs w:val="2"/>
                <w:color w:val="auto"/>
              </w:rPr>
            </w:pPr>
          </w:p>
        </w:tc>
      </w:tr>
      <w:tr>
        <w:trPr>
          <w:trHeight w:val="237"/>
        </w:trPr>
        <w:tc>
          <w:tcPr>
            <w:tcW w:w="1140" w:type="dxa"/>
            <w:vAlign w:val="bottom"/>
          </w:tcPr>
          <w:p>
            <w:pPr>
              <w:spacing w:after="0"/>
              <w:rPr>
                <w:sz w:val="20"/>
                <w:szCs w:val="20"/>
                <w:color w:val="auto"/>
              </w:rPr>
            </w:pPr>
          </w:p>
        </w:tc>
        <w:tc>
          <w:tcPr>
            <w:tcW w:w="4240" w:type="dxa"/>
            <w:vAlign w:val="bottom"/>
          </w:tcPr>
          <w:p>
            <w:pPr>
              <w:jc w:val="right"/>
              <w:spacing w:after="0"/>
              <w:rPr>
                <w:sz w:val="20"/>
                <w:szCs w:val="20"/>
                <w:color w:val="auto"/>
              </w:rPr>
            </w:pPr>
            <w:r>
              <w:rPr>
                <w:rFonts w:ascii="Arial" w:cs="Arial" w:eastAsia="Arial" w:hAnsi="Arial"/>
                <w:sz w:val="18"/>
                <w:szCs w:val="18"/>
                <w:color w:val="auto"/>
              </w:rPr>
              <w:t>Philip G. Satre</w:t>
            </w:r>
          </w:p>
        </w:tc>
      </w:tr>
      <w:tr>
        <w:trPr>
          <w:trHeight w:val="270"/>
        </w:trPr>
        <w:tc>
          <w:tcPr>
            <w:tcW w:w="1140" w:type="dxa"/>
            <w:vAlign w:val="bottom"/>
          </w:tcPr>
          <w:p>
            <w:pPr>
              <w:spacing w:after="0"/>
              <w:rPr>
                <w:sz w:val="23"/>
                <w:szCs w:val="23"/>
                <w:color w:val="auto"/>
              </w:rPr>
            </w:pPr>
          </w:p>
        </w:tc>
        <w:tc>
          <w:tcPr>
            <w:tcW w:w="4240" w:type="dxa"/>
            <w:vAlign w:val="bottom"/>
          </w:tcPr>
          <w:p>
            <w:pPr>
              <w:jc w:val="right"/>
              <w:spacing w:after="0"/>
              <w:rPr>
                <w:sz w:val="20"/>
                <w:szCs w:val="20"/>
                <w:color w:val="auto"/>
              </w:rPr>
            </w:pPr>
            <w:r>
              <w:rPr>
                <w:rFonts w:ascii="Arial" w:cs="Arial" w:eastAsia="Arial" w:hAnsi="Arial"/>
                <w:sz w:val="18"/>
                <w:szCs w:val="18"/>
                <w:color w:val="auto"/>
              </w:rPr>
              <w:t>Chairman of the Board of Directors</w:t>
            </w:r>
          </w:p>
        </w:tc>
      </w:tr>
      <w:tr>
        <w:trPr>
          <w:trHeight w:val="392"/>
        </w:trPr>
        <w:tc>
          <w:tcPr>
            <w:tcW w:w="1140" w:type="dxa"/>
            <w:vAlign w:val="bottom"/>
          </w:tcPr>
          <w:p>
            <w:pPr>
              <w:ind w:left="40"/>
              <w:spacing w:after="0"/>
              <w:rPr>
                <w:sz w:val="20"/>
                <w:szCs w:val="20"/>
                <w:color w:val="auto"/>
              </w:rPr>
            </w:pPr>
            <w:r>
              <w:rPr>
                <w:rFonts w:ascii="Arial" w:cs="Arial" w:eastAsia="Arial" w:hAnsi="Arial"/>
                <w:sz w:val="18"/>
                <w:szCs w:val="18"/>
                <w:color w:val="auto"/>
              </w:rPr>
              <w:t>/s/</w:t>
            </w:r>
          </w:p>
        </w:tc>
        <w:tc>
          <w:tcPr>
            <w:tcW w:w="4240" w:type="dxa"/>
            <w:vAlign w:val="bottom"/>
          </w:tcPr>
          <w:p>
            <w:pPr>
              <w:jc w:val="right"/>
              <w:spacing w:after="0"/>
              <w:rPr>
                <w:sz w:val="20"/>
                <w:szCs w:val="20"/>
                <w:color w:val="auto"/>
              </w:rPr>
            </w:pPr>
            <w:r>
              <w:rPr>
                <w:rFonts w:ascii="Arial" w:cs="Arial" w:eastAsia="Arial" w:hAnsi="Arial"/>
                <w:sz w:val="18"/>
                <w:szCs w:val="18"/>
                <w:color w:val="auto"/>
              </w:rPr>
              <w:t>Gordon A. Smith</w:t>
            </w:r>
          </w:p>
        </w:tc>
      </w:tr>
      <w:tr>
        <w:trPr>
          <w:trHeight w:val="27"/>
        </w:trPr>
        <w:tc>
          <w:tcPr>
            <w:tcW w:w="1140" w:type="dxa"/>
            <w:vAlign w:val="bottom"/>
            <w:tcBorders>
              <w:bottom w:val="single" w:sz="8" w:color="auto"/>
            </w:tcBorders>
          </w:tcPr>
          <w:p>
            <w:pPr>
              <w:spacing w:after="0"/>
              <w:rPr>
                <w:sz w:val="2"/>
                <w:szCs w:val="2"/>
                <w:color w:val="auto"/>
              </w:rPr>
            </w:pPr>
          </w:p>
        </w:tc>
        <w:tc>
          <w:tcPr>
            <w:tcW w:w="4240" w:type="dxa"/>
            <w:vAlign w:val="bottom"/>
            <w:tcBorders>
              <w:bottom w:val="single" w:sz="8" w:color="auto"/>
            </w:tcBorders>
          </w:tcPr>
          <w:p>
            <w:pPr>
              <w:spacing w:after="0"/>
              <w:rPr>
                <w:sz w:val="2"/>
                <w:szCs w:val="2"/>
                <w:color w:val="auto"/>
              </w:rPr>
            </w:pPr>
          </w:p>
        </w:tc>
      </w:tr>
      <w:tr>
        <w:trPr>
          <w:trHeight w:val="237"/>
        </w:trPr>
        <w:tc>
          <w:tcPr>
            <w:tcW w:w="1140" w:type="dxa"/>
            <w:vAlign w:val="bottom"/>
          </w:tcPr>
          <w:p>
            <w:pPr>
              <w:spacing w:after="0"/>
              <w:rPr>
                <w:sz w:val="20"/>
                <w:szCs w:val="20"/>
                <w:color w:val="auto"/>
              </w:rPr>
            </w:pPr>
          </w:p>
        </w:tc>
        <w:tc>
          <w:tcPr>
            <w:tcW w:w="4240" w:type="dxa"/>
            <w:vAlign w:val="bottom"/>
          </w:tcPr>
          <w:p>
            <w:pPr>
              <w:jc w:val="right"/>
              <w:spacing w:after="0"/>
              <w:rPr>
                <w:sz w:val="20"/>
                <w:szCs w:val="20"/>
                <w:color w:val="auto"/>
              </w:rPr>
            </w:pPr>
            <w:r>
              <w:rPr>
                <w:rFonts w:ascii="Arial" w:cs="Arial" w:eastAsia="Arial" w:hAnsi="Arial"/>
                <w:sz w:val="18"/>
                <w:szCs w:val="18"/>
                <w:color w:val="auto"/>
              </w:rPr>
              <w:t>Gordon A. Smith</w:t>
            </w:r>
          </w:p>
        </w:tc>
      </w:tr>
      <w:tr>
        <w:trPr>
          <w:trHeight w:val="270"/>
        </w:trPr>
        <w:tc>
          <w:tcPr>
            <w:tcW w:w="1140" w:type="dxa"/>
            <w:vAlign w:val="bottom"/>
          </w:tcPr>
          <w:p>
            <w:pPr>
              <w:spacing w:after="0"/>
              <w:rPr>
                <w:sz w:val="23"/>
                <w:szCs w:val="23"/>
                <w:color w:val="auto"/>
              </w:rPr>
            </w:pPr>
          </w:p>
        </w:tc>
        <w:tc>
          <w:tcPr>
            <w:tcW w:w="4240" w:type="dxa"/>
            <w:vAlign w:val="bottom"/>
          </w:tcPr>
          <w:p>
            <w:pPr>
              <w:jc w:val="right"/>
              <w:spacing w:after="0"/>
              <w:rPr>
                <w:sz w:val="20"/>
                <w:szCs w:val="20"/>
                <w:color w:val="auto"/>
              </w:rPr>
            </w:pPr>
            <w:r>
              <w:rPr>
                <w:rFonts w:ascii="Arial" w:cs="Arial" w:eastAsia="Arial" w:hAnsi="Arial"/>
                <w:sz w:val="18"/>
                <w:szCs w:val="18"/>
                <w:color w:val="auto"/>
              </w:rPr>
              <w:t>Director</w:t>
            </w:r>
          </w:p>
        </w:tc>
      </w:tr>
      <w:tr>
        <w:trPr>
          <w:trHeight w:val="392"/>
        </w:trPr>
        <w:tc>
          <w:tcPr>
            <w:tcW w:w="1140" w:type="dxa"/>
            <w:vAlign w:val="bottom"/>
          </w:tcPr>
          <w:p>
            <w:pPr>
              <w:ind w:left="40"/>
              <w:spacing w:after="0"/>
              <w:rPr>
                <w:sz w:val="20"/>
                <w:szCs w:val="20"/>
                <w:color w:val="auto"/>
              </w:rPr>
            </w:pPr>
            <w:r>
              <w:rPr>
                <w:rFonts w:ascii="Arial" w:cs="Arial" w:eastAsia="Arial" w:hAnsi="Arial"/>
                <w:sz w:val="18"/>
                <w:szCs w:val="18"/>
                <w:color w:val="auto"/>
              </w:rPr>
              <w:t>/s/</w:t>
            </w:r>
          </w:p>
        </w:tc>
        <w:tc>
          <w:tcPr>
            <w:tcW w:w="4240" w:type="dxa"/>
            <w:vAlign w:val="bottom"/>
          </w:tcPr>
          <w:p>
            <w:pPr>
              <w:jc w:val="right"/>
              <w:spacing w:after="0"/>
              <w:rPr>
                <w:sz w:val="20"/>
                <w:szCs w:val="20"/>
                <w:color w:val="auto"/>
              </w:rPr>
            </w:pPr>
            <w:r>
              <w:rPr>
                <w:rFonts w:ascii="Arial" w:cs="Arial" w:eastAsia="Arial" w:hAnsi="Arial"/>
                <w:sz w:val="18"/>
                <w:szCs w:val="18"/>
                <w:color w:val="auto"/>
              </w:rPr>
              <w:t>B. Kevin Turner</w:t>
            </w:r>
          </w:p>
        </w:tc>
      </w:tr>
      <w:tr>
        <w:trPr>
          <w:trHeight w:val="27"/>
        </w:trPr>
        <w:tc>
          <w:tcPr>
            <w:tcW w:w="1140" w:type="dxa"/>
            <w:vAlign w:val="bottom"/>
            <w:tcBorders>
              <w:bottom w:val="single" w:sz="8" w:color="auto"/>
            </w:tcBorders>
          </w:tcPr>
          <w:p>
            <w:pPr>
              <w:spacing w:after="0"/>
              <w:rPr>
                <w:sz w:val="2"/>
                <w:szCs w:val="2"/>
                <w:color w:val="auto"/>
              </w:rPr>
            </w:pPr>
          </w:p>
        </w:tc>
        <w:tc>
          <w:tcPr>
            <w:tcW w:w="4240" w:type="dxa"/>
            <w:vAlign w:val="bottom"/>
            <w:tcBorders>
              <w:bottom w:val="single" w:sz="8" w:color="auto"/>
            </w:tcBorders>
          </w:tcPr>
          <w:p>
            <w:pPr>
              <w:spacing w:after="0"/>
              <w:rPr>
                <w:sz w:val="2"/>
                <w:szCs w:val="2"/>
                <w:color w:val="auto"/>
              </w:rPr>
            </w:pPr>
          </w:p>
        </w:tc>
      </w:tr>
      <w:tr>
        <w:trPr>
          <w:trHeight w:val="237"/>
        </w:trPr>
        <w:tc>
          <w:tcPr>
            <w:tcW w:w="1140" w:type="dxa"/>
            <w:vAlign w:val="bottom"/>
          </w:tcPr>
          <w:p>
            <w:pPr>
              <w:spacing w:after="0"/>
              <w:rPr>
                <w:sz w:val="20"/>
                <w:szCs w:val="20"/>
                <w:color w:val="auto"/>
              </w:rPr>
            </w:pPr>
          </w:p>
        </w:tc>
        <w:tc>
          <w:tcPr>
            <w:tcW w:w="4240" w:type="dxa"/>
            <w:vAlign w:val="bottom"/>
          </w:tcPr>
          <w:p>
            <w:pPr>
              <w:jc w:val="right"/>
              <w:spacing w:after="0"/>
              <w:rPr>
                <w:sz w:val="20"/>
                <w:szCs w:val="20"/>
                <w:color w:val="auto"/>
              </w:rPr>
            </w:pPr>
            <w:r>
              <w:rPr>
                <w:rFonts w:ascii="Arial" w:cs="Arial" w:eastAsia="Arial" w:hAnsi="Arial"/>
                <w:sz w:val="18"/>
                <w:szCs w:val="18"/>
                <w:color w:val="auto"/>
              </w:rPr>
              <w:t>B. Kevin Turner</w:t>
            </w:r>
          </w:p>
        </w:tc>
      </w:tr>
      <w:tr>
        <w:trPr>
          <w:trHeight w:val="270"/>
        </w:trPr>
        <w:tc>
          <w:tcPr>
            <w:tcW w:w="1140" w:type="dxa"/>
            <w:vAlign w:val="bottom"/>
          </w:tcPr>
          <w:p>
            <w:pPr>
              <w:spacing w:after="0"/>
              <w:rPr>
                <w:sz w:val="23"/>
                <w:szCs w:val="23"/>
                <w:color w:val="auto"/>
              </w:rPr>
            </w:pPr>
          </w:p>
        </w:tc>
        <w:tc>
          <w:tcPr>
            <w:tcW w:w="4240" w:type="dxa"/>
            <w:vAlign w:val="bottom"/>
          </w:tcPr>
          <w:p>
            <w:pPr>
              <w:jc w:val="right"/>
              <w:spacing w:after="0"/>
              <w:rPr>
                <w:sz w:val="20"/>
                <w:szCs w:val="20"/>
                <w:color w:val="auto"/>
              </w:rPr>
            </w:pPr>
            <w:r>
              <w:rPr>
                <w:rFonts w:ascii="Arial" w:cs="Arial" w:eastAsia="Arial" w:hAnsi="Arial"/>
                <w:sz w:val="18"/>
                <w:szCs w:val="18"/>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1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294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c>
          <w:tcPr>
            <w:tcW w:w="2400" w:type="dxa"/>
            <w:vAlign w:val="bottom"/>
          </w:tcPr>
          <w:p>
            <w:pPr>
              <w:spacing w:after="0"/>
              <w:rPr>
                <w:sz w:val="20"/>
                <w:szCs w:val="20"/>
                <w:color w:val="auto"/>
              </w:rPr>
            </w:pPr>
          </w:p>
        </w:tc>
      </w:tr>
      <w:tr>
        <w:trPr>
          <w:trHeight w:val="392"/>
        </w:trPr>
        <w:tc>
          <w:tcPr>
            <w:tcW w:w="2940" w:type="dxa"/>
            <w:vAlign w:val="bottom"/>
          </w:tcPr>
          <w:p>
            <w:pPr>
              <w:ind w:left="20"/>
              <w:spacing w:after="0"/>
              <w:rPr>
                <w:sz w:val="20"/>
                <w:szCs w:val="20"/>
                <w:color w:val="auto"/>
              </w:rPr>
            </w:pPr>
            <w:r>
              <w:rPr>
                <w:rFonts w:ascii="Arial" w:cs="Arial" w:eastAsia="Arial" w:hAnsi="Arial"/>
                <w:sz w:val="18"/>
                <w:szCs w:val="18"/>
                <w:color w:val="auto"/>
              </w:rPr>
              <w:t>/s/</w:t>
            </w:r>
          </w:p>
        </w:tc>
        <w:tc>
          <w:tcPr>
            <w:tcW w:w="2400" w:type="dxa"/>
            <w:vAlign w:val="bottom"/>
          </w:tcPr>
          <w:p>
            <w:pPr>
              <w:jc w:val="right"/>
              <w:spacing w:after="0"/>
              <w:rPr>
                <w:sz w:val="20"/>
                <w:szCs w:val="20"/>
                <w:color w:val="auto"/>
              </w:rPr>
            </w:pPr>
            <w:r>
              <w:rPr>
                <w:rFonts w:ascii="Arial" w:cs="Arial" w:eastAsia="Arial" w:hAnsi="Arial"/>
                <w:sz w:val="18"/>
                <w:szCs w:val="18"/>
                <w:color w:val="auto"/>
              </w:rPr>
              <w:t>Blake W. Nordstrom</w:t>
            </w:r>
          </w:p>
        </w:tc>
      </w:tr>
      <w:tr>
        <w:trPr>
          <w:trHeight w:val="27"/>
        </w:trPr>
        <w:tc>
          <w:tcPr>
            <w:tcW w:w="294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r>
      <w:tr>
        <w:trPr>
          <w:trHeight w:val="237"/>
        </w:trPr>
        <w:tc>
          <w:tcPr>
            <w:tcW w:w="2940" w:type="dxa"/>
            <w:vAlign w:val="bottom"/>
          </w:tcPr>
          <w:p>
            <w:pPr>
              <w:spacing w:after="0"/>
              <w:rPr>
                <w:sz w:val="20"/>
                <w:szCs w:val="20"/>
                <w:color w:val="auto"/>
              </w:rPr>
            </w:pPr>
          </w:p>
        </w:tc>
        <w:tc>
          <w:tcPr>
            <w:tcW w:w="2400" w:type="dxa"/>
            <w:vAlign w:val="bottom"/>
          </w:tcPr>
          <w:p>
            <w:pPr>
              <w:jc w:val="right"/>
              <w:spacing w:after="0"/>
              <w:rPr>
                <w:sz w:val="20"/>
                <w:szCs w:val="20"/>
                <w:color w:val="auto"/>
              </w:rPr>
            </w:pPr>
            <w:r>
              <w:rPr>
                <w:rFonts w:ascii="Arial" w:cs="Arial" w:eastAsia="Arial" w:hAnsi="Arial"/>
                <w:sz w:val="18"/>
                <w:szCs w:val="18"/>
                <w:color w:val="auto"/>
              </w:rPr>
              <w:t>Blake W. Nordstrom</w:t>
            </w:r>
          </w:p>
        </w:tc>
      </w:tr>
      <w:tr>
        <w:trPr>
          <w:trHeight w:val="270"/>
        </w:trPr>
        <w:tc>
          <w:tcPr>
            <w:tcW w:w="2940" w:type="dxa"/>
            <w:vAlign w:val="bottom"/>
          </w:tcPr>
          <w:p>
            <w:pPr>
              <w:spacing w:after="0"/>
              <w:rPr>
                <w:sz w:val="23"/>
                <w:szCs w:val="23"/>
                <w:color w:val="auto"/>
              </w:rPr>
            </w:pPr>
          </w:p>
        </w:tc>
        <w:tc>
          <w:tcPr>
            <w:tcW w:w="2400" w:type="dxa"/>
            <w:vAlign w:val="bottom"/>
          </w:tcPr>
          <w:p>
            <w:pPr>
              <w:jc w:val="right"/>
              <w:spacing w:after="0"/>
              <w:rPr>
                <w:sz w:val="20"/>
                <w:szCs w:val="20"/>
                <w:color w:val="auto"/>
              </w:rPr>
            </w:pPr>
            <w:r>
              <w:rPr>
                <w:rFonts w:ascii="Arial" w:cs="Arial" w:eastAsia="Arial" w:hAnsi="Arial"/>
                <w:sz w:val="18"/>
                <w:szCs w:val="18"/>
                <w:color w:val="auto"/>
              </w:rPr>
              <w:t>Co-President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00" w:type="dxa"/>
            <w:vAlign w:val="bottom"/>
          </w:tcPr>
          <w:p>
            <w:pPr>
              <w:ind w:left="20"/>
              <w:spacing w:after="0"/>
              <w:rPr>
                <w:sz w:val="20"/>
                <w:szCs w:val="20"/>
                <w:color w:val="auto"/>
              </w:rPr>
            </w:pPr>
            <w:r>
              <w:rPr>
                <w:rFonts w:ascii="Arial" w:cs="Arial" w:eastAsia="Arial" w:hAnsi="Arial"/>
                <w:sz w:val="18"/>
                <w:szCs w:val="18"/>
                <w:color w:val="auto"/>
              </w:rPr>
              <w:t>/s/</w:t>
            </w:r>
          </w:p>
        </w:tc>
        <w:tc>
          <w:tcPr>
            <w:tcW w:w="3340" w:type="dxa"/>
            <w:vAlign w:val="bottom"/>
          </w:tcPr>
          <w:p>
            <w:pPr>
              <w:jc w:val="right"/>
              <w:spacing w:after="0"/>
              <w:rPr>
                <w:sz w:val="20"/>
                <w:szCs w:val="20"/>
                <w:color w:val="auto"/>
              </w:rPr>
            </w:pPr>
            <w:r>
              <w:rPr>
                <w:rFonts w:ascii="Arial" w:cs="Arial" w:eastAsia="Arial" w:hAnsi="Arial"/>
                <w:sz w:val="18"/>
                <w:szCs w:val="18"/>
                <w:color w:val="auto"/>
              </w:rPr>
              <w:t>Tanya L. Domier</w:t>
            </w:r>
          </w:p>
        </w:tc>
      </w:tr>
      <w:tr>
        <w:trPr>
          <w:trHeight w:val="27"/>
        </w:trPr>
        <w:tc>
          <w:tcPr>
            <w:tcW w:w="2000" w:type="dxa"/>
            <w:vAlign w:val="bottom"/>
            <w:tcBorders>
              <w:bottom w:val="single" w:sz="8" w:color="auto"/>
            </w:tcBorders>
          </w:tcPr>
          <w:p>
            <w:pPr>
              <w:spacing w:after="0"/>
              <w:rPr>
                <w:sz w:val="2"/>
                <w:szCs w:val="2"/>
                <w:color w:val="auto"/>
              </w:rPr>
            </w:pPr>
          </w:p>
        </w:tc>
        <w:tc>
          <w:tcPr>
            <w:tcW w:w="3340" w:type="dxa"/>
            <w:vAlign w:val="bottom"/>
            <w:tcBorders>
              <w:bottom w:val="single" w:sz="8" w:color="auto"/>
            </w:tcBorders>
          </w:tcPr>
          <w:p>
            <w:pPr>
              <w:spacing w:after="0"/>
              <w:rPr>
                <w:sz w:val="2"/>
                <w:szCs w:val="2"/>
                <w:color w:val="auto"/>
              </w:rPr>
            </w:pPr>
          </w:p>
        </w:tc>
      </w:tr>
      <w:tr>
        <w:trPr>
          <w:trHeight w:val="237"/>
        </w:trPr>
        <w:tc>
          <w:tcPr>
            <w:tcW w:w="2000" w:type="dxa"/>
            <w:vAlign w:val="bottom"/>
          </w:tcPr>
          <w:p>
            <w:pPr>
              <w:spacing w:after="0"/>
              <w:rPr>
                <w:sz w:val="20"/>
                <w:szCs w:val="20"/>
                <w:color w:val="auto"/>
              </w:rPr>
            </w:pPr>
          </w:p>
        </w:tc>
        <w:tc>
          <w:tcPr>
            <w:tcW w:w="3340" w:type="dxa"/>
            <w:vAlign w:val="bottom"/>
          </w:tcPr>
          <w:p>
            <w:pPr>
              <w:jc w:val="right"/>
              <w:spacing w:after="0"/>
              <w:rPr>
                <w:sz w:val="20"/>
                <w:szCs w:val="20"/>
                <w:color w:val="auto"/>
              </w:rPr>
            </w:pPr>
            <w:r>
              <w:rPr>
                <w:rFonts w:ascii="Arial" w:cs="Arial" w:eastAsia="Arial" w:hAnsi="Arial"/>
                <w:sz w:val="18"/>
                <w:szCs w:val="18"/>
                <w:color w:val="auto"/>
              </w:rPr>
              <w:t>Tanya L. Domier</w:t>
            </w:r>
          </w:p>
        </w:tc>
      </w:tr>
      <w:tr>
        <w:trPr>
          <w:trHeight w:val="270"/>
        </w:trPr>
        <w:tc>
          <w:tcPr>
            <w:tcW w:w="2000" w:type="dxa"/>
            <w:vAlign w:val="bottom"/>
          </w:tcPr>
          <w:p>
            <w:pPr>
              <w:spacing w:after="0"/>
              <w:rPr>
                <w:sz w:val="23"/>
                <w:szCs w:val="23"/>
                <w:color w:val="auto"/>
              </w:rPr>
            </w:pPr>
          </w:p>
        </w:tc>
        <w:tc>
          <w:tcPr>
            <w:tcW w:w="3340" w:type="dxa"/>
            <w:vAlign w:val="bottom"/>
          </w:tcPr>
          <w:p>
            <w:pPr>
              <w:jc w:val="right"/>
              <w:spacing w:after="0"/>
              <w:rPr>
                <w:sz w:val="20"/>
                <w:szCs w:val="20"/>
                <w:color w:val="auto"/>
              </w:rPr>
            </w:pPr>
            <w:r>
              <w:rPr>
                <w:rFonts w:ascii="Arial" w:cs="Arial" w:eastAsia="Arial" w:hAnsi="Arial"/>
                <w:sz w:val="18"/>
                <w:szCs w:val="18"/>
                <w:color w:val="auto"/>
              </w:rPr>
              <w:t>Director</w:t>
            </w:r>
          </w:p>
        </w:tc>
      </w:tr>
      <w:tr>
        <w:trPr>
          <w:trHeight w:val="392"/>
        </w:trPr>
        <w:tc>
          <w:tcPr>
            <w:tcW w:w="2000" w:type="dxa"/>
            <w:vAlign w:val="bottom"/>
          </w:tcPr>
          <w:p>
            <w:pPr>
              <w:ind w:left="20"/>
              <w:spacing w:after="0"/>
              <w:rPr>
                <w:sz w:val="20"/>
                <w:szCs w:val="20"/>
                <w:color w:val="auto"/>
              </w:rPr>
            </w:pPr>
            <w:r>
              <w:rPr>
                <w:rFonts w:ascii="Arial" w:cs="Arial" w:eastAsia="Arial" w:hAnsi="Arial"/>
                <w:sz w:val="18"/>
                <w:szCs w:val="18"/>
                <w:color w:val="auto"/>
              </w:rPr>
              <w:t>/s/</w:t>
            </w:r>
          </w:p>
        </w:tc>
        <w:tc>
          <w:tcPr>
            <w:tcW w:w="3340" w:type="dxa"/>
            <w:vAlign w:val="bottom"/>
          </w:tcPr>
          <w:p>
            <w:pPr>
              <w:jc w:val="right"/>
              <w:spacing w:after="0"/>
              <w:rPr>
                <w:sz w:val="20"/>
                <w:szCs w:val="20"/>
                <w:color w:val="auto"/>
              </w:rPr>
            </w:pPr>
            <w:r>
              <w:rPr>
                <w:rFonts w:ascii="Arial" w:cs="Arial" w:eastAsia="Arial" w:hAnsi="Arial"/>
                <w:sz w:val="18"/>
                <w:szCs w:val="18"/>
                <w:color w:val="auto"/>
              </w:rPr>
              <w:t>Blake W. Nordstrom</w:t>
            </w:r>
          </w:p>
        </w:tc>
      </w:tr>
      <w:tr>
        <w:trPr>
          <w:trHeight w:val="27"/>
        </w:trPr>
        <w:tc>
          <w:tcPr>
            <w:tcW w:w="2000" w:type="dxa"/>
            <w:vAlign w:val="bottom"/>
            <w:tcBorders>
              <w:bottom w:val="single" w:sz="8" w:color="auto"/>
            </w:tcBorders>
          </w:tcPr>
          <w:p>
            <w:pPr>
              <w:spacing w:after="0"/>
              <w:rPr>
                <w:sz w:val="2"/>
                <w:szCs w:val="2"/>
                <w:color w:val="auto"/>
              </w:rPr>
            </w:pPr>
          </w:p>
        </w:tc>
        <w:tc>
          <w:tcPr>
            <w:tcW w:w="3340" w:type="dxa"/>
            <w:vAlign w:val="bottom"/>
            <w:tcBorders>
              <w:bottom w:val="single" w:sz="8" w:color="auto"/>
            </w:tcBorders>
          </w:tcPr>
          <w:p>
            <w:pPr>
              <w:spacing w:after="0"/>
              <w:rPr>
                <w:sz w:val="2"/>
                <w:szCs w:val="2"/>
                <w:color w:val="auto"/>
              </w:rPr>
            </w:pPr>
          </w:p>
        </w:tc>
      </w:tr>
      <w:tr>
        <w:trPr>
          <w:trHeight w:val="237"/>
        </w:trPr>
        <w:tc>
          <w:tcPr>
            <w:tcW w:w="2000" w:type="dxa"/>
            <w:vAlign w:val="bottom"/>
          </w:tcPr>
          <w:p>
            <w:pPr>
              <w:spacing w:after="0"/>
              <w:rPr>
                <w:sz w:val="20"/>
                <w:szCs w:val="20"/>
                <w:color w:val="auto"/>
              </w:rPr>
            </w:pPr>
          </w:p>
        </w:tc>
        <w:tc>
          <w:tcPr>
            <w:tcW w:w="3340" w:type="dxa"/>
            <w:vAlign w:val="bottom"/>
          </w:tcPr>
          <w:p>
            <w:pPr>
              <w:jc w:val="right"/>
              <w:spacing w:after="0"/>
              <w:rPr>
                <w:sz w:val="20"/>
                <w:szCs w:val="20"/>
                <w:color w:val="auto"/>
              </w:rPr>
            </w:pPr>
            <w:r>
              <w:rPr>
                <w:rFonts w:ascii="Arial" w:cs="Arial" w:eastAsia="Arial" w:hAnsi="Arial"/>
                <w:sz w:val="18"/>
                <w:szCs w:val="18"/>
                <w:color w:val="auto"/>
              </w:rPr>
              <w:t>Blake W. Nordstrom</w:t>
            </w:r>
          </w:p>
        </w:tc>
      </w:tr>
      <w:tr>
        <w:trPr>
          <w:trHeight w:val="270"/>
        </w:trPr>
        <w:tc>
          <w:tcPr>
            <w:tcW w:w="2000" w:type="dxa"/>
            <w:vAlign w:val="bottom"/>
          </w:tcPr>
          <w:p>
            <w:pPr>
              <w:spacing w:after="0"/>
              <w:rPr>
                <w:sz w:val="23"/>
                <w:szCs w:val="23"/>
                <w:color w:val="auto"/>
              </w:rPr>
            </w:pPr>
          </w:p>
        </w:tc>
        <w:tc>
          <w:tcPr>
            <w:tcW w:w="3340" w:type="dxa"/>
            <w:vAlign w:val="bottom"/>
          </w:tcPr>
          <w:p>
            <w:pPr>
              <w:jc w:val="right"/>
              <w:spacing w:after="0"/>
              <w:rPr>
                <w:sz w:val="20"/>
                <w:szCs w:val="20"/>
                <w:color w:val="auto"/>
              </w:rPr>
            </w:pPr>
            <w:r>
              <w:rPr>
                <w:rFonts w:ascii="Arial" w:cs="Arial" w:eastAsia="Arial" w:hAnsi="Arial"/>
                <w:sz w:val="18"/>
                <w:szCs w:val="18"/>
                <w:color w:val="auto"/>
              </w:rPr>
              <w:t>Director</w:t>
            </w:r>
          </w:p>
        </w:tc>
      </w:tr>
      <w:tr>
        <w:trPr>
          <w:trHeight w:val="392"/>
        </w:trPr>
        <w:tc>
          <w:tcPr>
            <w:tcW w:w="2000" w:type="dxa"/>
            <w:vAlign w:val="bottom"/>
          </w:tcPr>
          <w:p>
            <w:pPr>
              <w:ind w:left="20"/>
              <w:spacing w:after="0"/>
              <w:rPr>
                <w:sz w:val="20"/>
                <w:szCs w:val="20"/>
                <w:color w:val="auto"/>
              </w:rPr>
            </w:pPr>
            <w:r>
              <w:rPr>
                <w:rFonts w:ascii="Arial" w:cs="Arial" w:eastAsia="Arial" w:hAnsi="Arial"/>
                <w:sz w:val="18"/>
                <w:szCs w:val="18"/>
                <w:color w:val="auto"/>
              </w:rPr>
              <w:t>/s/</w:t>
            </w:r>
          </w:p>
        </w:tc>
        <w:tc>
          <w:tcPr>
            <w:tcW w:w="3340" w:type="dxa"/>
            <w:vAlign w:val="bottom"/>
          </w:tcPr>
          <w:p>
            <w:pPr>
              <w:jc w:val="right"/>
              <w:spacing w:after="0"/>
              <w:rPr>
                <w:sz w:val="20"/>
                <w:szCs w:val="20"/>
                <w:color w:val="auto"/>
              </w:rPr>
            </w:pPr>
            <w:r>
              <w:rPr>
                <w:rFonts w:ascii="Arial" w:cs="Arial" w:eastAsia="Arial" w:hAnsi="Arial"/>
                <w:sz w:val="18"/>
                <w:szCs w:val="18"/>
                <w:color w:val="auto"/>
              </w:rPr>
              <w:t>Peter E. Nordstrom</w:t>
            </w:r>
          </w:p>
        </w:tc>
      </w:tr>
      <w:tr>
        <w:trPr>
          <w:trHeight w:val="27"/>
        </w:trPr>
        <w:tc>
          <w:tcPr>
            <w:tcW w:w="2000" w:type="dxa"/>
            <w:vAlign w:val="bottom"/>
            <w:tcBorders>
              <w:bottom w:val="single" w:sz="8" w:color="auto"/>
            </w:tcBorders>
          </w:tcPr>
          <w:p>
            <w:pPr>
              <w:spacing w:after="0"/>
              <w:rPr>
                <w:sz w:val="2"/>
                <w:szCs w:val="2"/>
                <w:color w:val="auto"/>
              </w:rPr>
            </w:pPr>
          </w:p>
        </w:tc>
        <w:tc>
          <w:tcPr>
            <w:tcW w:w="3340" w:type="dxa"/>
            <w:vAlign w:val="bottom"/>
            <w:tcBorders>
              <w:bottom w:val="single" w:sz="8" w:color="auto"/>
            </w:tcBorders>
          </w:tcPr>
          <w:p>
            <w:pPr>
              <w:spacing w:after="0"/>
              <w:rPr>
                <w:sz w:val="2"/>
                <w:szCs w:val="2"/>
                <w:color w:val="auto"/>
              </w:rPr>
            </w:pPr>
          </w:p>
        </w:tc>
      </w:tr>
      <w:tr>
        <w:trPr>
          <w:trHeight w:val="237"/>
        </w:trPr>
        <w:tc>
          <w:tcPr>
            <w:tcW w:w="2000" w:type="dxa"/>
            <w:vAlign w:val="bottom"/>
          </w:tcPr>
          <w:p>
            <w:pPr>
              <w:spacing w:after="0"/>
              <w:rPr>
                <w:sz w:val="20"/>
                <w:szCs w:val="20"/>
                <w:color w:val="auto"/>
              </w:rPr>
            </w:pPr>
          </w:p>
        </w:tc>
        <w:tc>
          <w:tcPr>
            <w:tcW w:w="3340" w:type="dxa"/>
            <w:vAlign w:val="bottom"/>
          </w:tcPr>
          <w:p>
            <w:pPr>
              <w:jc w:val="right"/>
              <w:spacing w:after="0"/>
              <w:rPr>
                <w:sz w:val="20"/>
                <w:szCs w:val="20"/>
                <w:color w:val="auto"/>
              </w:rPr>
            </w:pPr>
            <w:r>
              <w:rPr>
                <w:rFonts w:ascii="Arial" w:cs="Arial" w:eastAsia="Arial" w:hAnsi="Arial"/>
                <w:sz w:val="18"/>
                <w:szCs w:val="18"/>
                <w:color w:val="auto"/>
              </w:rPr>
              <w:t>Peter E. Nordstrom</w:t>
            </w:r>
          </w:p>
        </w:tc>
      </w:tr>
      <w:tr>
        <w:trPr>
          <w:trHeight w:val="270"/>
        </w:trPr>
        <w:tc>
          <w:tcPr>
            <w:tcW w:w="2000" w:type="dxa"/>
            <w:vAlign w:val="bottom"/>
          </w:tcPr>
          <w:p>
            <w:pPr>
              <w:spacing w:after="0"/>
              <w:rPr>
                <w:sz w:val="23"/>
                <w:szCs w:val="23"/>
                <w:color w:val="auto"/>
              </w:rPr>
            </w:pPr>
          </w:p>
        </w:tc>
        <w:tc>
          <w:tcPr>
            <w:tcW w:w="3340" w:type="dxa"/>
            <w:vAlign w:val="bottom"/>
          </w:tcPr>
          <w:p>
            <w:pPr>
              <w:jc w:val="right"/>
              <w:spacing w:after="0"/>
              <w:rPr>
                <w:sz w:val="20"/>
                <w:szCs w:val="20"/>
                <w:color w:val="auto"/>
              </w:rPr>
            </w:pPr>
            <w:r>
              <w:rPr>
                <w:rFonts w:ascii="Arial" w:cs="Arial" w:eastAsia="Arial" w:hAnsi="Arial"/>
                <w:sz w:val="18"/>
                <w:szCs w:val="18"/>
                <w:color w:val="auto"/>
              </w:rPr>
              <w:t>Director</w:t>
            </w:r>
          </w:p>
        </w:tc>
      </w:tr>
      <w:tr>
        <w:trPr>
          <w:trHeight w:val="392"/>
        </w:trPr>
        <w:tc>
          <w:tcPr>
            <w:tcW w:w="2000" w:type="dxa"/>
            <w:vAlign w:val="bottom"/>
          </w:tcPr>
          <w:p>
            <w:pPr>
              <w:ind w:left="20"/>
              <w:spacing w:after="0"/>
              <w:rPr>
                <w:sz w:val="20"/>
                <w:szCs w:val="20"/>
                <w:color w:val="auto"/>
              </w:rPr>
            </w:pPr>
            <w:r>
              <w:rPr>
                <w:rFonts w:ascii="Arial" w:cs="Arial" w:eastAsia="Arial" w:hAnsi="Arial"/>
                <w:sz w:val="18"/>
                <w:szCs w:val="18"/>
                <w:color w:val="auto"/>
              </w:rPr>
              <w:t>/s/</w:t>
            </w:r>
          </w:p>
        </w:tc>
        <w:tc>
          <w:tcPr>
            <w:tcW w:w="3340" w:type="dxa"/>
            <w:vAlign w:val="bottom"/>
          </w:tcPr>
          <w:p>
            <w:pPr>
              <w:jc w:val="right"/>
              <w:spacing w:after="0"/>
              <w:rPr>
                <w:sz w:val="20"/>
                <w:szCs w:val="20"/>
                <w:color w:val="auto"/>
              </w:rPr>
            </w:pPr>
            <w:r>
              <w:rPr>
                <w:rFonts w:ascii="Arial" w:cs="Arial" w:eastAsia="Arial" w:hAnsi="Arial"/>
                <w:sz w:val="18"/>
                <w:szCs w:val="18"/>
                <w:color w:val="auto"/>
              </w:rPr>
              <w:t>Brad D. Smith</w:t>
            </w:r>
          </w:p>
        </w:tc>
      </w:tr>
      <w:tr>
        <w:trPr>
          <w:trHeight w:val="27"/>
        </w:trPr>
        <w:tc>
          <w:tcPr>
            <w:tcW w:w="2000" w:type="dxa"/>
            <w:vAlign w:val="bottom"/>
            <w:tcBorders>
              <w:bottom w:val="single" w:sz="8" w:color="auto"/>
            </w:tcBorders>
          </w:tcPr>
          <w:p>
            <w:pPr>
              <w:spacing w:after="0"/>
              <w:rPr>
                <w:sz w:val="2"/>
                <w:szCs w:val="2"/>
                <w:color w:val="auto"/>
              </w:rPr>
            </w:pPr>
          </w:p>
        </w:tc>
        <w:tc>
          <w:tcPr>
            <w:tcW w:w="3340" w:type="dxa"/>
            <w:vAlign w:val="bottom"/>
            <w:tcBorders>
              <w:bottom w:val="single" w:sz="8" w:color="auto"/>
            </w:tcBorders>
          </w:tcPr>
          <w:p>
            <w:pPr>
              <w:spacing w:after="0"/>
              <w:rPr>
                <w:sz w:val="2"/>
                <w:szCs w:val="2"/>
                <w:color w:val="auto"/>
              </w:rPr>
            </w:pPr>
          </w:p>
        </w:tc>
      </w:tr>
      <w:tr>
        <w:trPr>
          <w:trHeight w:val="237"/>
        </w:trPr>
        <w:tc>
          <w:tcPr>
            <w:tcW w:w="2000" w:type="dxa"/>
            <w:vAlign w:val="bottom"/>
          </w:tcPr>
          <w:p>
            <w:pPr>
              <w:spacing w:after="0"/>
              <w:rPr>
                <w:sz w:val="20"/>
                <w:szCs w:val="20"/>
                <w:color w:val="auto"/>
              </w:rPr>
            </w:pPr>
          </w:p>
        </w:tc>
        <w:tc>
          <w:tcPr>
            <w:tcW w:w="3340" w:type="dxa"/>
            <w:vAlign w:val="bottom"/>
          </w:tcPr>
          <w:p>
            <w:pPr>
              <w:jc w:val="right"/>
              <w:spacing w:after="0"/>
              <w:rPr>
                <w:sz w:val="20"/>
                <w:szCs w:val="20"/>
                <w:color w:val="auto"/>
              </w:rPr>
            </w:pPr>
            <w:r>
              <w:rPr>
                <w:rFonts w:ascii="Arial" w:cs="Arial" w:eastAsia="Arial" w:hAnsi="Arial"/>
                <w:sz w:val="18"/>
                <w:szCs w:val="18"/>
                <w:color w:val="auto"/>
              </w:rPr>
              <w:t>Brad D. Smith</w:t>
            </w:r>
          </w:p>
        </w:tc>
      </w:tr>
      <w:tr>
        <w:trPr>
          <w:trHeight w:val="270"/>
        </w:trPr>
        <w:tc>
          <w:tcPr>
            <w:tcW w:w="2000" w:type="dxa"/>
            <w:vAlign w:val="bottom"/>
          </w:tcPr>
          <w:p>
            <w:pPr>
              <w:spacing w:after="0"/>
              <w:rPr>
                <w:sz w:val="23"/>
                <w:szCs w:val="23"/>
                <w:color w:val="auto"/>
              </w:rPr>
            </w:pPr>
          </w:p>
        </w:tc>
        <w:tc>
          <w:tcPr>
            <w:tcW w:w="3340" w:type="dxa"/>
            <w:vAlign w:val="bottom"/>
          </w:tcPr>
          <w:p>
            <w:pPr>
              <w:jc w:val="right"/>
              <w:spacing w:after="0"/>
              <w:rPr>
                <w:sz w:val="20"/>
                <w:szCs w:val="20"/>
                <w:color w:val="auto"/>
              </w:rPr>
            </w:pPr>
            <w:r>
              <w:rPr>
                <w:rFonts w:ascii="Arial" w:cs="Arial" w:eastAsia="Arial" w:hAnsi="Arial"/>
                <w:sz w:val="18"/>
                <w:szCs w:val="18"/>
                <w:color w:val="auto"/>
              </w:rPr>
              <w:t>Director</w:t>
            </w:r>
          </w:p>
        </w:tc>
      </w:tr>
      <w:tr>
        <w:trPr>
          <w:trHeight w:val="392"/>
        </w:trPr>
        <w:tc>
          <w:tcPr>
            <w:tcW w:w="2000" w:type="dxa"/>
            <w:vAlign w:val="bottom"/>
          </w:tcPr>
          <w:p>
            <w:pPr>
              <w:ind w:left="20"/>
              <w:spacing w:after="0"/>
              <w:rPr>
                <w:sz w:val="20"/>
                <w:szCs w:val="20"/>
                <w:color w:val="auto"/>
              </w:rPr>
            </w:pPr>
            <w:r>
              <w:rPr>
                <w:rFonts w:ascii="Arial" w:cs="Arial" w:eastAsia="Arial" w:hAnsi="Arial"/>
                <w:sz w:val="18"/>
                <w:szCs w:val="18"/>
                <w:color w:val="auto"/>
              </w:rPr>
              <w:t>/s/</w:t>
            </w:r>
          </w:p>
        </w:tc>
        <w:tc>
          <w:tcPr>
            <w:tcW w:w="3340" w:type="dxa"/>
            <w:vAlign w:val="bottom"/>
          </w:tcPr>
          <w:p>
            <w:pPr>
              <w:jc w:val="right"/>
              <w:spacing w:after="0"/>
              <w:rPr>
                <w:sz w:val="20"/>
                <w:szCs w:val="20"/>
                <w:color w:val="auto"/>
              </w:rPr>
            </w:pPr>
            <w:r>
              <w:rPr>
                <w:rFonts w:ascii="Arial" w:cs="Arial" w:eastAsia="Arial" w:hAnsi="Arial"/>
                <w:sz w:val="18"/>
                <w:szCs w:val="18"/>
                <w:color w:val="auto"/>
              </w:rPr>
              <w:t>Bradley D. Tilden</w:t>
            </w:r>
          </w:p>
        </w:tc>
      </w:tr>
      <w:tr>
        <w:trPr>
          <w:trHeight w:val="27"/>
        </w:trPr>
        <w:tc>
          <w:tcPr>
            <w:tcW w:w="2000" w:type="dxa"/>
            <w:vAlign w:val="bottom"/>
            <w:tcBorders>
              <w:bottom w:val="single" w:sz="8" w:color="auto"/>
            </w:tcBorders>
          </w:tcPr>
          <w:p>
            <w:pPr>
              <w:spacing w:after="0"/>
              <w:rPr>
                <w:sz w:val="2"/>
                <w:szCs w:val="2"/>
                <w:color w:val="auto"/>
              </w:rPr>
            </w:pPr>
          </w:p>
        </w:tc>
        <w:tc>
          <w:tcPr>
            <w:tcW w:w="3340" w:type="dxa"/>
            <w:vAlign w:val="bottom"/>
            <w:tcBorders>
              <w:bottom w:val="single" w:sz="8" w:color="auto"/>
            </w:tcBorders>
          </w:tcPr>
          <w:p>
            <w:pPr>
              <w:spacing w:after="0"/>
              <w:rPr>
                <w:sz w:val="2"/>
                <w:szCs w:val="2"/>
                <w:color w:val="auto"/>
              </w:rPr>
            </w:pPr>
          </w:p>
        </w:tc>
      </w:tr>
      <w:tr>
        <w:trPr>
          <w:trHeight w:val="237"/>
        </w:trPr>
        <w:tc>
          <w:tcPr>
            <w:tcW w:w="2000" w:type="dxa"/>
            <w:vAlign w:val="bottom"/>
          </w:tcPr>
          <w:p>
            <w:pPr>
              <w:spacing w:after="0"/>
              <w:rPr>
                <w:sz w:val="20"/>
                <w:szCs w:val="20"/>
                <w:color w:val="auto"/>
              </w:rPr>
            </w:pPr>
          </w:p>
        </w:tc>
        <w:tc>
          <w:tcPr>
            <w:tcW w:w="3340" w:type="dxa"/>
            <w:vAlign w:val="bottom"/>
          </w:tcPr>
          <w:p>
            <w:pPr>
              <w:jc w:val="right"/>
              <w:spacing w:after="0"/>
              <w:rPr>
                <w:sz w:val="20"/>
                <w:szCs w:val="20"/>
                <w:color w:val="auto"/>
              </w:rPr>
            </w:pPr>
            <w:r>
              <w:rPr>
                <w:rFonts w:ascii="Arial" w:cs="Arial" w:eastAsia="Arial" w:hAnsi="Arial"/>
                <w:sz w:val="18"/>
                <w:szCs w:val="18"/>
                <w:color w:val="auto"/>
              </w:rPr>
              <w:t>Bradley D. Tilden</w:t>
            </w:r>
          </w:p>
        </w:tc>
      </w:tr>
      <w:tr>
        <w:trPr>
          <w:trHeight w:val="270"/>
        </w:trPr>
        <w:tc>
          <w:tcPr>
            <w:tcW w:w="2000" w:type="dxa"/>
            <w:vAlign w:val="bottom"/>
          </w:tcPr>
          <w:p>
            <w:pPr>
              <w:spacing w:after="0"/>
              <w:rPr>
                <w:sz w:val="23"/>
                <w:szCs w:val="23"/>
                <w:color w:val="auto"/>
              </w:rPr>
            </w:pPr>
          </w:p>
        </w:tc>
        <w:tc>
          <w:tcPr>
            <w:tcW w:w="3340" w:type="dxa"/>
            <w:vAlign w:val="bottom"/>
          </w:tcPr>
          <w:p>
            <w:pPr>
              <w:jc w:val="right"/>
              <w:spacing w:after="0"/>
              <w:rPr>
                <w:sz w:val="20"/>
                <w:szCs w:val="20"/>
                <w:color w:val="auto"/>
              </w:rPr>
            </w:pPr>
            <w:r>
              <w:rPr>
                <w:rFonts w:ascii="Arial" w:cs="Arial" w:eastAsia="Arial" w:hAnsi="Arial"/>
                <w:sz w:val="18"/>
                <w:szCs w:val="18"/>
                <w:color w:val="auto"/>
              </w:rPr>
              <w:t>Director</w:t>
            </w:r>
          </w:p>
        </w:tc>
      </w:tr>
      <w:tr>
        <w:trPr>
          <w:trHeight w:val="392"/>
        </w:trPr>
        <w:tc>
          <w:tcPr>
            <w:tcW w:w="2000" w:type="dxa"/>
            <w:vAlign w:val="bottom"/>
          </w:tcPr>
          <w:p>
            <w:pPr>
              <w:ind w:left="20"/>
              <w:spacing w:after="0"/>
              <w:rPr>
                <w:sz w:val="20"/>
                <w:szCs w:val="20"/>
                <w:color w:val="auto"/>
              </w:rPr>
            </w:pPr>
            <w:r>
              <w:rPr>
                <w:rFonts w:ascii="Arial" w:cs="Arial" w:eastAsia="Arial" w:hAnsi="Arial"/>
                <w:sz w:val="18"/>
                <w:szCs w:val="18"/>
                <w:color w:val="auto"/>
              </w:rPr>
              <w:t>/s/</w:t>
            </w:r>
          </w:p>
        </w:tc>
        <w:tc>
          <w:tcPr>
            <w:tcW w:w="3340" w:type="dxa"/>
            <w:vAlign w:val="bottom"/>
          </w:tcPr>
          <w:p>
            <w:pPr>
              <w:jc w:val="right"/>
              <w:spacing w:after="0"/>
              <w:rPr>
                <w:sz w:val="20"/>
                <w:szCs w:val="20"/>
                <w:color w:val="auto"/>
              </w:rPr>
            </w:pPr>
            <w:r>
              <w:rPr>
                <w:rFonts w:ascii="Arial" w:cs="Arial" w:eastAsia="Arial" w:hAnsi="Arial"/>
                <w:sz w:val="18"/>
                <w:szCs w:val="18"/>
                <w:color w:val="auto"/>
              </w:rPr>
              <w:t>Robert D. Walter</w:t>
            </w:r>
          </w:p>
        </w:tc>
      </w:tr>
      <w:tr>
        <w:trPr>
          <w:trHeight w:val="27"/>
        </w:trPr>
        <w:tc>
          <w:tcPr>
            <w:tcW w:w="2000" w:type="dxa"/>
            <w:vAlign w:val="bottom"/>
            <w:tcBorders>
              <w:bottom w:val="single" w:sz="8" w:color="auto"/>
            </w:tcBorders>
          </w:tcPr>
          <w:p>
            <w:pPr>
              <w:spacing w:after="0"/>
              <w:rPr>
                <w:sz w:val="2"/>
                <w:szCs w:val="2"/>
                <w:color w:val="auto"/>
              </w:rPr>
            </w:pPr>
          </w:p>
        </w:tc>
        <w:tc>
          <w:tcPr>
            <w:tcW w:w="3340" w:type="dxa"/>
            <w:vAlign w:val="bottom"/>
            <w:tcBorders>
              <w:bottom w:val="single" w:sz="8" w:color="auto"/>
            </w:tcBorders>
          </w:tcPr>
          <w:p>
            <w:pPr>
              <w:spacing w:after="0"/>
              <w:rPr>
                <w:sz w:val="2"/>
                <w:szCs w:val="2"/>
                <w:color w:val="auto"/>
              </w:rPr>
            </w:pPr>
          </w:p>
        </w:tc>
      </w:tr>
      <w:tr>
        <w:trPr>
          <w:trHeight w:val="237"/>
        </w:trPr>
        <w:tc>
          <w:tcPr>
            <w:tcW w:w="2000" w:type="dxa"/>
            <w:vAlign w:val="bottom"/>
          </w:tcPr>
          <w:p>
            <w:pPr>
              <w:spacing w:after="0"/>
              <w:rPr>
                <w:sz w:val="20"/>
                <w:szCs w:val="20"/>
                <w:color w:val="auto"/>
              </w:rPr>
            </w:pPr>
          </w:p>
        </w:tc>
        <w:tc>
          <w:tcPr>
            <w:tcW w:w="3340" w:type="dxa"/>
            <w:vAlign w:val="bottom"/>
          </w:tcPr>
          <w:p>
            <w:pPr>
              <w:jc w:val="right"/>
              <w:spacing w:after="0"/>
              <w:rPr>
                <w:sz w:val="20"/>
                <w:szCs w:val="20"/>
                <w:color w:val="auto"/>
              </w:rPr>
            </w:pPr>
            <w:r>
              <w:rPr>
                <w:rFonts w:ascii="Arial" w:cs="Arial" w:eastAsia="Arial" w:hAnsi="Arial"/>
                <w:sz w:val="18"/>
                <w:szCs w:val="18"/>
                <w:color w:val="auto"/>
              </w:rPr>
              <w:t>Robert D. Walter</w:t>
            </w:r>
          </w:p>
        </w:tc>
      </w:tr>
      <w:tr>
        <w:trPr>
          <w:trHeight w:val="270"/>
        </w:trPr>
        <w:tc>
          <w:tcPr>
            <w:tcW w:w="2000" w:type="dxa"/>
            <w:vAlign w:val="bottom"/>
          </w:tcPr>
          <w:p>
            <w:pPr>
              <w:spacing w:after="0"/>
              <w:rPr>
                <w:sz w:val="23"/>
                <w:szCs w:val="23"/>
                <w:color w:val="auto"/>
              </w:rPr>
            </w:pPr>
          </w:p>
        </w:tc>
        <w:tc>
          <w:tcPr>
            <w:tcW w:w="3340" w:type="dxa"/>
            <w:vAlign w:val="bottom"/>
          </w:tcPr>
          <w:p>
            <w:pPr>
              <w:jc w:val="right"/>
              <w:spacing w:after="0"/>
              <w:rPr>
                <w:sz w:val="20"/>
                <w:szCs w:val="20"/>
                <w:color w:val="auto"/>
              </w:rPr>
            </w:pPr>
            <w:r>
              <w:rPr>
                <w:rFonts w:ascii="Arial" w:cs="Arial" w:eastAsia="Arial" w:hAnsi="Arial"/>
                <w:sz w:val="18"/>
                <w:szCs w:val="18"/>
                <w:color w:val="auto"/>
              </w:rPr>
              <w:t>Director</w:t>
            </w:r>
          </w:p>
        </w:tc>
      </w:tr>
    </w:tbl>
    <w:p>
      <w:pPr>
        <w:spacing w:after="0" w:line="200" w:lineRule="exact"/>
        <w:rPr>
          <w:sz w:val="20"/>
          <w:szCs w:val="20"/>
          <w:color w:val="auto"/>
        </w:rPr>
      </w:pPr>
    </w:p>
    <w:p>
      <w:pPr>
        <w:sectPr>
          <w:pgSz w:w="11900" w:h="16838" w:orient="portrait"/>
          <w:cols w:equalWidth="0" w:num="2">
            <w:col w:w="5380" w:space="700"/>
            <w:col w:w="5340"/>
          </w:cols>
          <w:pgMar w:left="240" w:top="126" w:right="239" w:bottom="847" w:gutter="0" w:footer="0" w:header="0"/>
          <w:type w:val="continuous"/>
        </w:sectPr>
      </w:pPr>
    </w:p>
    <w:p>
      <w:pPr>
        <w:spacing w:after="0" w:line="218"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March 20, 2017</w:t>
      </w:r>
    </w:p>
    <w:p>
      <w:pPr>
        <w:sectPr>
          <w:pgSz w:w="11900" w:h="16838" w:orient="portrait"/>
          <w:cols w:equalWidth="0" w:num="1">
            <w:col w:w="11420"/>
          </w:cols>
          <w:pgMar w:left="240" w:top="126" w:right="239" w:bottom="847" w:gutter="0" w:footer="0" w:header="0"/>
          <w:type w:val="continuous"/>
        </w:sect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6"/>
          <w:szCs w:val="16"/>
          <w:color w:val="auto"/>
        </w:rPr>
        <w:t>68</w:t>
      </w:r>
    </w:p>
    <w:p>
      <w:pPr>
        <w:sectPr>
          <w:pgSz w:w="11900" w:h="16838" w:orient="portrait"/>
          <w:cols w:equalWidth="0" w:num="1">
            <w:col w:w="11420"/>
          </w:cols>
          <w:pgMar w:left="240" w:top="126" w:right="239" w:bottom="847" w:gutter="0" w:footer="0" w:header="0"/>
          <w:type w:val="continuous"/>
        </w:sectPr>
      </w:pPr>
    </w:p>
    <w:bookmarkStart w:id="69" w:name="page70"/>
    <w:bookmarkEnd w:id="69"/>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CONSENT OF INDEPENDENT REGISTERED PUBLIC ACCOUNTING FIRM</w:t>
      </w:r>
    </w:p>
    <w:p>
      <w:pPr>
        <w:spacing w:after="0" w:line="233"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We consent to the incorporation by reference in Registration Statement Nos. 333-211825, 333-207396, 333-198413, 333-189301, 333-174336, 333-173020, 333-166961, 333-161803, 333-146049, 333-118756, 333-101110, 333-40066, 333-40064, 333-79791, 333-63403 on Form S-8 and 333-198408 on Form S-3 of our reports dated March 20, 2017, relating to the financial statements of Nordstrom Inc. and subsidiaries, and the effectiveness of Nordstrom, Inc. and subsidiaries’ internal control over financial reporting, appearing in the Annual Report on Form 10-K of Nordstrom, Inc. for the year ended January 28, 2017.</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Seattle, Washington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20, 2017</w:t>
      </w:r>
    </w:p>
    <w:p>
      <w:pPr>
        <w:spacing w:after="0" w:line="200" w:lineRule="exact"/>
        <w:rPr>
          <w:sz w:val="20"/>
          <w:szCs w:val="20"/>
          <w:color w:val="auto"/>
        </w:rPr>
      </w:pPr>
    </w:p>
    <w:p>
      <w:pPr>
        <w:spacing w:after="0" w:line="204" w:lineRule="exact"/>
        <w:rPr>
          <w:sz w:val="20"/>
          <w:szCs w:val="20"/>
          <w:color w:val="auto"/>
        </w:rPr>
      </w:pPr>
    </w:p>
    <w:p>
      <w:pPr>
        <w:jc w:val="right"/>
        <w:spacing w:after="0"/>
        <w:rPr>
          <w:sz w:val="20"/>
          <w:szCs w:val="20"/>
          <w:color w:val="auto"/>
        </w:rPr>
      </w:pPr>
      <w:r>
        <w:rPr>
          <w:rFonts w:ascii="Arial" w:cs="Arial" w:eastAsia="Arial" w:hAnsi="Arial"/>
          <w:sz w:val="13"/>
          <w:szCs w:val="13"/>
          <w:color w:val="auto"/>
        </w:rPr>
        <w:t xml:space="preserve">Nordstrom, Inc. and subsidiaries </w:t>
      </w:r>
      <w:r>
        <w:rPr>
          <w:rFonts w:ascii="Arial" w:cs="Arial" w:eastAsia="Arial" w:hAnsi="Arial"/>
          <w:sz w:val="16"/>
          <w:szCs w:val="16"/>
          <w:color w:val="auto"/>
        </w:rPr>
        <w:t>69</w:t>
      </w:r>
    </w:p>
    <w:p>
      <w:pPr>
        <w:sectPr>
          <w:pgSz w:w="11900" w:h="16838" w:orient="portrait"/>
          <w:cols w:equalWidth="0" w:num="1">
            <w:col w:w="11420"/>
          </w:cols>
          <w:pgMar w:left="240" w:top="126" w:right="239" w:bottom="1440" w:gutter="0" w:footer="0" w:header="0"/>
        </w:sectPr>
      </w:pPr>
    </w:p>
    <w:bookmarkStart w:id="70" w:name="page71"/>
    <w:bookmarkEnd w:id="70"/>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Nordstrom, Inc. and Subsidiaries</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Exhibit Index</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0" w:type="dxa"/>
            <w:vAlign w:val="bottom"/>
          </w:tcPr>
          <w:p>
            <w:pPr>
              <w:spacing w:after="0"/>
              <w:rPr>
                <w:sz w:val="20"/>
                <w:szCs w:val="20"/>
                <w:color w:val="auto"/>
              </w:rPr>
            </w:pPr>
          </w:p>
        </w:tc>
        <w:tc>
          <w:tcPr>
            <w:tcW w:w="5500" w:type="dxa"/>
            <w:vAlign w:val="bottom"/>
          </w:tcPr>
          <w:p>
            <w:pPr>
              <w:ind w:left="2620"/>
              <w:spacing w:after="0"/>
              <w:rPr>
                <w:sz w:val="20"/>
                <w:szCs w:val="20"/>
                <w:color w:val="auto"/>
              </w:rPr>
            </w:pPr>
            <w:r>
              <w:rPr>
                <w:rFonts w:ascii="Arial" w:cs="Arial" w:eastAsia="Arial" w:hAnsi="Arial"/>
                <w:sz w:val="18"/>
                <w:szCs w:val="18"/>
                <w:b w:val="1"/>
                <w:bCs w:val="1"/>
                <w:color w:val="auto"/>
              </w:rPr>
              <w:t>Exhibit</w:t>
            </w:r>
          </w:p>
        </w:tc>
        <w:tc>
          <w:tcPr>
            <w:tcW w:w="5320" w:type="dxa"/>
            <w:vAlign w:val="bottom"/>
          </w:tcPr>
          <w:p>
            <w:pPr>
              <w:ind w:left="2060"/>
              <w:spacing w:after="0"/>
              <w:rPr>
                <w:sz w:val="20"/>
                <w:szCs w:val="20"/>
                <w:color w:val="auto"/>
              </w:rPr>
            </w:pPr>
            <w:r>
              <w:rPr>
                <w:rFonts w:ascii="Arial" w:cs="Arial" w:eastAsia="Arial" w:hAnsi="Arial"/>
                <w:sz w:val="18"/>
                <w:szCs w:val="18"/>
                <w:b w:val="1"/>
                <w:bCs w:val="1"/>
                <w:color w:val="auto"/>
              </w:rPr>
              <w:t>Method of Filing</w:t>
            </w:r>
          </w:p>
        </w:tc>
      </w:tr>
      <w:tr>
        <w:trPr>
          <w:trHeight w:val="27"/>
        </w:trPr>
        <w:tc>
          <w:tcPr>
            <w:tcW w:w="600" w:type="dxa"/>
            <w:vAlign w:val="bottom"/>
            <w:tcBorders>
              <w:bottom w:val="single" w:sz="8" w:color="auto"/>
            </w:tcBorders>
          </w:tcPr>
          <w:p>
            <w:pPr>
              <w:spacing w:after="0"/>
              <w:rPr>
                <w:sz w:val="2"/>
                <w:szCs w:val="2"/>
                <w:color w:val="auto"/>
              </w:rPr>
            </w:pPr>
          </w:p>
        </w:tc>
        <w:tc>
          <w:tcPr>
            <w:tcW w:w="5500" w:type="dxa"/>
            <w:vAlign w:val="bottom"/>
            <w:tcBorders>
              <w:bottom w:val="single" w:sz="8" w:color="auto"/>
            </w:tcBorders>
          </w:tcPr>
          <w:p>
            <w:pPr>
              <w:spacing w:after="0"/>
              <w:rPr>
                <w:sz w:val="2"/>
                <w:szCs w:val="2"/>
                <w:color w:val="auto"/>
              </w:rPr>
            </w:pPr>
          </w:p>
        </w:tc>
        <w:tc>
          <w:tcPr>
            <w:tcW w:w="5320" w:type="dxa"/>
            <w:vAlign w:val="bottom"/>
            <w:tcBorders>
              <w:bottom w:val="single" w:sz="8" w:color="auto"/>
            </w:tcBorders>
          </w:tcPr>
          <w:p>
            <w:pPr>
              <w:spacing w:after="0"/>
              <w:rPr>
                <w:sz w:val="2"/>
                <w:szCs w:val="2"/>
                <w:color w:val="auto"/>
              </w:rPr>
            </w:pPr>
          </w:p>
        </w:tc>
      </w:tr>
      <w:tr>
        <w:trPr>
          <w:trHeight w:val="222"/>
        </w:trPr>
        <w:tc>
          <w:tcPr>
            <w:tcW w:w="600" w:type="dxa"/>
            <w:vAlign w:val="bottom"/>
          </w:tcPr>
          <w:p>
            <w:pPr>
              <w:jc w:val="right"/>
              <w:ind w:right="250"/>
              <w:spacing w:after="0"/>
              <w:rPr>
                <w:sz w:val="20"/>
                <w:szCs w:val="20"/>
                <w:color w:val="auto"/>
              </w:rPr>
            </w:pPr>
            <w:r>
              <w:rPr>
                <w:rFonts w:ascii="Arial" w:cs="Arial" w:eastAsia="Arial" w:hAnsi="Arial"/>
                <w:sz w:val="18"/>
                <w:szCs w:val="18"/>
                <w:color w:val="auto"/>
                <w:w w:val="95"/>
              </w:rPr>
              <w:t>3.1</w:t>
            </w:r>
          </w:p>
        </w:tc>
        <w:tc>
          <w:tcPr>
            <w:tcW w:w="5500" w:type="dxa"/>
            <w:vAlign w:val="bottom"/>
          </w:tcPr>
          <w:p>
            <w:pPr>
              <w:ind w:left="360"/>
              <w:spacing w:after="0"/>
              <w:rPr>
                <w:sz w:val="20"/>
                <w:szCs w:val="20"/>
                <w:color w:val="auto"/>
              </w:rPr>
            </w:pPr>
            <w:r>
              <w:rPr>
                <w:rFonts w:ascii="Arial" w:cs="Arial" w:eastAsia="Arial" w:hAnsi="Arial"/>
                <w:sz w:val="18"/>
                <w:szCs w:val="18"/>
                <w:color w:val="auto"/>
                <w:w w:val="95"/>
              </w:rPr>
              <w:t>Articles of Incorporation as amended and restated on May 25, 2005</w:t>
            </w:r>
          </w:p>
        </w:tc>
        <w:tc>
          <w:tcPr>
            <w:tcW w:w="5320" w:type="dxa"/>
            <w:vAlign w:val="bottom"/>
          </w:tcPr>
          <w:p>
            <w:pPr>
              <w:ind w:left="100"/>
              <w:spacing w:after="0"/>
              <w:rPr>
                <w:sz w:val="20"/>
                <w:szCs w:val="20"/>
                <w:color w:val="auto"/>
              </w:rPr>
            </w:pPr>
            <w:r>
              <w:rPr>
                <w:rFonts w:ascii="Arial" w:cs="Arial" w:eastAsia="Arial" w:hAnsi="Arial"/>
                <w:sz w:val="18"/>
                <w:szCs w:val="18"/>
                <w:color w:val="auto"/>
                <w:w w:val="92"/>
              </w:rPr>
              <w:t>Incorporated by reference from the Registrant’s Form 8-K filed on May</w:t>
            </w:r>
          </w:p>
        </w:tc>
      </w:tr>
      <w:tr>
        <w:trPr>
          <w:trHeight w:val="230"/>
        </w:trPr>
        <w:tc>
          <w:tcPr>
            <w:tcW w:w="600" w:type="dxa"/>
            <w:vAlign w:val="bottom"/>
          </w:tcPr>
          <w:p>
            <w:pPr>
              <w:spacing w:after="0"/>
              <w:rPr>
                <w:sz w:val="20"/>
                <w:szCs w:val="20"/>
                <w:color w:val="auto"/>
              </w:rPr>
            </w:pPr>
          </w:p>
        </w:tc>
        <w:tc>
          <w:tcPr>
            <w:tcW w:w="5500" w:type="dxa"/>
            <w:vAlign w:val="bottom"/>
          </w:tcPr>
          <w:p>
            <w:pPr>
              <w:spacing w:after="0"/>
              <w:rPr>
                <w:sz w:val="20"/>
                <w:szCs w:val="20"/>
                <w:color w:val="auto"/>
              </w:rPr>
            </w:pPr>
          </w:p>
        </w:tc>
        <w:tc>
          <w:tcPr>
            <w:tcW w:w="5320" w:type="dxa"/>
            <w:vAlign w:val="bottom"/>
          </w:tcPr>
          <w:p>
            <w:pPr>
              <w:ind w:left="100"/>
              <w:spacing w:after="0"/>
              <w:rPr>
                <w:sz w:val="20"/>
                <w:szCs w:val="20"/>
                <w:color w:val="auto"/>
              </w:rPr>
            </w:pPr>
            <w:r>
              <w:rPr>
                <w:rFonts w:ascii="Arial" w:cs="Arial" w:eastAsia="Arial" w:hAnsi="Arial"/>
                <w:sz w:val="18"/>
                <w:szCs w:val="18"/>
                <w:color w:val="auto"/>
              </w:rPr>
              <w:t>31, 2005, Exhibit 3.1</w:t>
            </w:r>
          </w:p>
        </w:tc>
      </w:tr>
      <w:tr>
        <w:trPr>
          <w:trHeight w:val="377"/>
        </w:trPr>
        <w:tc>
          <w:tcPr>
            <w:tcW w:w="600" w:type="dxa"/>
            <w:vAlign w:val="bottom"/>
          </w:tcPr>
          <w:p>
            <w:pPr>
              <w:jc w:val="right"/>
              <w:ind w:right="250"/>
              <w:spacing w:after="0"/>
              <w:rPr>
                <w:sz w:val="20"/>
                <w:szCs w:val="20"/>
                <w:color w:val="auto"/>
              </w:rPr>
            </w:pPr>
            <w:r>
              <w:rPr>
                <w:rFonts w:ascii="Arial" w:cs="Arial" w:eastAsia="Arial" w:hAnsi="Arial"/>
                <w:sz w:val="18"/>
                <w:szCs w:val="18"/>
                <w:color w:val="auto"/>
                <w:w w:val="95"/>
              </w:rPr>
              <w:t>3.2</w:t>
            </w:r>
          </w:p>
        </w:tc>
        <w:tc>
          <w:tcPr>
            <w:tcW w:w="5500" w:type="dxa"/>
            <w:vAlign w:val="bottom"/>
          </w:tcPr>
          <w:p>
            <w:pPr>
              <w:ind w:left="360"/>
              <w:spacing w:after="0"/>
              <w:rPr>
                <w:sz w:val="20"/>
                <w:szCs w:val="20"/>
                <w:color w:val="auto"/>
              </w:rPr>
            </w:pPr>
            <w:r>
              <w:rPr>
                <w:rFonts w:ascii="Arial" w:cs="Arial" w:eastAsia="Arial" w:hAnsi="Arial"/>
                <w:sz w:val="18"/>
                <w:szCs w:val="18"/>
                <w:color w:val="auto"/>
              </w:rPr>
              <w:t>Bylaws, as amended and restated on February 24, 2016</w:t>
            </w:r>
          </w:p>
        </w:tc>
        <w:tc>
          <w:tcPr>
            <w:tcW w:w="5320" w:type="dxa"/>
            <w:vAlign w:val="bottom"/>
          </w:tcPr>
          <w:p>
            <w:pPr>
              <w:ind w:left="100"/>
              <w:spacing w:after="0"/>
              <w:rPr>
                <w:sz w:val="20"/>
                <w:szCs w:val="20"/>
                <w:color w:val="auto"/>
              </w:rPr>
            </w:pPr>
            <w:r>
              <w:rPr>
                <w:rFonts w:ascii="Arial" w:cs="Arial" w:eastAsia="Arial" w:hAnsi="Arial"/>
                <w:sz w:val="18"/>
                <w:szCs w:val="18"/>
                <w:color w:val="auto"/>
                <w:w w:val="99"/>
              </w:rPr>
              <w:t>Incorporated by reference from the Registrant’s Form 8-K filed on</w:t>
            </w:r>
          </w:p>
        </w:tc>
      </w:tr>
      <w:tr>
        <w:trPr>
          <w:trHeight w:val="230"/>
        </w:trPr>
        <w:tc>
          <w:tcPr>
            <w:tcW w:w="600" w:type="dxa"/>
            <w:vAlign w:val="bottom"/>
          </w:tcPr>
          <w:p>
            <w:pPr>
              <w:spacing w:after="0"/>
              <w:rPr>
                <w:sz w:val="20"/>
                <w:szCs w:val="20"/>
                <w:color w:val="auto"/>
              </w:rPr>
            </w:pPr>
          </w:p>
        </w:tc>
        <w:tc>
          <w:tcPr>
            <w:tcW w:w="5500" w:type="dxa"/>
            <w:vAlign w:val="bottom"/>
          </w:tcPr>
          <w:p>
            <w:pPr>
              <w:spacing w:after="0"/>
              <w:rPr>
                <w:sz w:val="20"/>
                <w:szCs w:val="20"/>
                <w:color w:val="auto"/>
              </w:rPr>
            </w:pPr>
          </w:p>
        </w:tc>
        <w:tc>
          <w:tcPr>
            <w:tcW w:w="5320" w:type="dxa"/>
            <w:vAlign w:val="bottom"/>
          </w:tcPr>
          <w:p>
            <w:pPr>
              <w:ind w:left="100"/>
              <w:spacing w:after="0"/>
              <w:rPr>
                <w:sz w:val="20"/>
                <w:szCs w:val="20"/>
                <w:color w:val="auto"/>
              </w:rPr>
            </w:pPr>
            <w:r>
              <w:rPr>
                <w:rFonts w:ascii="Arial" w:cs="Arial" w:eastAsia="Arial" w:hAnsi="Arial"/>
                <w:sz w:val="18"/>
                <w:szCs w:val="18"/>
                <w:color w:val="auto"/>
              </w:rPr>
              <w:t>February 26, 2016, Exhibit 3.1</w:t>
            </w:r>
          </w:p>
        </w:tc>
      </w:tr>
      <w:tr>
        <w:trPr>
          <w:trHeight w:val="377"/>
        </w:trPr>
        <w:tc>
          <w:tcPr>
            <w:tcW w:w="600" w:type="dxa"/>
            <w:vAlign w:val="bottom"/>
          </w:tcPr>
          <w:p>
            <w:pPr>
              <w:jc w:val="right"/>
              <w:ind w:right="250"/>
              <w:spacing w:after="0"/>
              <w:rPr>
                <w:sz w:val="20"/>
                <w:szCs w:val="20"/>
                <w:color w:val="auto"/>
              </w:rPr>
            </w:pPr>
            <w:r>
              <w:rPr>
                <w:rFonts w:ascii="Arial" w:cs="Arial" w:eastAsia="Arial" w:hAnsi="Arial"/>
                <w:sz w:val="18"/>
                <w:szCs w:val="18"/>
                <w:color w:val="auto"/>
                <w:w w:val="95"/>
              </w:rPr>
              <w:t>4.1</w:t>
            </w:r>
          </w:p>
        </w:tc>
        <w:tc>
          <w:tcPr>
            <w:tcW w:w="5500" w:type="dxa"/>
            <w:vAlign w:val="bottom"/>
          </w:tcPr>
          <w:p>
            <w:pPr>
              <w:ind w:left="360"/>
              <w:spacing w:after="0"/>
              <w:rPr>
                <w:sz w:val="20"/>
                <w:szCs w:val="20"/>
                <w:color w:val="auto"/>
              </w:rPr>
            </w:pPr>
            <w:r>
              <w:rPr>
                <w:rFonts w:ascii="Arial" w:cs="Arial" w:eastAsia="Arial" w:hAnsi="Arial"/>
                <w:sz w:val="18"/>
                <w:szCs w:val="18"/>
                <w:color w:val="auto"/>
                <w:w w:val="94"/>
              </w:rPr>
              <w:t>Indenture between Registrant and Norwest Bank Colorado, N.A., as</w:t>
            </w:r>
          </w:p>
        </w:tc>
        <w:tc>
          <w:tcPr>
            <w:tcW w:w="5320" w:type="dxa"/>
            <w:vAlign w:val="bottom"/>
          </w:tcPr>
          <w:p>
            <w:pPr>
              <w:ind w:left="100"/>
              <w:spacing w:after="0"/>
              <w:rPr>
                <w:sz w:val="20"/>
                <w:szCs w:val="20"/>
                <w:color w:val="auto"/>
              </w:rPr>
            </w:pPr>
            <w:r>
              <w:rPr>
                <w:rFonts w:ascii="Arial" w:cs="Arial" w:eastAsia="Arial" w:hAnsi="Arial"/>
                <w:sz w:val="18"/>
                <w:szCs w:val="18"/>
                <w:color w:val="auto"/>
                <w:w w:val="96"/>
              </w:rPr>
              <w:t>Incorporated by reference from Registration No. 333-47035, Exhibit</w:t>
            </w:r>
          </w:p>
        </w:tc>
      </w:tr>
      <w:tr>
        <w:trPr>
          <w:trHeight w:val="230"/>
        </w:trPr>
        <w:tc>
          <w:tcPr>
            <w:tcW w:w="600" w:type="dxa"/>
            <w:vAlign w:val="bottom"/>
          </w:tcPr>
          <w:p>
            <w:pPr>
              <w:spacing w:after="0"/>
              <w:rPr>
                <w:sz w:val="20"/>
                <w:szCs w:val="20"/>
                <w:color w:val="auto"/>
              </w:rPr>
            </w:pPr>
          </w:p>
        </w:tc>
        <w:tc>
          <w:tcPr>
            <w:tcW w:w="5500" w:type="dxa"/>
            <w:vAlign w:val="bottom"/>
          </w:tcPr>
          <w:p>
            <w:pPr>
              <w:ind w:left="360"/>
              <w:spacing w:after="0"/>
              <w:rPr>
                <w:sz w:val="20"/>
                <w:szCs w:val="20"/>
                <w:color w:val="auto"/>
              </w:rPr>
            </w:pPr>
            <w:r>
              <w:rPr>
                <w:rFonts w:ascii="Arial" w:cs="Arial" w:eastAsia="Arial" w:hAnsi="Arial"/>
                <w:sz w:val="18"/>
                <w:szCs w:val="18"/>
                <w:color w:val="auto"/>
              </w:rPr>
              <w:t>trustee, dated March 11, 1998</w:t>
            </w:r>
          </w:p>
        </w:tc>
        <w:tc>
          <w:tcPr>
            <w:tcW w:w="5320" w:type="dxa"/>
            <w:vAlign w:val="bottom"/>
          </w:tcPr>
          <w:p>
            <w:pPr>
              <w:ind w:left="100"/>
              <w:spacing w:after="0"/>
              <w:rPr>
                <w:sz w:val="20"/>
                <w:szCs w:val="20"/>
                <w:color w:val="auto"/>
              </w:rPr>
            </w:pPr>
            <w:r>
              <w:rPr>
                <w:rFonts w:ascii="Arial" w:cs="Arial" w:eastAsia="Arial" w:hAnsi="Arial"/>
                <w:sz w:val="18"/>
                <w:szCs w:val="18"/>
                <w:color w:val="auto"/>
              </w:rPr>
              <w:t>4.1</w:t>
            </w:r>
          </w:p>
        </w:tc>
      </w:tr>
      <w:tr>
        <w:trPr>
          <w:trHeight w:val="377"/>
        </w:trPr>
        <w:tc>
          <w:tcPr>
            <w:tcW w:w="600" w:type="dxa"/>
            <w:vAlign w:val="bottom"/>
          </w:tcPr>
          <w:p>
            <w:pPr>
              <w:jc w:val="right"/>
              <w:ind w:right="250"/>
              <w:spacing w:after="0"/>
              <w:rPr>
                <w:sz w:val="20"/>
                <w:szCs w:val="20"/>
                <w:color w:val="auto"/>
              </w:rPr>
            </w:pPr>
            <w:r>
              <w:rPr>
                <w:rFonts w:ascii="Arial" w:cs="Arial" w:eastAsia="Arial" w:hAnsi="Arial"/>
                <w:sz w:val="18"/>
                <w:szCs w:val="18"/>
                <w:color w:val="auto"/>
                <w:w w:val="95"/>
              </w:rPr>
              <w:t>4.2</w:t>
            </w:r>
          </w:p>
        </w:tc>
        <w:tc>
          <w:tcPr>
            <w:tcW w:w="5500" w:type="dxa"/>
            <w:vAlign w:val="bottom"/>
          </w:tcPr>
          <w:p>
            <w:pPr>
              <w:ind w:left="360"/>
              <w:spacing w:after="0"/>
              <w:rPr>
                <w:sz w:val="20"/>
                <w:szCs w:val="20"/>
                <w:color w:val="auto"/>
              </w:rPr>
            </w:pPr>
            <w:r>
              <w:rPr>
                <w:rFonts w:ascii="Arial" w:cs="Arial" w:eastAsia="Arial" w:hAnsi="Arial"/>
                <w:sz w:val="18"/>
                <w:szCs w:val="18"/>
                <w:color w:val="auto"/>
                <w:w w:val="91"/>
              </w:rPr>
              <w:t>Amended and Restated Master Indenture, dated as of May 1, 2007, by</w:t>
            </w:r>
          </w:p>
        </w:tc>
        <w:tc>
          <w:tcPr>
            <w:tcW w:w="5320" w:type="dxa"/>
            <w:vAlign w:val="bottom"/>
          </w:tcPr>
          <w:p>
            <w:pPr>
              <w:ind w:left="100"/>
              <w:spacing w:after="0"/>
              <w:rPr>
                <w:sz w:val="20"/>
                <w:szCs w:val="20"/>
                <w:color w:val="auto"/>
              </w:rPr>
            </w:pPr>
            <w:r>
              <w:rPr>
                <w:rFonts w:ascii="Arial" w:cs="Arial" w:eastAsia="Arial" w:hAnsi="Arial"/>
                <w:sz w:val="18"/>
                <w:szCs w:val="18"/>
                <w:color w:val="auto"/>
                <w:w w:val="92"/>
              </w:rPr>
              <w:t>Incorporated by reference from the Registrant’s Form 8-K filed on May</w:t>
            </w:r>
          </w:p>
        </w:tc>
      </w:tr>
      <w:tr>
        <w:trPr>
          <w:trHeight w:val="216"/>
        </w:trPr>
        <w:tc>
          <w:tcPr>
            <w:tcW w:w="600" w:type="dxa"/>
            <w:vAlign w:val="bottom"/>
          </w:tcPr>
          <w:p>
            <w:pPr>
              <w:spacing w:after="0"/>
              <w:rPr>
                <w:sz w:val="18"/>
                <w:szCs w:val="18"/>
                <w:color w:val="auto"/>
              </w:rPr>
            </w:pPr>
          </w:p>
        </w:tc>
        <w:tc>
          <w:tcPr>
            <w:tcW w:w="5500" w:type="dxa"/>
            <w:vAlign w:val="bottom"/>
          </w:tcPr>
          <w:p>
            <w:pPr>
              <w:ind w:left="360"/>
              <w:spacing w:after="0"/>
              <w:rPr>
                <w:sz w:val="20"/>
                <w:szCs w:val="20"/>
                <w:color w:val="auto"/>
              </w:rPr>
            </w:pPr>
            <w:r>
              <w:rPr>
                <w:rFonts w:ascii="Arial" w:cs="Arial" w:eastAsia="Arial" w:hAnsi="Arial"/>
                <w:sz w:val="18"/>
                <w:szCs w:val="18"/>
                <w:color w:val="auto"/>
                <w:w w:val="95"/>
              </w:rPr>
              <w:t>and between Nordstrom Credit Card Master Note Trust II and Wells</w:t>
            </w:r>
          </w:p>
        </w:tc>
        <w:tc>
          <w:tcPr>
            <w:tcW w:w="5320" w:type="dxa"/>
            <w:vAlign w:val="bottom"/>
          </w:tcPr>
          <w:p>
            <w:pPr>
              <w:ind w:left="100"/>
              <w:spacing w:after="0"/>
              <w:rPr>
                <w:sz w:val="20"/>
                <w:szCs w:val="20"/>
                <w:color w:val="auto"/>
              </w:rPr>
            </w:pPr>
            <w:r>
              <w:rPr>
                <w:rFonts w:ascii="Arial" w:cs="Arial" w:eastAsia="Arial" w:hAnsi="Arial"/>
                <w:sz w:val="18"/>
                <w:szCs w:val="18"/>
                <w:color w:val="auto"/>
              </w:rPr>
              <w:t>8, 2007, Exhibit 4.1</w:t>
            </w:r>
          </w:p>
        </w:tc>
      </w:tr>
      <w:tr>
        <w:trPr>
          <w:trHeight w:val="230"/>
        </w:trPr>
        <w:tc>
          <w:tcPr>
            <w:tcW w:w="600" w:type="dxa"/>
            <w:vAlign w:val="bottom"/>
          </w:tcPr>
          <w:p>
            <w:pPr>
              <w:spacing w:after="0"/>
              <w:rPr>
                <w:sz w:val="20"/>
                <w:szCs w:val="20"/>
                <w:color w:val="auto"/>
              </w:rPr>
            </w:pPr>
          </w:p>
        </w:tc>
        <w:tc>
          <w:tcPr>
            <w:tcW w:w="5500" w:type="dxa"/>
            <w:vAlign w:val="bottom"/>
          </w:tcPr>
          <w:p>
            <w:pPr>
              <w:ind w:left="360"/>
              <w:spacing w:after="0"/>
              <w:rPr>
                <w:sz w:val="20"/>
                <w:szCs w:val="20"/>
                <w:color w:val="auto"/>
              </w:rPr>
            </w:pPr>
            <w:r>
              <w:rPr>
                <w:rFonts w:ascii="Arial" w:cs="Arial" w:eastAsia="Arial" w:hAnsi="Arial"/>
                <w:sz w:val="18"/>
                <w:szCs w:val="18"/>
                <w:color w:val="auto"/>
              </w:rPr>
              <w:t>Fargo Bank, National Association, as indenture trustee</w:t>
            </w:r>
          </w:p>
        </w:tc>
        <w:tc>
          <w:tcPr>
            <w:tcW w:w="5320" w:type="dxa"/>
            <w:vAlign w:val="bottom"/>
          </w:tcPr>
          <w:p>
            <w:pPr>
              <w:spacing w:after="0"/>
              <w:rPr>
                <w:sz w:val="20"/>
                <w:szCs w:val="20"/>
                <w:color w:val="auto"/>
              </w:rPr>
            </w:pPr>
          </w:p>
        </w:tc>
      </w:tr>
    </w:tbl>
    <w:p>
      <w:pPr>
        <w:spacing w:after="0" w:line="161" w:lineRule="exact"/>
        <w:rPr>
          <w:sz w:val="20"/>
          <w:szCs w:val="20"/>
          <w:color w:val="auto"/>
        </w:rPr>
      </w:pPr>
    </w:p>
    <w:p>
      <w:pPr>
        <w:sectPr>
          <w:pgSz w:w="11900" w:h="16838" w:orient="portrait"/>
          <w:cols w:equalWidth="0" w:num="1">
            <w:col w:w="11420"/>
          </w:cols>
          <w:pgMar w:left="240" w:top="126" w:right="239" w:bottom="915" w:gutter="0" w:footer="0" w:header="0"/>
        </w:sectPr>
      </w:pPr>
    </w:p>
    <w:tbl>
      <w:tblPr>
        <w:tblLayout w:type="fixed"/>
        <w:tblInd w:w="40" w:type="dxa"/>
        <w:tblCellMar>
          <w:top w:w="0" w:type="dxa"/>
          <w:left w:w="0" w:type="dxa"/>
          <w:bottom w:w="0" w:type="dxa"/>
          <w:right w:w="0" w:type="dxa"/>
        </w:tblCellMar>
      </w:tblPr>
      <w:tr>
        <w:trPr>
          <w:trHeight w:val="216"/>
        </w:trPr>
        <w:tc>
          <w:tcPr>
            <w:tcW w:w="560" w:type="dxa"/>
            <w:vAlign w:val="bottom"/>
          </w:tcPr>
          <w:p>
            <w:pPr>
              <w:jc w:val="right"/>
              <w:ind w:right="250"/>
              <w:spacing w:after="0"/>
              <w:rPr>
                <w:sz w:val="20"/>
                <w:szCs w:val="20"/>
                <w:color w:val="auto"/>
              </w:rPr>
            </w:pPr>
            <w:r>
              <w:rPr>
                <w:rFonts w:ascii="Arial" w:cs="Arial" w:eastAsia="Arial" w:hAnsi="Arial"/>
                <w:sz w:val="18"/>
                <w:szCs w:val="18"/>
                <w:color w:val="auto"/>
                <w:w w:val="79"/>
              </w:rPr>
              <w:t>4.3</w:t>
            </w:r>
          </w:p>
        </w:tc>
        <w:tc>
          <w:tcPr>
            <w:tcW w:w="5360" w:type="dxa"/>
            <w:vAlign w:val="bottom"/>
          </w:tcPr>
          <w:p>
            <w:pPr>
              <w:ind w:left="360"/>
              <w:spacing w:after="0"/>
              <w:rPr>
                <w:sz w:val="20"/>
                <w:szCs w:val="20"/>
                <w:color w:val="auto"/>
              </w:rPr>
            </w:pPr>
            <w:r>
              <w:rPr>
                <w:rFonts w:ascii="Arial" w:cs="Arial" w:eastAsia="Arial" w:hAnsi="Arial"/>
                <w:sz w:val="18"/>
                <w:szCs w:val="18"/>
                <w:color w:val="auto"/>
                <w:w w:val="88"/>
              </w:rPr>
              <w:t>Series 2011-1 Indenture Supplement, dated as of November 22, 2011,</w:t>
            </w:r>
          </w:p>
        </w:tc>
      </w:tr>
      <w:tr>
        <w:trPr>
          <w:trHeight w:val="216"/>
        </w:trPr>
        <w:tc>
          <w:tcPr>
            <w:tcW w:w="560" w:type="dxa"/>
            <w:vAlign w:val="bottom"/>
          </w:tcPr>
          <w:p>
            <w:pPr>
              <w:spacing w:after="0"/>
              <w:rPr>
                <w:sz w:val="18"/>
                <w:szCs w:val="18"/>
                <w:color w:val="auto"/>
              </w:rPr>
            </w:pPr>
          </w:p>
        </w:tc>
        <w:tc>
          <w:tcPr>
            <w:tcW w:w="5360" w:type="dxa"/>
            <w:vAlign w:val="bottom"/>
          </w:tcPr>
          <w:p>
            <w:pPr>
              <w:ind w:left="360"/>
              <w:spacing w:after="0"/>
              <w:rPr>
                <w:sz w:val="20"/>
                <w:szCs w:val="20"/>
                <w:color w:val="auto"/>
              </w:rPr>
            </w:pPr>
            <w:r>
              <w:rPr>
                <w:rFonts w:ascii="Arial" w:cs="Arial" w:eastAsia="Arial" w:hAnsi="Arial"/>
                <w:sz w:val="18"/>
                <w:szCs w:val="18"/>
                <w:color w:val="auto"/>
                <w:w w:val="97"/>
              </w:rPr>
              <w:t>by and between Nordstrom Credit Card Master Note Trust II and</w:t>
            </w:r>
          </w:p>
        </w:tc>
      </w:tr>
      <w:tr>
        <w:trPr>
          <w:trHeight w:val="230"/>
        </w:trPr>
        <w:tc>
          <w:tcPr>
            <w:tcW w:w="560" w:type="dxa"/>
            <w:vAlign w:val="bottom"/>
          </w:tcPr>
          <w:p>
            <w:pPr>
              <w:spacing w:after="0"/>
              <w:rPr>
                <w:sz w:val="20"/>
                <w:szCs w:val="20"/>
                <w:color w:val="auto"/>
              </w:rPr>
            </w:pPr>
          </w:p>
        </w:tc>
        <w:tc>
          <w:tcPr>
            <w:tcW w:w="5360" w:type="dxa"/>
            <w:vAlign w:val="bottom"/>
          </w:tcPr>
          <w:p>
            <w:pPr>
              <w:ind w:left="360"/>
              <w:spacing w:after="0"/>
              <w:rPr>
                <w:sz w:val="20"/>
                <w:szCs w:val="20"/>
                <w:color w:val="auto"/>
              </w:rPr>
            </w:pPr>
            <w:r>
              <w:rPr>
                <w:rFonts w:ascii="Arial" w:cs="Arial" w:eastAsia="Arial" w:hAnsi="Arial"/>
                <w:sz w:val="18"/>
                <w:szCs w:val="18"/>
                <w:color w:val="auto"/>
              </w:rPr>
              <w:t>Wells Fargo Bank, National Association, as indenture trustee</w:t>
            </w:r>
          </w:p>
        </w:tc>
      </w:tr>
      <w:tr>
        <w:trPr>
          <w:trHeight w:val="377"/>
        </w:trPr>
        <w:tc>
          <w:tcPr>
            <w:tcW w:w="560" w:type="dxa"/>
            <w:vAlign w:val="bottom"/>
          </w:tcPr>
          <w:p>
            <w:pPr>
              <w:jc w:val="right"/>
              <w:ind w:right="250"/>
              <w:spacing w:after="0"/>
              <w:rPr>
                <w:sz w:val="20"/>
                <w:szCs w:val="20"/>
                <w:color w:val="auto"/>
              </w:rPr>
            </w:pPr>
            <w:r>
              <w:rPr>
                <w:rFonts w:ascii="Arial" w:cs="Arial" w:eastAsia="Arial" w:hAnsi="Arial"/>
                <w:sz w:val="18"/>
                <w:szCs w:val="18"/>
                <w:color w:val="auto"/>
                <w:w w:val="79"/>
              </w:rPr>
              <w:t>4.4</w:t>
            </w:r>
          </w:p>
        </w:tc>
        <w:tc>
          <w:tcPr>
            <w:tcW w:w="5360" w:type="dxa"/>
            <w:vAlign w:val="bottom"/>
          </w:tcPr>
          <w:p>
            <w:pPr>
              <w:ind w:left="360"/>
              <w:spacing w:after="0"/>
              <w:rPr>
                <w:sz w:val="20"/>
                <w:szCs w:val="20"/>
                <w:color w:val="auto"/>
              </w:rPr>
            </w:pPr>
            <w:r>
              <w:rPr>
                <w:rFonts w:ascii="Arial" w:cs="Arial" w:eastAsia="Arial" w:hAnsi="Arial"/>
                <w:sz w:val="18"/>
                <w:szCs w:val="18"/>
                <w:color w:val="auto"/>
                <w:w w:val="89"/>
              </w:rPr>
              <w:t>Indenture dated December 3, 2007, between the Company and Wells</w:t>
            </w:r>
          </w:p>
        </w:tc>
      </w:tr>
      <w:tr>
        <w:trPr>
          <w:trHeight w:val="230"/>
        </w:trPr>
        <w:tc>
          <w:tcPr>
            <w:tcW w:w="560" w:type="dxa"/>
            <w:vAlign w:val="bottom"/>
          </w:tcPr>
          <w:p>
            <w:pPr>
              <w:spacing w:after="0"/>
              <w:rPr>
                <w:sz w:val="20"/>
                <w:szCs w:val="20"/>
                <w:color w:val="auto"/>
              </w:rPr>
            </w:pPr>
          </w:p>
        </w:tc>
        <w:tc>
          <w:tcPr>
            <w:tcW w:w="5360" w:type="dxa"/>
            <w:vAlign w:val="bottom"/>
          </w:tcPr>
          <w:p>
            <w:pPr>
              <w:ind w:left="360"/>
              <w:spacing w:after="0"/>
              <w:rPr>
                <w:sz w:val="20"/>
                <w:szCs w:val="20"/>
                <w:color w:val="auto"/>
              </w:rPr>
            </w:pPr>
            <w:r>
              <w:rPr>
                <w:rFonts w:ascii="Arial" w:cs="Arial" w:eastAsia="Arial" w:hAnsi="Arial"/>
                <w:sz w:val="18"/>
                <w:szCs w:val="18"/>
                <w:color w:val="auto"/>
              </w:rPr>
              <w:t>Fargo Bank, National Association</w:t>
            </w:r>
          </w:p>
        </w:tc>
      </w:tr>
      <w:tr>
        <w:trPr>
          <w:trHeight w:val="377"/>
        </w:trPr>
        <w:tc>
          <w:tcPr>
            <w:tcW w:w="560" w:type="dxa"/>
            <w:vAlign w:val="bottom"/>
          </w:tcPr>
          <w:p>
            <w:pPr>
              <w:jc w:val="right"/>
              <w:ind w:right="250"/>
              <w:spacing w:after="0"/>
              <w:rPr>
                <w:sz w:val="20"/>
                <w:szCs w:val="20"/>
                <w:color w:val="auto"/>
              </w:rPr>
            </w:pPr>
            <w:r>
              <w:rPr>
                <w:rFonts w:ascii="Arial" w:cs="Arial" w:eastAsia="Arial" w:hAnsi="Arial"/>
                <w:sz w:val="18"/>
                <w:szCs w:val="18"/>
                <w:color w:val="auto"/>
                <w:w w:val="79"/>
              </w:rPr>
              <w:t>4.5</w:t>
            </w:r>
          </w:p>
        </w:tc>
        <w:tc>
          <w:tcPr>
            <w:tcW w:w="5360" w:type="dxa"/>
            <w:vAlign w:val="bottom"/>
          </w:tcPr>
          <w:p>
            <w:pPr>
              <w:ind w:left="360"/>
              <w:spacing w:after="0"/>
              <w:rPr>
                <w:sz w:val="20"/>
                <w:szCs w:val="20"/>
                <w:color w:val="auto"/>
              </w:rPr>
            </w:pPr>
            <w:r>
              <w:rPr>
                <w:rFonts w:ascii="Arial" w:cs="Arial" w:eastAsia="Arial" w:hAnsi="Arial"/>
                <w:sz w:val="18"/>
                <w:szCs w:val="18"/>
                <w:color w:val="auto"/>
                <w:w w:val="92"/>
              </w:rPr>
              <w:t>Note Purchase Agreement, dated as of November 16, 2011, by and</w:t>
            </w:r>
          </w:p>
        </w:tc>
      </w:tr>
      <w:tr>
        <w:trPr>
          <w:trHeight w:val="216"/>
        </w:trPr>
        <w:tc>
          <w:tcPr>
            <w:tcW w:w="560" w:type="dxa"/>
            <w:vAlign w:val="bottom"/>
          </w:tcPr>
          <w:p>
            <w:pPr>
              <w:spacing w:after="0"/>
              <w:rPr>
                <w:sz w:val="18"/>
                <w:szCs w:val="18"/>
                <w:color w:val="auto"/>
              </w:rPr>
            </w:pPr>
          </w:p>
        </w:tc>
        <w:tc>
          <w:tcPr>
            <w:tcW w:w="5360" w:type="dxa"/>
            <w:vAlign w:val="bottom"/>
          </w:tcPr>
          <w:p>
            <w:pPr>
              <w:ind w:left="360"/>
              <w:spacing w:after="0"/>
              <w:rPr>
                <w:sz w:val="20"/>
                <w:szCs w:val="20"/>
                <w:color w:val="auto"/>
              </w:rPr>
            </w:pPr>
            <w:r>
              <w:rPr>
                <w:rFonts w:ascii="Arial" w:cs="Arial" w:eastAsia="Arial" w:hAnsi="Arial"/>
                <w:sz w:val="18"/>
                <w:szCs w:val="18"/>
                <w:color w:val="auto"/>
                <w:w w:val="92"/>
              </w:rPr>
              <w:t>between Nordstrom Credit Card Receivables II LLC, Nordstrom fsb,</w:t>
            </w:r>
          </w:p>
        </w:tc>
      </w:tr>
      <w:tr>
        <w:trPr>
          <w:trHeight w:val="216"/>
        </w:trPr>
        <w:tc>
          <w:tcPr>
            <w:tcW w:w="560" w:type="dxa"/>
            <w:vAlign w:val="bottom"/>
          </w:tcPr>
          <w:p>
            <w:pPr>
              <w:spacing w:after="0"/>
              <w:rPr>
                <w:sz w:val="18"/>
                <w:szCs w:val="18"/>
                <w:color w:val="auto"/>
              </w:rPr>
            </w:pPr>
          </w:p>
        </w:tc>
        <w:tc>
          <w:tcPr>
            <w:tcW w:w="5360" w:type="dxa"/>
            <w:vAlign w:val="bottom"/>
          </w:tcPr>
          <w:p>
            <w:pPr>
              <w:ind w:left="360"/>
              <w:spacing w:after="0"/>
              <w:rPr>
                <w:sz w:val="20"/>
                <w:szCs w:val="20"/>
                <w:color w:val="auto"/>
              </w:rPr>
            </w:pPr>
            <w:r>
              <w:rPr>
                <w:rFonts w:ascii="Arial" w:cs="Arial" w:eastAsia="Arial" w:hAnsi="Arial"/>
                <w:sz w:val="18"/>
                <w:szCs w:val="18"/>
                <w:color w:val="auto"/>
              </w:rPr>
              <w:t>Nordstrom Credit, Inc., RBS Securities Inc. and J.P. Morgan</w:t>
            </w:r>
          </w:p>
        </w:tc>
      </w:tr>
      <w:tr>
        <w:trPr>
          <w:trHeight w:val="230"/>
        </w:trPr>
        <w:tc>
          <w:tcPr>
            <w:tcW w:w="560" w:type="dxa"/>
            <w:vAlign w:val="bottom"/>
          </w:tcPr>
          <w:p>
            <w:pPr>
              <w:spacing w:after="0"/>
              <w:rPr>
                <w:sz w:val="20"/>
                <w:szCs w:val="20"/>
                <w:color w:val="auto"/>
              </w:rPr>
            </w:pPr>
          </w:p>
        </w:tc>
        <w:tc>
          <w:tcPr>
            <w:tcW w:w="5360" w:type="dxa"/>
            <w:vAlign w:val="bottom"/>
          </w:tcPr>
          <w:p>
            <w:pPr>
              <w:ind w:left="360"/>
              <w:spacing w:after="0"/>
              <w:rPr>
                <w:sz w:val="20"/>
                <w:szCs w:val="20"/>
                <w:color w:val="auto"/>
              </w:rPr>
            </w:pPr>
            <w:r>
              <w:rPr>
                <w:rFonts w:ascii="Arial" w:cs="Arial" w:eastAsia="Arial" w:hAnsi="Arial"/>
                <w:sz w:val="18"/>
                <w:szCs w:val="18"/>
                <w:color w:val="auto"/>
              </w:rPr>
              <w:t>Securities LLC</w:t>
            </w:r>
          </w:p>
        </w:tc>
      </w:tr>
    </w:tbl>
    <w:p>
      <w:pPr>
        <w:spacing w:after="0" w:line="20" w:lineRule="exact"/>
        <w:rPr>
          <w:sz w:val="20"/>
          <w:szCs w:val="20"/>
          <w:color w:val="auto"/>
        </w:rPr>
      </w:pPr>
      <w:r>
        <w:rPr>
          <w:sz w:val="20"/>
          <w:szCs w:val="20"/>
          <w:color w:val="auto"/>
        </w:rPr>
        <w:br w:type="column"/>
      </w:r>
    </w:p>
    <w:p>
      <w:pPr>
        <w:ind w:right="420"/>
        <w:spacing w:after="0" w:line="277" w:lineRule="auto"/>
        <w:rPr>
          <w:sz w:val="20"/>
          <w:szCs w:val="20"/>
          <w:color w:val="auto"/>
        </w:rPr>
      </w:pPr>
      <w:r>
        <w:rPr>
          <w:rFonts w:ascii="Arial" w:cs="Arial" w:eastAsia="Arial" w:hAnsi="Arial"/>
          <w:sz w:val="18"/>
          <w:szCs w:val="18"/>
          <w:color w:val="auto"/>
        </w:rPr>
        <w:t>Incorporated by reference from the Registrant’s Form 8-K filed on November 28, 2011, Exhibit 4.2</w:t>
      </w:r>
    </w:p>
    <w:p>
      <w:pPr>
        <w:spacing w:after="0" w:line="346"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Incorporated by reference from the Registrant’s Form S-4/A filed on April 29, 2014, Exhibit 4.1</w:t>
      </w:r>
    </w:p>
    <w:p>
      <w:pPr>
        <w:spacing w:after="0" w:line="13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Incorporated by reference from the Registrant’s Form 8-K filed on November 28, 2011, Exhibit 4.1</w:t>
      </w:r>
    </w:p>
    <w:p>
      <w:pPr>
        <w:spacing w:after="0" w:line="561" w:lineRule="exact"/>
        <w:rPr>
          <w:sz w:val="20"/>
          <w:szCs w:val="20"/>
          <w:color w:val="auto"/>
        </w:rPr>
      </w:pPr>
    </w:p>
    <w:p>
      <w:pPr>
        <w:sectPr>
          <w:pgSz w:w="11900" w:h="16838" w:orient="portrait"/>
          <w:cols w:equalWidth="0" w:num="2">
            <w:col w:w="5960" w:space="240"/>
            <w:col w:w="5220"/>
          </w:cols>
          <w:pgMar w:left="240" w:top="126" w:right="239" w:bottom="915" w:gutter="0" w:footer="0" w:header="0"/>
          <w:type w:val="continuous"/>
        </w:sectPr>
      </w:pPr>
    </w:p>
    <w:tbl>
      <w:tblPr>
        <w:tblLayout w:type="fixed"/>
        <w:tblInd w:w="40" w:type="dxa"/>
        <w:tblCellMar>
          <w:top w:w="0" w:type="dxa"/>
          <w:left w:w="0" w:type="dxa"/>
          <w:bottom w:w="0" w:type="dxa"/>
          <w:right w:w="0" w:type="dxa"/>
        </w:tblCellMar>
      </w:tblP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4.6</w:t>
            </w:r>
          </w:p>
        </w:tc>
        <w:tc>
          <w:tcPr>
            <w:tcW w:w="5300" w:type="dxa"/>
            <w:vAlign w:val="bottom"/>
          </w:tcPr>
          <w:p>
            <w:pPr>
              <w:ind w:left="260"/>
              <w:spacing w:after="0"/>
              <w:rPr>
                <w:sz w:val="20"/>
                <w:szCs w:val="20"/>
                <w:color w:val="auto"/>
              </w:rPr>
            </w:pPr>
            <w:r>
              <w:rPr>
                <w:rFonts w:ascii="Arial" w:cs="Arial" w:eastAsia="Arial" w:hAnsi="Arial"/>
                <w:sz w:val="18"/>
                <w:szCs w:val="18"/>
                <w:color w:val="auto"/>
              </w:rPr>
              <w:t>Form of 6.25% Note due January 2018</w:t>
            </w:r>
          </w:p>
        </w:tc>
        <w:tc>
          <w:tcPr>
            <w:tcW w:w="5120" w:type="dxa"/>
            <w:vAlign w:val="bottom"/>
          </w:tcPr>
          <w:p>
            <w:pPr>
              <w:ind w:left="200"/>
              <w:spacing w:after="0"/>
              <w:rPr>
                <w:sz w:val="20"/>
                <w:szCs w:val="20"/>
                <w:color w:val="auto"/>
              </w:rPr>
            </w:pPr>
            <w:r>
              <w:rPr>
                <w:rFonts w:ascii="Arial" w:cs="Arial" w:eastAsia="Arial" w:hAnsi="Arial"/>
                <w:sz w:val="18"/>
                <w:szCs w:val="18"/>
                <w:color w:val="auto"/>
                <w:w w:val="94"/>
              </w:rPr>
              <w:t>Incorporated by reference from the Registrant’s Form 8-K filed on</w:t>
            </w:r>
          </w:p>
        </w:tc>
      </w:tr>
      <w:tr>
        <w:trPr>
          <w:trHeight w:val="230"/>
        </w:trPr>
        <w:tc>
          <w:tcPr>
            <w:tcW w:w="660" w:type="dxa"/>
            <w:vAlign w:val="bottom"/>
          </w:tcPr>
          <w:p>
            <w:pPr>
              <w:spacing w:after="0"/>
              <w:rPr>
                <w:sz w:val="20"/>
                <w:szCs w:val="20"/>
                <w:color w:val="auto"/>
              </w:rPr>
            </w:pPr>
          </w:p>
        </w:tc>
        <w:tc>
          <w:tcPr>
            <w:tcW w:w="5300" w:type="dxa"/>
            <w:vAlign w:val="bottom"/>
          </w:tcPr>
          <w:p>
            <w:pPr>
              <w:spacing w:after="0"/>
              <w:rPr>
                <w:sz w:val="20"/>
                <w:szCs w:val="20"/>
                <w:color w:val="auto"/>
              </w:rPr>
            </w:pPr>
          </w:p>
        </w:tc>
        <w:tc>
          <w:tcPr>
            <w:tcW w:w="5120" w:type="dxa"/>
            <w:vAlign w:val="bottom"/>
          </w:tcPr>
          <w:p>
            <w:pPr>
              <w:ind w:left="200"/>
              <w:spacing w:after="0"/>
              <w:rPr>
                <w:sz w:val="20"/>
                <w:szCs w:val="20"/>
                <w:color w:val="auto"/>
              </w:rPr>
            </w:pPr>
            <w:r>
              <w:rPr>
                <w:rFonts w:ascii="Arial" w:cs="Arial" w:eastAsia="Arial" w:hAnsi="Arial"/>
                <w:sz w:val="18"/>
                <w:szCs w:val="18"/>
                <w:color w:val="auto"/>
              </w:rPr>
              <w:t>December 3, 2007, Exhibit 4.1</w:t>
            </w:r>
          </w:p>
        </w:tc>
      </w:tr>
      <w:tr>
        <w:trPr>
          <w:trHeight w:val="377"/>
        </w:trPr>
        <w:tc>
          <w:tcPr>
            <w:tcW w:w="660" w:type="dxa"/>
            <w:vAlign w:val="bottom"/>
          </w:tcPr>
          <w:p>
            <w:pPr>
              <w:spacing w:after="0"/>
              <w:rPr>
                <w:sz w:val="20"/>
                <w:szCs w:val="20"/>
                <w:color w:val="auto"/>
              </w:rPr>
            </w:pPr>
            <w:r>
              <w:rPr>
                <w:rFonts w:ascii="Arial" w:cs="Arial" w:eastAsia="Arial" w:hAnsi="Arial"/>
                <w:sz w:val="18"/>
                <w:szCs w:val="18"/>
                <w:color w:val="auto"/>
              </w:rPr>
              <w:t>4.7</w:t>
            </w:r>
          </w:p>
        </w:tc>
        <w:tc>
          <w:tcPr>
            <w:tcW w:w="5300" w:type="dxa"/>
            <w:vAlign w:val="bottom"/>
          </w:tcPr>
          <w:p>
            <w:pPr>
              <w:ind w:left="260"/>
              <w:spacing w:after="0"/>
              <w:rPr>
                <w:sz w:val="20"/>
                <w:szCs w:val="20"/>
                <w:color w:val="auto"/>
              </w:rPr>
            </w:pPr>
            <w:r>
              <w:rPr>
                <w:rFonts w:ascii="Arial" w:cs="Arial" w:eastAsia="Arial" w:hAnsi="Arial"/>
                <w:sz w:val="18"/>
                <w:szCs w:val="18"/>
                <w:color w:val="auto"/>
              </w:rPr>
              <w:t>Form of 4.75% Note due May 1, 2020</w:t>
            </w:r>
          </w:p>
        </w:tc>
        <w:tc>
          <w:tcPr>
            <w:tcW w:w="5120" w:type="dxa"/>
            <w:vAlign w:val="bottom"/>
          </w:tcPr>
          <w:p>
            <w:pPr>
              <w:ind w:left="200"/>
              <w:spacing w:after="0"/>
              <w:rPr>
                <w:sz w:val="20"/>
                <w:szCs w:val="20"/>
                <w:color w:val="auto"/>
              </w:rPr>
            </w:pPr>
            <w:r>
              <w:rPr>
                <w:rFonts w:ascii="Arial" w:cs="Arial" w:eastAsia="Arial" w:hAnsi="Arial"/>
                <w:sz w:val="18"/>
                <w:szCs w:val="18"/>
                <w:color w:val="auto"/>
                <w:w w:val="94"/>
              </w:rPr>
              <w:t>Incorporated by reference from the Registrant’s Form 8-K filed on</w:t>
            </w:r>
          </w:p>
        </w:tc>
      </w:tr>
      <w:tr>
        <w:trPr>
          <w:trHeight w:val="230"/>
        </w:trPr>
        <w:tc>
          <w:tcPr>
            <w:tcW w:w="660" w:type="dxa"/>
            <w:vAlign w:val="bottom"/>
          </w:tcPr>
          <w:p>
            <w:pPr>
              <w:spacing w:after="0"/>
              <w:rPr>
                <w:sz w:val="20"/>
                <w:szCs w:val="20"/>
                <w:color w:val="auto"/>
              </w:rPr>
            </w:pPr>
          </w:p>
        </w:tc>
        <w:tc>
          <w:tcPr>
            <w:tcW w:w="5300" w:type="dxa"/>
            <w:vAlign w:val="bottom"/>
          </w:tcPr>
          <w:p>
            <w:pPr>
              <w:spacing w:after="0"/>
              <w:rPr>
                <w:sz w:val="20"/>
                <w:szCs w:val="20"/>
                <w:color w:val="auto"/>
              </w:rPr>
            </w:pPr>
          </w:p>
        </w:tc>
        <w:tc>
          <w:tcPr>
            <w:tcW w:w="5120" w:type="dxa"/>
            <w:vAlign w:val="bottom"/>
          </w:tcPr>
          <w:p>
            <w:pPr>
              <w:ind w:left="200"/>
              <w:spacing w:after="0"/>
              <w:rPr>
                <w:sz w:val="20"/>
                <w:szCs w:val="20"/>
                <w:color w:val="auto"/>
              </w:rPr>
            </w:pPr>
            <w:r>
              <w:rPr>
                <w:rFonts w:ascii="Arial" w:cs="Arial" w:eastAsia="Arial" w:hAnsi="Arial"/>
                <w:sz w:val="18"/>
                <w:szCs w:val="18"/>
                <w:color w:val="auto"/>
              </w:rPr>
              <w:t>April 23, 2010, Exhibit 4.1</w:t>
            </w:r>
          </w:p>
        </w:tc>
      </w:tr>
      <w:tr>
        <w:trPr>
          <w:trHeight w:val="377"/>
        </w:trPr>
        <w:tc>
          <w:tcPr>
            <w:tcW w:w="660" w:type="dxa"/>
            <w:vAlign w:val="bottom"/>
          </w:tcPr>
          <w:p>
            <w:pPr>
              <w:spacing w:after="0"/>
              <w:rPr>
                <w:sz w:val="20"/>
                <w:szCs w:val="20"/>
                <w:color w:val="auto"/>
              </w:rPr>
            </w:pPr>
            <w:r>
              <w:rPr>
                <w:rFonts w:ascii="Arial" w:cs="Arial" w:eastAsia="Arial" w:hAnsi="Arial"/>
                <w:sz w:val="18"/>
                <w:szCs w:val="18"/>
                <w:color w:val="auto"/>
              </w:rPr>
              <w:t>4.8</w:t>
            </w:r>
          </w:p>
        </w:tc>
        <w:tc>
          <w:tcPr>
            <w:tcW w:w="5300" w:type="dxa"/>
            <w:vAlign w:val="bottom"/>
          </w:tcPr>
          <w:p>
            <w:pPr>
              <w:ind w:left="260"/>
              <w:spacing w:after="0"/>
              <w:rPr>
                <w:sz w:val="20"/>
                <w:szCs w:val="20"/>
                <w:color w:val="auto"/>
              </w:rPr>
            </w:pPr>
            <w:r>
              <w:rPr>
                <w:rFonts w:ascii="Arial" w:cs="Arial" w:eastAsia="Arial" w:hAnsi="Arial"/>
                <w:sz w:val="18"/>
                <w:szCs w:val="18"/>
                <w:color w:val="auto"/>
              </w:rPr>
              <w:t>Form of 4.00% Note due 2021</w:t>
            </w:r>
          </w:p>
        </w:tc>
        <w:tc>
          <w:tcPr>
            <w:tcW w:w="5120" w:type="dxa"/>
            <w:vAlign w:val="bottom"/>
          </w:tcPr>
          <w:p>
            <w:pPr>
              <w:ind w:left="200"/>
              <w:spacing w:after="0"/>
              <w:rPr>
                <w:sz w:val="20"/>
                <w:szCs w:val="20"/>
                <w:color w:val="auto"/>
              </w:rPr>
            </w:pPr>
            <w:r>
              <w:rPr>
                <w:rFonts w:ascii="Arial" w:cs="Arial" w:eastAsia="Arial" w:hAnsi="Arial"/>
                <w:sz w:val="18"/>
                <w:szCs w:val="18"/>
                <w:color w:val="auto"/>
                <w:w w:val="94"/>
              </w:rPr>
              <w:t>Incorporated by reference from the Registrant’s Form 8-K filed on</w:t>
            </w:r>
          </w:p>
        </w:tc>
      </w:tr>
      <w:tr>
        <w:trPr>
          <w:trHeight w:val="230"/>
        </w:trPr>
        <w:tc>
          <w:tcPr>
            <w:tcW w:w="660" w:type="dxa"/>
            <w:vAlign w:val="bottom"/>
          </w:tcPr>
          <w:p>
            <w:pPr>
              <w:spacing w:after="0"/>
              <w:rPr>
                <w:sz w:val="20"/>
                <w:szCs w:val="20"/>
                <w:color w:val="auto"/>
              </w:rPr>
            </w:pPr>
          </w:p>
        </w:tc>
        <w:tc>
          <w:tcPr>
            <w:tcW w:w="5300" w:type="dxa"/>
            <w:vAlign w:val="bottom"/>
          </w:tcPr>
          <w:p>
            <w:pPr>
              <w:spacing w:after="0"/>
              <w:rPr>
                <w:sz w:val="20"/>
                <w:szCs w:val="20"/>
                <w:color w:val="auto"/>
              </w:rPr>
            </w:pPr>
          </w:p>
        </w:tc>
        <w:tc>
          <w:tcPr>
            <w:tcW w:w="5120" w:type="dxa"/>
            <w:vAlign w:val="bottom"/>
          </w:tcPr>
          <w:p>
            <w:pPr>
              <w:ind w:left="200"/>
              <w:spacing w:after="0"/>
              <w:rPr>
                <w:sz w:val="20"/>
                <w:szCs w:val="20"/>
                <w:color w:val="auto"/>
              </w:rPr>
            </w:pPr>
            <w:r>
              <w:rPr>
                <w:rFonts w:ascii="Arial" w:cs="Arial" w:eastAsia="Arial" w:hAnsi="Arial"/>
                <w:sz w:val="18"/>
                <w:szCs w:val="18"/>
                <w:color w:val="auto"/>
              </w:rPr>
              <w:t>October 11, 2011, Exhibit 4.1</w:t>
            </w:r>
          </w:p>
        </w:tc>
      </w:tr>
      <w:tr>
        <w:trPr>
          <w:trHeight w:val="377"/>
        </w:trPr>
        <w:tc>
          <w:tcPr>
            <w:tcW w:w="660" w:type="dxa"/>
            <w:vAlign w:val="bottom"/>
          </w:tcPr>
          <w:p>
            <w:pPr>
              <w:spacing w:after="0"/>
              <w:rPr>
                <w:sz w:val="20"/>
                <w:szCs w:val="20"/>
                <w:color w:val="auto"/>
              </w:rPr>
            </w:pPr>
            <w:r>
              <w:rPr>
                <w:rFonts w:ascii="Arial" w:cs="Arial" w:eastAsia="Arial" w:hAnsi="Arial"/>
                <w:sz w:val="18"/>
                <w:szCs w:val="18"/>
                <w:color w:val="auto"/>
              </w:rPr>
              <w:t>4.9</w:t>
            </w:r>
          </w:p>
        </w:tc>
        <w:tc>
          <w:tcPr>
            <w:tcW w:w="5300" w:type="dxa"/>
            <w:vAlign w:val="bottom"/>
          </w:tcPr>
          <w:p>
            <w:pPr>
              <w:ind w:left="260"/>
              <w:spacing w:after="0"/>
              <w:rPr>
                <w:sz w:val="20"/>
                <w:szCs w:val="20"/>
                <w:color w:val="auto"/>
              </w:rPr>
            </w:pPr>
            <w:r>
              <w:rPr>
                <w:rFonts w:ascii="Arial" w:cs="Arial" w:eastAsia="Arial" w:hAnsi="Arial"/>
                <w:sz w:val="18"/>
                <w:szCs w:val="18"/>
                <w:color w:val="auto"/>
              </w:rPr>
              <w:t>Form of 5.00% Global Note due 2044</w:t>
            </w:r>
          </w:p>
        </w:tc>
        <w:tc>
          <w:tcPr>
            <w:tcW w:w="5120" w:type="dxa"/>
            <w:vAlign w:val="bottom"/>
          </w:tcPr>
          <w:p>
            <w:pPr>
              <w:ind w:left="200"/>
              <w:spacing w:after="0"/>
              <w:rPr>
                <w:sz w:val="20"/>
                <w:szCs w:val="20"/>
                <w:color w:val="auto"/>
              </w:rPr>
            </w:pPr>
            <w:r>
              <w:rPr>
                <w:rFonts w:ascii="Arial" w:cs="Arial" w:eastAsia="Arial" w:hAnsi="Arial"/>
                <w:sz w:val="18"/>
                <w:szCs w:val="18"/>
                <w:color w:val="auto"/>
                <w:w w:val="94"/>
              </w:rPr>
              <w:t>Incorporated by reference from the Registrant’s Form S-4 filed on</w:t>
            </w:r>
          </w:p>
        </w:tc>
      </w:tr>
      <w:tr>
        <w:trPr>
          <w:trHeight w:val="230"/>
        </w:trPr>
        <w:tc>
          <w:tcPr>
            <w:tcW w:w="660" w:type="dxa"/>
            <w:vAlign w:val="bottom"/>
          </w:tcPr>
          <w:p>
            <w:pPr>
              <w:spacing w:after="0"/>
              <w:rPr>
                <w:sz w:val="20"/>
                <w:szCs w:val="20"/>
                <w:color w:val="auto"/>
              </w:rPr>
            </w:pPr>
          </w:p>
        </w:tc>
        <w:tc>
          <w:tcPr>
            <w:tcW w:w="5300" w:type="dxa"/>
            <w:vAlign w:val="bottom"/>
          </w:tcPr>
          <w:p>
            <w:pPr>
              <w:spacing w:after="0"/>
              <w:rPr>
                <w:sz w:val="20"/>
                <w:szCs w:val="20"/>
                <w:color w:val="auto"/>
              </w:rPr>
            </w:pPr>
          </w:p>
        </w:tc>
        <w:tc>
          <w:tcPr>
            <w:tcW w:w="5120" w:type="dxa"/>
            <w:vAlign w:val="bottom"/>
          </w:tcPr>
          <w:p>
            <w:pPr>
              <w:ind w:left="200"/>
              <w:spacing w:after="0"/>
              <w:rPr>
                <w:sz w:val="20"/>
                <w:szCs w:val="20"/>
                <w:color w:val="auto"/>
              </w:rPr>
            </w:pPr>
            <w:r>
              <w:rPr>
                <w:rFonts w:ascii="Arial" w:cs="Arial" w:eastAsia="Arial" w:hAnsi="Arial"/>
                <w:sz w:val="18"/>
                <w:szCs w:val="18"/>
                <w:color w:val="auto"/>
              </w:rPr>
              <w:t>March 28, 2014, Exhibit 4.2</w:t>
            </w:r>
          </w:p>
        </w:tc>
      </w:tr>
      <w:tr>
        <w:trPr>
          <w:trHeight w:val="377"/>
        </w:trPr>
        <w:tc>
          <w:tcPr>
            <w:tcW w:w="660" w:type="dxa"/>
            <w:vAlign w:val="bottom"/>
          </w:tcPr>
          <w:p>
            <w:pPr>
              <w:spacing w:after="0"/>
              <w:rPr>
                <w:sz w:val="20"/>
                <w:szCs w:val="20"/>
                <w:color w:val="auto"/>
              </w:rPr>
            </w:pPr>
            <w:r>
              <w:rPr>
                <w:rFonts w:ascii="Arial" w:cs="Arial" w:eastAsia="Arial" w:hAnsi="Arial"/>
                <w:sz w:val="18"/>
                <w:szCs w:val="18"/>
                <w:color w:val="auto"/>
              </w:rPr>
              <w:t>4.10</w:t>
            </w:r>
          </w:p>
        </w:tc>
        <w:tc>
          <w:tcPr>
            <w:tcW w:w="5300" w:type="dxa"/>
            <w:vAlign w:val="bottom"/>
          </w:tcPr>
          <w:p>
            <w:pPr>
              <w:ind w:left="260"/>
              <w:spacing w:after="0"/>
              <w:rPr>
                <w:sz w:val="20"/>
                <w:szCs w:val="20"/>
                <w:color w:val="auto"/>
              </w:rPr>
            </w:pPr>
            <w:r>
              <w:rPr>
                <w:rFonts w:ascii="Arial" w:cs="Arial" w:eastAsia="Arial" w:hAnsi="Arial"/>
                <w:sz w:val="18"/>
                <w:szCs w:val="18"/>
                <w:color w:val="auto"/>
              </w:rPr>
              <w:t>Form of 5.00% Rule 144A Global Note due 2044</w:t>
            </w:r>
          </w:p>
        </w:tc>
        <w:tc>
          <w:tcPr>
            <w:tcW w:w="5120" w:type="dxa"/>
            <w:vAlign w:val="bottom"/>
          </w:tcPr>
          <w:p>
            <w:pPr>
              <w:ind w:left="200"/>
              <w:spacing w:after="0"/>
              <w:rPr>
                <w:sz w:val="20"/>
                <w:szCs w:val="20"/>
                <w:color w:val="auto"/>
              </w:rPr>
            </w:pPr>
            <w:r>
              <w:rPr>
                <w:rFonts w:ascii="Arial" w:cs="Arial" w:eastAsia="Arial" w:hAnsi="Arial"/>
                <w:sz w:val="18"/>
                <w:szCs w:val="18"/>
                <w:color w:val="auto"/>
                <w:w w:val="94"/>
              </w:rPr>
              <w:t>Incorporated by reference from the Registrant’s Form S-4 filed on</w:t>
            </w:r>
          </w:p>
        </w:tc>
      </w:tr>
      <w:tr>
        <w:trPr>
          <w:trHeight w:val="230"/>
        </w:trPr>
        <w:tc>
          <w:tcPr>
            <w:tcW w:w="660" w:type="dxa"/>
            <w:vAlign w:val="bottom"/>
          </w:tcPr>
          <w:p>
            <w:pPr>
              <w:spacing w:after="0"/>
              <w:rPr>
                <w:sz w:val="20"/>
                <w:szCs w:val="20"/>
                <w:color w:val="auto"/>
              </w:rPr>
            </w:pPr>
          </w:p>
        </w:tc>
        <w:tc>
          <w:tcPr>
            <w:tcW w:w="5300" w:type="dxa"/>
            <w:vAlign w:val="bottom"/>
          </w:tcPr>
          <w:p>
            <w:pPr>
              <w:spacing w:after="0"/>
              <w:rPr>
                <w:sz w:val="20"/>
                <w:szCs w:val="20"/>
                <w:color w:val="auto"/>
              </w:rPr>
            </w:pPr>
          </w:p>
        </w:tc>
        <w:tc>
          <w:tcPr>
            <w:tcW w:w="5120" w:type="dxa"/>
            <w:vAlign w:val="bottom"/>
          </w:tcPr>
          <w:p>
            <w:pPr>
              <w:ind w:left="200"/>
              <w:spacing w:after="0"/>
              <w:rPr>
                <w:sz w:val="20"/>
                <w:szCs w:val="20"/>
                <w:color w:val="auto"/>
              </w:rPr>
            </w:pPr>
            <w:r>
              <w:rPr>
                <w:rFonts w:ascii="Arial" w:cs="Arial" w:eastAsia="Arial" w:hAnsi="Arial"/>
                <w:sz w:val="18"/>
                <w:szCs w:val="18"/>
                <w:color w:val="auto"/>
              </w:rPr>
              <w:t>March 28, 2014, Exhibit 4.3</w:t>
            </w:r>
          </w:p>
        </w:tc>
      </w:tr>
      <w:tr>
        <w:trPr>
          <w:trHeight w:val="377"/>
        </w:trPr>
        <w:tc>
          <w:tcPr>
            <w:tcW w:w="660" w:type="dxa"/>
            <w:vAlign w:val="bottom"/>
          </w:tcPr>
          <w:p>
            <w:pPr>
              <w:spacing w:after="0"/>
              <w:rPr>
                <w:sz w:val="20"/>
                <w:szCs w:val="20"/>
                <w:color w:val="auto"/>
              </w:rPr>
            </w:pPr>
            <w:r>
              <w:rPr>
                <w:rFonts w:ascii="Arial" w:cs="Arial" w:eastAsia="Arial" w:hAnsi="Arial"/>
                <w:sz w:val="18"/>
                <w:szCs w:val="18"/>
                <w:color w:val="auto"/>
              </w:rPr>
              <w:t>4.11</w:t>
            </w:r>
          </w:p>
        </w:tc>
        <w:tc>
          <w:tcPr>
            <w:tcW w:w="5300" w:type="dxa"/>
            <w:vAlign w:val="bottom"/>
          </w:tcPr>
          <w:p>
            <w:pPr>
              <w:ind w:left="260"/>
              <w:spacing w:after="0"/>
              <w:rPr>
                <w:sz w:val="20"/>
                <w:szCs w:val="20"/>
                <w:color w:val="auto"/>
              </w:rPr>
            </w:pPr>
            <w:r>
              <w:rPr>
                <w:rFonts w:ascii="Arial" w:cs="Arial" w:eastAsia="Arial" w:hAnsi="Arial"/>
                <w:sz w:val="18"/>
                <w:szCs w:val="18"/>
                <w:color w:val="auto"/>
              </w:rPr>
              <w:t>Form of 5.00% Regulation S Global Note due 2044</w:t>
            </w:r>
          </w:p>
        </w:tc>
        <w:tc>
          <w:tcPr>
            <w:tcW w:w="5120" w:type="dxa"/>
            <w:vAlign w:val="bottom"/>
          </w:tcPr>
          <w:p>
            <w:pPr>
              <w:ind w:left="200"/>
              <w:spacing w:after="0"/>
              <w:rPr>
                <w:sz w:val="20"/>
                <w:szCs w:val="20"/>
                <w:color w:val="auto"/>
              </w:rPr>
            </w:pPr>
            <w:r>
              <w:rPr>
                <w:rFonts w:ascii="Arial" w:cs="Arial" w:eastAsia="Arial" w:hAnsi="Arial"/>
                <w:sz w:val="18"/>
                <w:szCs w:val="18"/>
                <w:color w:val="auto"/>
                <w:w w:val="94"/>
              </w:rPr>
              <w:t>Incorporated by reference from the Registrant’s Form S-4 filed on</w:t>
            </w:r>
          </w:p>
        </w:tc>
      </w:tr>
      <w:tr>
        <w:trPr>
          <w:trHeight w:val="230"/>
        </w:trPr>
        <w:tc>
          <w:tcPr>
            <w:tcW w:w="660" w:type="dxa"/>
            <w:vAlign w:val="bottom"/>
          </w:tcPr>
          <w:p>
            <w:pPr>
              <w:spacing w:after="0"/>
              <w:rPr>
                <w:sz w:val="20"/>
                <w:szCs w:val="20"/>
                <w:color w:val="auto"/>
              </w:rPr>
            </w:pPr>
          </w:p>
        </w:tc>
        <w:tc>
          <w:tcPr>
            <w:tcW w:w="5300" w:type="dxa"/>
            <w:vAlign w:val="bottom"/>
          </w:tcPr>
          <w:p>
            <w:pPr>
              <w:spacing w:after="0"/>
              <w:rPr>
                <w:sz w:val="20"/>
                <w:szCs w:val="20"/>
                <w:color w:val="auto"/>
              </w:rPr>
            </w:pPr>
          </w:p>
        </w:tc>
        <w:tc>
          <w:tcPr>
            <w:tcW w:w="5120" w:type="dxa"/>
            <w:vAlign w:val="bottom"/>
          </w:tcPr>
          <w:p>
            <w:pPr>
              <w:ind w:left="200"/>
              <w:spacing w:after="0"/>
              <w:rPr>
                <w:sz w:val="20"/>
                <w:szCs w:val="20"/>
                <w:color w:val="auto"/>
              </w:rPr>
            </w:pPr>
            <w:r>
              <w:rPr>
                <w:rFonts w:ascii="Arial" w:cs="Arial" w:eastAsia="Arial" w:hAnsi="Arial"/>
                <w:sz w:val="18"/>
                <w:szCs w:val="18"/>
                <w:color w:val="auto"/>
              </w:rPr>
              <w:t>March 28, 2014, Exhibit 4.4</w:t>
            </w:r>
          </w:p>
        </w:tc>
      </w:tr>
      <w:tr>
        <w:trPr>
          <w:trHeight w:val="377"/>
        </w:trPr>
        <w:tc>
          <w:tcPr>
            <w:tcW w:w="660" w:type="dxa"/>
            <w:vAlign w:val="bottom"/>
          </w:tcPr>
          <w:p>
            <w:pPr>
              <w:spacing w:after="0"/>
              <w:rPr>
                <w:sz w:val="20"/>
                <w:szCs w:val="20"/>
                <w:color w:val="auto"/>
              </w:rPr>
            </w:pPr>
            <w:r>
              <w:rPr>
                <w:rFonts w:ascii="Arial" w:cs="Arial" w:eastAsia="Arial" w:hAnsi="Arial"/>
                <w:sz w:val="18"/>
                <w:szCs w:val="18"/>
                <w:color w:val="auto"/>
              </w:rPr>
              <w:t>4.12</w:t>
            </w:r>
          </w:p>
        </w:tc>
        <w:tc>
          <w:tcPr>
            <w:tcW w:w="5300" w:type="dxa"/>
            <w:vAlign w:val="bottom"/>
          </w:tcPr>
          <w:p>
            <w:pPr>
              <w:ind w:left="260"/>
              <w:spacing w:after="0"/>
              <w:rPr>
                <w:sz w:val="20"/>
                <w:szCs w:val="20"/>
                <w:color w:val="auto"/>
              </w:rPr>
            </w:pPr>
            <w:r>
              <w:rPr>
                <w:rFonts w:ascii="Arial" w:cs="Arial" w:eastAsia="Arial" w:hAnsi="Arial"/>
                <w:sz w:val="18"/>
                <w:szCs w:val="18"/>
                <w:color w:val="auto"/>
              </w:rPr>
              <w:t>Form of 4.00% Note due 2027</w:t>
            </w:r>
          </w:p>
        </w:tc>
        <w:tc>
          <w:tcPr>
            <w:tcW w:w="5120" w:type="dxa"/>
            <w:vAlign w:val="bottom"/>
          </w:tcPr>
          <w:p>
            <w:pPr>
              <w:ind w:left="200"/>
              <w:spacing w:after="0"/>
              <w:rPr>
                <w:sz w:val="20"/>
                <w:szCs w:val="20"/>
                <w:color w:val="auto"/>
              </w:rPr>
            </w:pPr>
            <w:r>
              <w:rPr>
                <w:rFonts w:ascii="Arial" w:cs="Arial" w:eastAsia="Arial" w:hAnsi="Arial"/>
                <w:sz w:val="18"/>
                <w:szCs w:val="18"/>
                <w:color w:val="auto"/>
                <w:w w:val="94"/>
              </w:rPr>
              <w:t>Incorporated by reference from the Registrant’s Form 8-K filed on</w:t>
            </w:r>
          </w:p>
        </w:tc>
      </w:tr>
      <w:tr>
        <w:trPr>
          <w:trHeight w:val="230"/>
        </w:trPr>
        <w:tc>
          <w:tcPr>
            <w:tcW w:w="660" w:type="dxa"/>
            <w:vAlign w:val="bottom"/>
          </w:tcPr>
          <w:p>
            <w:pPr>
              <w:spacing w:after="0"/>
              <w:rPr>
                <w:sz w:val="20"/>
                <w:szCs w:val="20"/>
                <w:color w:val="auto"/>
              </w:rPr>
            </w:pPr>
          </w:p>
        </w:tc>
        <w:tc>
          <w:tcPr>
            <w:tcW w:w="5300" w:type="dxa"/>
            <w:vAlign w:val="bottom"/>
          </w:tcPr>
          <w:p>
            <w:pPr>
              <w:spacing w:after="0"/>
              <w:rPr>
                <w:sz w:val="20"/>
                <w:szCs w:val="20"/>
                <w:color w:val="auto"/>
              </w:rPr>
            </w:pPr>
          </w:p>
        </w:tc>
        <w:tc>
          <w:tcPr>
            <w:tcW w:w="5120" w:type="dxa"/>
            <w:vAlign w:val="bottom"/>
          </w:tcPr>
          <w:p>
            <w:pPr>
              <w:ind w:left="200"/>
              <w:spacing w:after="0"/>
              <w:rPr>
                <w:sz w:val="20"/>
                <w:szCs w:val="20"/>
                <w:color w:val="auto"/>
              </w:rPr>
            </w:pPr>
            <w:r>
              <w:rPr>
                <w:rFonts w:ascii="Arial" w:cs="Arial" w:eastAsia="Arial" w:hAnsi="Arial"/>
                <w:sz w:val="18"/>
                <w:szCs w:val="18"/>
                <w:color w:val="auto"/>
              </w:rPr>
              <w:t>March 9, 2016, Exhibit 4.1</w:t>
            </w:r>
          </w:p>
        </w:tc>
      </w:tr>
      <w:tr>
        <w:trPr>
          <w:trHeight w:val="377"/>
        </w:trPr>
        <w:tc>
          <w:tcPr>
            <w:tcW w:w="660" w:type="dxa"/>
            <w:vAlign w:val="bottom"/>
          </w:tcPr>
          <w:p>
            <w:pPr>
              <w:spacing w:after="0"/>
              <w:rPr>
                <w:sz w:val="20"/>
                <w:szCs w:val="20"/>
                <w:color w:val="auto"/>
              </w:rPr>
            </w:pPr>
            <w:r>
              <w:rPr>
                <w:rFonts w:ascii="Arial" w:cs="Arial" w:eastAsia="Arial" w:hAnsi="Arial"/>
                <w:sz w:val="18"/>
                <w:szCs w:val="18"/>
                <w:color w:val="auto"/>
              </w:rPr>
              <w:t>4.13</w:t>
            </w:r>
          </w:p>
        </w:tc>
        <w:tc>
          <w:tcPr>
            <w:tcW w:w="5300" w:type="dxa"/>
            <w:vAlign w:val="bottom"/>
          </w:tcPr>
          <w:p>
            <w:pPr>
              <w:ind w:left="260"/>
              <w:spacing w:after="0"/>
              <w:rPr>
                <w:sz w:val="20"/>
                <w:szCs w:val="20"/>
                <w:color w:val="auto"/>
              </w:rPr>
            </w:pPr>
            <w:r>
              <w:rPr>
                <w:rFonts w:ascii="Arial" w:cs="Arial" w:eastAsia="Arial" w:hAnsi="Arial"/>
                <w:sz w:val="18"/>
                <w:szCs w:val="18"/>
                <w:color w:val="auto"/>
              </w:rPr>
              <w:t>Form of 5.00% Note due 2044</w:t>
            </w:r>
          </w:p>
        </w:tc>
        <w:tc>
          <w:tcPr>
            <w:tcW w:w="5120" w:type="dxa"/>
            <w:vAlign w:val="bottom"/>
          </w:tcPr>
          <w:p>
            <w:pPr>
              <w:ind w:left="200"/>
              <w:spacing w:after="0"/>
              <w:rPr>
                <w:sz w:val="20"/>
                <w:szCs w:val="20"/>
                <w:color w:val="auto"/>
              </w:rPr>
            </w:pPr>
            <w:r>
              <w:rPr>
                <w:rFonts w:ascii="Arial" w:cs="Arial" w:eastAsia="Arial" w:hAnsi="Arial"/>
                <w:sz w:val="18"/>
                <w:szCs w:val="18"/>
                <w:color w:val="auto"/>
                <w:w w:val="94"/>
              </w:rPr>
              <w:t>Incorporated by reference from the Registrant’s Form 8-K filed on</w:t>
            </w:r>
          </w:p>
        </w:tc>
      </w:tr>
      <w:tr>
        <w:trPr>
          <w:trHeight w:val="230"/>
        </w:trPr>
        <w:tc>
          <w:tcPr>
            <w:tcW w:w="660" w:type="dxa"/>
            <w:vAlign w:val="bottom"/>
          </w:tcPr>
          <w:p>
            <w:pPr>
              <w:spacing w:after="0"/>
              <w:rPr>
                <w:sz w:val="20"/>
                <w:szCs w:val="20"/>
                <w:color w:val="auto"/>
              </w:rPr>
            </w:pPr>
          </w:p>
        </w:tc>
        <w:tc>
          <w:tcPr>
            <w:tcW w:w="5300" w:type="dxa"/>
            <w:vAlign w:val="bottom"/>
          </w:tcPr>
          <w:p>
            <w:pPr>
              <w:spacing w:after="0"/>
              <w:rPr>
                <w:sz w:val="20"/>
                <w:szCs w:val="20"/>
                <w:color w:val="auto"/>
              </w:rPr>
            </w:pPr>
          </w:p>
        </w:tc>
        <w:tc>
          <w:tcPr>
            <w:tcW w:w="5120" w:type="dxa"/>
            <w:vAlign w:val="bottom"/>
          </w:tcPr>
          <w:p>
            <w:pPr>
              <w:ind w:left="200"/>
              <w:spacing w:after="0"/>
              <w:rPr>
                <w:sz w:val="20"/>
                <w:szCs w:val="20"/>
                <w:color w:val="auto"/>
              </w:rPr>
            </w:pPr>
            <w:r>
              <w:rPr>
                <w:rFonts w:ascii="Arial" w:cs="Arial" w:eastAsia="Arial" w:hAnsi="Arial"/>
                <w:sz w:val="18"/>
                <w:szCs w:val="18"/>
                <w:color w:val="auto"/>
              </w:rPr>
              <w:t>March 9, 2016, Exhibit 4.2</w:t>
            </w:r>
          </w:p>
        </w:tc>
      </w:tr>
      <w:tr>
        <w:trPr>
          <w:trHeight w:val="377"/>
        </w:trPr>
        <w:tc>
          <w:tcPr>
            <w:tcW w:w="660" w:type="dxa"/>
            <w:vAlign w:val="bottom"/>
          </w:tcPr>
          <w:p>
            <w:pPr>
              <w:spacing w:after="0"/>
              <w:rPr>
                <w:sz w:val="20"/>
                <w:szCs w:val="20"/>
                <w:color w:val="auto"/>
              </w:rPr>
            </w:pPr>
            <w:r>
              <w:rPr>
                <w:rFonts w:ascii="Arial" w:cs="Arial" w:eastAsia="Arial" w:hAnsi="Arial"/>
                <w:sz w:val="18"/>
                <w:szCs w:val="18"/>
                <w:color w:val="auto"/>
              </w:rPr>
              <w:t>4.14</w:t>
            </w:r>
          </w:p>
        </w:tc>
        <w:tc>
          <w:tcPr>
            <w:tcW w:w="5300" w:type="dxa"/>
            <w:vAlign w:val="bottom"/>
          </w:tcPr>
          <w:p>
            <w:pPr>
              <w:ind w:left="260"/>
              <w:spacing w:after="0"/>
              <w:rPr>
                <w:sz w:val="20"/>
                <w:szCs w:val="20"/>
                <w:color w:val="auto"/>
              </w:rPr>
            </w:pPr>
            <w:r>
              <w:rPr>
                <w:rFonts w:ascii="Arial" w:cs="Arial" w:eastAsia="Arial" w:hAnsi="Arial"/>
                <w:sz w:val="18"/>
                <w:szCs w:val="18"/>
                <w:color w:val="auto"/>
                <w:w w:val="98"/>
              </w:rPr>
              <w:t>Registration Rights Agreement, dated as of December 12, 2013</w:t>
            </w:r>
          </w:p>
        </w:tc>
        <w:tc>
          <w:tcPr>
            <w:tcW w:w="5120" w:type="dxa"/>
            <w:vAlign w:val="bottom"/>
          </w:tcPr>
          <w:p>
            <w:pPr>
              <w:ind w:left="200"/>
              <w:spacing w:after="0"/>
              <w:rPr>
                <w:sz w:val="20"/>
                <w:szCs w:val="20"/>
                <w:color w:val="auto"/>
              </w:rPr>
            </w:pPr>
            <w:r>
              <w:rPr>
                <w:rFonts w:ascii="Arial" w:cs="Arial" w:eastAsia="Arial" w:hAnsi="Arial"/>
                <w:sz w:val="18"/>
                <w:szCs w:val="18"/>
                <w:color w:val="auto"/>
                <w:w w:val="94"/>
              </w:rPr>
              <w:t>Incorporated by reference from the Registrant’s Form S-4 filed on</w:t>
            </w:r>
          </w:p>
        </w:tc>
      </w:tr>
      <w:tr>
        <w:trPr>
          <w:trHeight w:val="230"/>
        </w:trPr>
        <w:tc>
          <w:tcPr>
            <w:tcW w:w="660" w:type="dxa"/>
            <w:vAlign w:val="bottom"/>
          </w:tcPr>
          <w:p>
            <w:pPr>
              <w:spacing w:after="0"/>
              <w:rPr>
                <w:sz w:val="20"/>
                <w:szCs w:val="20"/>
                <w:color w:val="auto"/>
              </w:rPr>
            </w:pPr>
          </w:p>
        </w:tc>
        <w:tc>
          <w:tcPr>
            <w:tcW w:w="5300" w:type="dxa"/>
            <w:vAlign w:val="bottom"/>
          </w:tcPr>
          <w:p>
            <w:pPr>
              <w:spacing w:after="0"/>
              <w:rPr>
                <w:sz w:val="20"/>
                <w:szCs w:val="20"/>
                <w:color w:val="auto"/>
              </w:rPr>
            </w:pPr>
          </w:p>
        </w:tc>
        <w:tc>
          <w:tcPr>
            <w:tcW w:w="5120" w:type="dxa"/>
            <w:vAlign w:val="bottom"/>
          </w:tcPr>
          <w:p>
            <w:pPr>
              <w:ind w:left="200"/>
              <w:spacing w:after="0"/>
              <w:rPr>
                <w:sz w:val="20"/>
                <w:szCs w:val="20"/>
                <w:color w:val="auto"/>
              </w:rPr>
            </w:pPr>
            <w:r>
              <w:rPr>
                <w:rFonts w:ascii="Arial" w:cs="Arial" w:eastAsia="Arial" w:hAnsi="Arial"/>
                <w:sz w:val="18"/>
                <w:szCs w:val="18"/>
                <w:color w:val="auto"/>
              </w:rPr>
              <w:t>March 28, 2014, Exhibit 4.5</w:t>
            </w:r>
          </w:p>
        </w:tc>
      </w:tr>
      <w:tr>
        <w:trPr>
          <w:trHeight w:val="377"/>
        </w:trPr>
        <w:tc>
          <w:tcPr>
            <w:tcW w:w="660" w:type="dxa"/>
            <w:vAlign w:val="bottom"/>
          </w:tcPr>
          <w:p>
            <w:pPr>
              <w:spacing w:after="0"/>
              <w:rPr>
                <w:sz w:val="20"/>
                <w:szCs w:val="20"/>
                <w:color w:val="auto"/>
              </w:rPr>
            </w:pPr>
            <w:r>
              <w:rPr>
                <w:rFonts w:ascii="Arial" w:cs="Arial" w:eastAsia="Arial" w:hAnsi="Arial"/>
                <w:sz w:val="18"/>
                <w:szCs w:val="18"/>
                <w:color w:val="auto"/>
              </w:rPr>
              <w:t>4.15*</w:t>
            </w:r>
          </w:p>
        </w:tc>
        <w:tc>
          <w:tcPr>
            <w:tcW w:w="5300" w:type="dxa"/>
            <w:vAlign w:val="bottom"/>
          </w:tcPr>
          <w:p>
            <w:pPr>
              <w:ind w:left="260"/>
              <w:spacing w:after="0"/>
              <w:rPr>
                <w:sz w:val="20"/>
                <w:szCs w:val="20"/>
                <w:color w:val="auto"/>
              </w:rPr>
            </w:pPr>
            <w:r>
              <w:rPr>
                <w:rFonts w:ascii="Arial" w:cs="Arial" w:eastAsia="Arial" w:hAnsi="Arial"/>
                <w:sz w:val="18"/>
                <w:szCs w:val="18"/>
                <w:color w:val="auto"/>
              </w:rPr>
              <w:t>Trunk Club Newco, Inc. 2010 Equity Incentive Plan</w:t>
            </w:r>
          </w:p>
        </w:tc>
        <w:tc>
          <w:tcPr>
            <w:tcW w:w="5120" w:type="dxa"/>
            <w:vAlign w:val="bottom"/>
          </w:tcPr>
          <w:p>
            <w:pPr>
              <w:ind w:left="200"/>
              <w:spacing w:after="0"/>
              <w:rPr>
                <w:sz w:val="20"/>
                <w:szCs w:val="20"/>
                <w:color w:val="auto"/>
              </w:rPr>
            </w:pPr>
            <w:r>
              <w:rPr>
                <w:rFonts w:ascii="Arial" w:cs="Arial" w:eastAsia="Arial" w:hAnsi="Arial"/>
                <w:sz w:val="18"/>
                <w:szCs w:val="18"/>
                <w:color w:val="auto"/>
                <w:w w:val="94"/>
              </w:rPr>
              <w:t>Incorporated by reference from the Registrant’s Form S-8 filed on</w:t>
            </w:r>
          </w:p>
        </w:tc>
      </w:tr>
      <w:tr>
        <w:trPr>
          <w:trHeight w:val="230"/>
        </w:trPr>
        <w:tc>
          <w:tcPr>
            <w:tcW w:w="660" w:type="dxa"/>
            <w:vAlign w:val="bottom"/>
          </w:tcPr>
          <w:p>
            <w:pPr>
              <w:spacing w:after="0"/>
              <w:rPr>
                <w:sz w:val="20"/>
                <w:szCs w:val="20"/>
                <w:color w:val="auto"/>
              </w:rPr>
            </w:pPr>
          </w:p>
        </w:tc>
        <w:tc>
          <w:tcPr>
            <w:tcW w:w="5300" w:type="dxa"/>
            <w:vAlign w:val="bottom"/>
          </w:tcPr>
          <w:p>
            <w:pPr>
              <w:spacing w:after="0"/>
              <w:rPr>
                <w:sz w:val="20"/>
                <w:szCs w:val="20"/>
                <w:color w:val="auto"/>
              </w:rPr>
            </w:pPr>
          </w:p>
        </w:tc>
        <w:tc>
          <w:tcPr>
            <w:tcW w:w="5120" w:type="dxa"/>
            <w:vAlign w:val="bottom"/>
          </w:tcPr>
          <w:p>
            <w:pPr>
              <w:ind w:left="200"/>
              <w:spacing w:after="0"/>
              <w:rPr>
                <w:sz w:val="20"/>
                <w:szCs w:val="20"/>
                <w:color w:val="auto"/>
              </w:rPr>
            </w:pPr>
            <w:r>
              <w:rPr>
                <w:rFonts w:ascii="Arial" w:cs="Arial" w:eastAsia="Arial" w:hAnsi="Arial"/>
                <w:sz w:val="18"/>
                <w:szCs w:val="18"/>
                <w:color w:val="auto"/>
              </w:rPr>
              <w:t>August 27, 2014, Exhibit 4.1</w:t>
            </w:r>
          </w:p>
        </w:tc>
      </w:tr>
      <w:tr>
        <w:trPr>
          <w:trHeight w:val="377"/>
        </w:trPr>
        <w:tc>
          <w:tcPr>
            <w:tcW w:w="660" w:type="dxa"/>
            <w:vAlign w:val="bottom"/>
          </w:tcPr>
          <w:p>
            <w:pPr>
              <w:spacing w:after="0"/>
              <w:rPr>
                <w:sz w:val="20"/>
                <w:szCs w:val="20"/>
                <w:color w:val="auto"/>
              </w:rPr>
            </w:pPr>
            <w:r>
              <w:rPr>
                <w:rFonts w:ascii="Arial" w:cs="Arial" w:eastAsia="Arial" w:hAnsi="Arial"/>
                <w:sz w:val="18"/>
                <w:szCs w:val="18"/>
                <w:color w:val="auto"/>
              </w:rPr>
              <w:t>10.1*</w:t>
            </w:r>
          </w:p>
        </w:tc>
        <w:tc>
          <w:tcPr>
            <w:tcW w:w="5300" w:type="dxa"/>
            <w:vAlign w:val="bottom"/>
          </w:tcPr>
          <w:p>
            <w:pPr>
              <w:ind w:left="260"/>
              <w:spacing w:after="0"/>
              <w:rPr>
                <w:sz w:val="20"/>
                <w:szCs w:val="20"/>
                <w:color w:val="auto"/>
              </w:rPr>
            </w:pPr>
            <w:r>
              <w:rPr>
                <w:rFonts w:ascii="Arial" w:cs="Arial" w:eastAsia="Arial" w:hAnsi="Arial"/>
                <w:sz w:val="18"/>
                <w:szCs w:val="18"/>
                <w:color w:val="auto"/>
                <w:w w:val="95"/>
              </w:rPr>
              <w:t>Nordstrom 401(k) Plan &amp; Profit Sharing, amended and restated on</w:t>
            </w:r>
          </w:p>
        </w:tc>
        <w:tc>
          <w:tcPr>
            <w:tcW w:w="5120" w:type="dxa"/>
            <w:vAlign w:val="bottom"/>
          </w:tcPr>
          <w:p>
            <w:pPr>
              <w:ind w:left="200"/>
              <w:spacing w:after="0"/>
              <w:rPr>
                <w:sz w:val="20"/>
                <w:szCs w:val="20"/>
                <w:color w:val="auto"/>
              </w:rPr>
            </w:pPr>
            <w:r>
              <w:rPr>
                <w:rFonts w:ascii="Arial" w:cs="Arial" w:eastAsia="Arial" w:hAnsi="Arial"/>
                <w:sz w:val="18"/>
                <w:szCs w:val="18"/>
                <w:color w:val="auto"/>
                <w:w w:val="90"/>
              </w:rPr>
              <w:t>Incorporated by reference from the Registrant’s Quarterly Report on</w:t>
            </w:r>
          </w:p>
        </w:tc>
      </w:tr>
      <w:tr>
        <w:trPr>
          <w:trHeight w:val="230"/>
        </w:trPr>
        <w:tc>
          <w:tcPr>
            <w:tcW w:w="660" w:type="dxa"/>
            <w:vAlign w:val="bottom"/>
          </w:tcPr>
          <w:p>
            <w:pPr>
              <w:spacing w:after="0"/>
              <w:rPr>
                <w:sz w:val="20"/>
                <w:szCs w:val="20"/>
                <w:color w:val="auto"/>
              </w:rPr>
            </w:pPr>
          </w:p>
        </w:tc>
        <w:tc>
          <w:tcPr>
            <w:tcW w:w="5300" w:type="dxa"/>
            <w:vAlign w:val="bottom"/>
          </w:tcPr>
          <w:p>
            <w:pPr>
              <w:ind w:left="260"/>
              <w:spacing w:after="0"/>
              <w:rPr>
                <w:sz w:val="20"/>
                <w:szCs w:val="20"/>
                <w:color w:val="auto"/>
              </w:rPr>
            </w:pPr>
            <w:r>
              <w:rPr>
                <w:rFonts w:ascii="Arial" w:cs="Arial" w:eastAsia="Arial" w:hAnsi="Arial"/>
                <w:sz w:val="18"/>
                <w:szCs w:val="18"/>
                <w:color w:val="auto"/>
              </w:rPr>
              <w:t>June 12, 2014</w:t>
            </w:r>
          </w:p>
        </w:tc>
        <w:tc>
          <w:tcPr>
            <w:tcW w:w="5120" w:type="dxa"/>
            <w:vAlign w:val="bottom"/>
          </w:tcPr>
          <w:p>
            <w:pPr>
              <w:ind w:left="200"/>
              <w:spacing w:after="0"/>
              <w:rPr>
                <w:sz w:val="20"/>
                <w:szCs w:val="20"/>
                <w:color w:val="auto"/>
              </w:rPr>
            </w:pPr>
            <w:r>
              <w:rPr>
                <w:rFonts w:ascii="Arial" w:cs="Arial" w:eastAsia="Arial" w:hAnsi="Arial"/>
                <w:sz w:val="18"/>
                <w:szCs w:val="18"/>
                <w:color w:val="auto"/>
              </w:rPr>
              <w:t>Form 10-Q for the quarter ended May 2, 2015, Exhibit 10.2</w:t>
            </w:r>
          </w:p>
        </w:tc>
      </w:tr>
      <w:tr>
        <w:trPr>
          <w:trHeight w:val="377"/>
        </w:trPr>
        <w:tc>
          <w:tcPr>
            <w:tcW w:w="660" w:type="dxa"/>
            <w:vAlign w:val="bottom"/>
          </w:tcPr>
          <w:p>
            <w:pPr>
              <w:spacing w:after="0"/>
              <w:rPr>
                <w:sz w:val="20"/>
                <w:szCs w:val="20"/>
                <w:color w:val="auto"/>
              </w:rPr>
            </w:pPr>
            <w:r>
              <w:rPr>
                <w:rFonts w:ascii="Arial" w:cs="Arial" w:eastAsia="Arial" w:hAnsi="Arial"/>
                <w:sz w:val="18"/>
                <w:szCs w:val="18"/>
                <w:color w:val="auto"/>
              </w:rPr>
              <w:t>10.2*</w:t>
            </w:r>
          </w:p>
        </w:tc>
        <w:tc>
          <w:tcPr>
            <w:tcW w:w="5300" w:type="dxa"/>
            <w:vAlign w:val="bottom"/>
          </w:tcPr>
          <w:p>
            <w:pPr>
              <w:ind w:left="260"/>
              <w:spacing w:after="0"/>
              <w:rPr>
                <w:sz w:val="20"/>
                <w:szCs w:val="20"/>
                <w:color w:val="auto"/>
              </w:rPr>
            </w:pPr>
            <w:r>
              <w:rPr>
                <w:rFonts w:ascii="Arial" w:cs="Arial" w:eastAsia="Arial" w:hAnsi="Arial"/>
                <w:sz w:val="18"/>
                <w:szCs w:val="18"/>
                <w:color w:val="auto"/>
                <w:w w:val="95"/>
              </w:rPr>
              <w:t>Amendment 2014-4 to the Nordstrom 401(k) Plan &amp; Profit Sharing</w:t>
            </w:r>
          </w:p>
        </w:tc>
        <w:tc>
          <w:tcPr>
            <w:tcW w:w="5120" w:type="dxa"/>
            <w:vAlign w:val="bottom"/>
          </w:tcPr>
          <w:p>
            <w:pPr>
              <w:ind w:left="200"/>
              <w:spacing w:after="0"/>
              <w:rPr>
                <w:sz w:val="20"/>
                <w:szCs w:val="20"/>
                <w:color w:val="auto"/>
              </w:rPr>
            </w:pPr>
            <w:r>
              <w:rPr>
                <w:rFonts w:ascii="Arial" w:cs="Arial" w:eastAsia="Arial" w:hAnsi="Arial"/>
                <w:sz w:val="18"/>
                <w:szCs w:val="18"/>
                <w:color w:val="auto"/>
                <w:w w:val="90"/>
              </w:rPr>
              <w:t>Incorporated by reference from the Registrant’s Quarterly Report on</w:t>
            </w:r>
          </w:p>
        </w:tc>
      </w:tr>
      <w:tr>
        <w:trPr>
          <w:trHeight w:val="230"/>
        </w:trPr>
        <w:tc>
          <w:tcPr>
            <w:tcW w:w="660" w:type="dxa"/>
            <w:vAlign w:val="bottom"/>
          </w:tcPr>
          <w:p>
            <w:pPr>
              <w:spacing w:after="0"/>
              <w:rPr>
                <w:sz w:val="20"/>
                <w:szCs w:val="20"/>
                <w:color w:val="auto"/>
              </w:rPr>
            </w:pPr>
          </w:p>
        </w:tc>
        <w:tc>
          <w:tcPr>
            <w:tcW w:w="5300" w:type="dxa"/>
            <w:vAlign w:val="bottom"/>
          </w:tcPr>
          <w:p>
            <w:pPr>
              <w:spacing w:after="0"/>
              <w:rPr>
                <w:sz w:val="20"/>
                <w:szCs w:val="20"/>
                <w:color w:val="auto"/>
              </w:rPr>
            </w:pPr>
          </w:p>
        </w:tc>
        <w:tc>
          <w:tcPr>
            <w:tcW w:w="5120" w:type="dxa"/>
            <w:vAlign w:val="bottom"/>
          </w:tcPr>
          <w:p>
            <w:pPr>
              <w:ind w:left="200"/>
              <w:spacing w:after="0"/>
              <w:rPr>
                <w:sz w:val="20"/>
                <w:szCs w:val="20"/>
                <w:color w:val="auto"/>
              </w:rPr>
            </w:pPr>
            <w:r>
              <w:rPr>
                <w:rFonts w:ascii="Arial" w:cs="Arial" w:eastAsia="Arial" w:hAnsi="Arial"/>
                <w:sz w:val="18"/>
                <w:szCs w:val="18"/>
                <w:color w:val="auto"/>
                <w:w w:val="99"/>
              </w:rPr>
              <w:t>Form 10-Q for the quarter ended August 2, 2014, Exhibit 10.6</w:t>
            </w:r>
          </w:p>
        </w:tc>
      </w:tr>
      <w:tr>
        <w:trPr>
          <w:trHeight w:val="377"/>
        </w:trPr>
        <w:tc>
          <w:tcPr>
            <w:tcW w:w="660" w:type="dxa"/>
            <w:vAlign w:val="bottom"/>
          </w:tcPr>
          <w:p>
            <w:pPr>
              <w:spacing w:after="0"/>
              <w:rPr>
                <w:sz w:val="20"/>
                <w:szCs w:val="20"/>
                <w:color w:val="auto"/>
              </w:rPr>
            </w:pPr>
            <w:r>
              <w:rPr>
                <w:rFonts w:ascii="Arial" w:cs="Arial" w:eastAsia="Arial" w:hAnsi="Arial"/>
                <w:sz w:val="18"/>
                <w:szCs w:val="18"/>
                <w:color w:val="auto"/>
              </w:rPr>
              <w:t>10.3*</w:t>
            </w:r>
          </w:p>
        </w:tc>
        <w:tc>
          <w:tcPr>
            <w:tcW w:w="5300" w:type="dxa"/>
            <w:vAlign w:val="bottom"/>
          </w:tcPr>
          <w:p>
            <w:pPr>
              <w:ind w:left="260"/>
              <w:spacing w:after="0"/>
              <w:rPr>
                <w:sz w:val="20"/>
                <w:szCs w:val="20"/>
                <w:color w:val="auto"/>
              </w:rPr>
            </w:pPr>
            <w:r>
              <w:rPr>
                <w:rFonts w:ascii="Arial" w:cs="Arial" w:eastAsia="Arial" w:hAnsi="Arial"/>
                <w:sz w:val="18"/>
                <w:szCs w:val="18"/>
                <w:color w:val="auto"/>
                <w:w w:val="95"/>
              </w:rPr>
              <w:t>Amendment 2014-5 to the Nordstrom 401(k) Plan &amp; Profit Sharing</w:t>
            </w:r>
          </w:p>
        </w:tc>
        <w:tc>
          <w:tcPr>
            <w:tcW w:w="5120" w:type="dxa"/>
            <w:vAlign w:val="bottom"/>
          </w:tcPr>
          <w:p>
            <w:pPr>
              <w:ind w:left="200"/>
              <w:spacing w:after="0"/>
              <w:rPr>
                <w:sz w:val="20"/>
                <w:szCs w:val="20"/>
                <w:color w:val="auto"/>
              </w:rPr>
            </w:pPr>
            <w:r>
              <w:rPr>
                <w:rFonts w:ascii="Arial" w:cs="Arial" w:eastAsia="Arial" w:hAnsi="Arial"/>
                <w:sz w:val="18"/>
                <w:szCs w:val="18"/>
                <w:color w:val="auto"/>
                <w:w w:val="90"/>
              </w:rPr>
              <w:t>Incorporated by reference from the Registrant’s Quarterly Report on</w:t>
            </w:r>
          </w:p>
        </w:tc>
      </w:tr>
      <w:tr>
        <w:trPr>
          <w:trHeight w:val="230"/>
        </w:trPr>
        <w:tc>
          <w:tcPr>
            <w:tcW w:w="660" w:type="dxa"/>
            <w:vAlign w:val="bottom"/>
          </w:tcPr>
          <w:p>
            <w:pPr>
              <w:spacing w:after="0"/>
              <w:rPr>
                <w:sz w:val="20"/>
                <w:szCs w:val="20"/>
                <w:color w:val="auto"/>
              </w:rPr>
            </w:pPr>
          </w:p>
        </w:tc>
        <w:tc>
          <w:tcPr>
            <w:tcW w:w="5300" w:type="dxa"/>
            <w:vAlign w:val="bottom"/>
          </w:tcPr>
          <w:p>
            <w:pPr>
              <w:spacing w:after="0"/>
              <w:rPr>
                <w:sz w:val="20"/>
                <w:szCs w:val="20"/>
                <w:color w:val="auto"/>
              </w:rPr>
            </w:pPr>
          </w:p>
        </w:tc>
        <w:tc>
          <w:tcPr>
            <w:tcW w:w="5120" w:type="dxa"/>
            <w:vAlign w:val="bottom"/>
          </w:tcPr>
          <w:p>
            <w:pPr>
              <w:ind w:left="200"/>
              <w:spacing w:after="0"/>
              <w:rPr>
                <w:sz w:val="20"/>
                <w:szCs w:val="20"/>
                <w:color w:val="auto"/>
              </w:rPr>
            </w:pPr>
            <w:r>
              <w:rPr>
                <w:rFonts w:ascii="Arial" w:cs="Arial" w:eastAsia="Arial" w:hAnsi="Arial"/>
                <w:sz w:val="18"/>
                <w:szCs w:val="18"/>
                <w:color w:val="auto"/>
                <w:w w:val="94"/>
              </w:rPr>
              <w:t>Form 10-Q for the quarter ended November 1, 2014, Exhibit 10.2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9" w:lineRule="exact"/>
        <w:rPr>
          <w:sz w:val="20"/>
          <w:szCs w:val="20"/>
          <w:color w:val="auto"/>
        </w:rPr>
      </w:pPr>
    </w:p>
    <w:p>
      <w:pPr>
        <w:ind w:left="40"/>
        <w:spacing w:after="0"/>
        <w:rPr>
          <w:sz w:val="20"/>
          <w:szCs w:val="20"/>
          <w:color w:val="auto"/>
        </w:rPr>
      </w:pPr>
      <w:r>
        <w:rPr>
          <w:rFonts w:ascii="Arial" w:cs="Arial" w:eastAsia="Arial" w:hAnsi="Arial"/>
          <w:sz w:val="14"/>
          <w:szCs w:val="14"/>
          <w:color w:val="auto"/>
        </w:rPr>
        <w:t>*This exhibit is a management contract, compensatory plan or arrangement</w:t>
      </w:r>
    </w:p>
    <w:p>
      <w:pPr>
        <w:sectPr>
          <w:pgSz w:w="11900" w:h="16838" w:orient="portrait"/>
          <w:cols w:equalWidth="0" w:num="1">
            <w:col w:w="11420"/>
          </w:cols>
          <w:pgMar w:left="240" w:top="126" w:right="239" w:bottom="915" w:gutter="0" w:footer="0" w:header="0"/>
          <w:type w:val="continuous"/>
        </w:sect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6"/>
          <w:szCs w:val="16"/>
          <w:color w:val="auto"/>
        </w:rPr>
        <w:t>70</w:t>
      </w:r>
    </w:p>
    <w:p>
      <w:pPr>
        <w:sectPr>
          <w:pgSz w:w="11900" w:h="16838" w:orient="portrait"/>
          <w:cols w:equalWidth="0" w:num="1">
            <w:col w:w="11420"/>
          </w:cols>
          <w:pgMar w:left="240" w:top="126" w:right="239" w:bottom="915" w:gutter="0" w:footer="0" w:header="0"/>
          <w:type w:val="continuous"/>
        </w:sectPr>
      </w:pPr>
    </w:p>
    <w:bookmarkStart w:id="71" w:name="page72"/>
    <w:bookmarkEnd w:id="71"/>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0" w:type="dxa"/>
            <w:vAlign w:val="bottom"/>
          </w:tcPr>
          <w:p>
            <w:pPr>
              <w:spacing w:after="0"/>
              <w:rPr>
                <w:sz w:val="20"/>
                <w:szCs w:val="20"/>
                <w:color w:val="auto"/>
              </w:rPr>
            </w:pPr>
          </w:p>
        </w:tc>
        <w:tc>
          <w:tcPr>
            <w:tcW w:w="5380" w:type="dxa"/>
            <w:vAlign w:val="bottom"/>
          </w:tcPr>
          <w:p>
            <w:pPr>
              <w:ind w:left="2480"/>
              <w:spacing w:after="0"/>
              <w:rPr>
                <w:sz w:val="20"/>
                <w:szCs w:val="20"/>
                <w:color w:val="auto"/>
              </w:rPr>
            </w:pPr>
            <w:r>
              <w:rPr>
                <w:rFonts w:ascii="Arial" w:cs="Arial" w:eastAsia="Arial" w:hAnsi="Arial"/>
                <w:sz w:val="18"/>
                <w:szCs w:val="18"/>
                <w:b w:val="1"/>
                <w:bCs w:val="1"/>
                <w:color w:val="auto"/>
              </w:rPr>
              <w:t>Exhibit</w:t>
            </w:r>
          </w:p>
        </w:tc>
        <w:tc>
          <w:tcPr>
            <w:tcW w:w="5300" w:type="dxa"/>
            <w:vAlign w:val="bottom"/>
          </w:tcPr>
          <w:p>
            <w:pPr>
              <w:ind w:left="2040"/>
              <w:spacing w:after="0"/>
              <w:rPr>
                <w:sz w:val="20"/>
                <w:szCs w:val="20"/>
                <w:color w:val="auto"/>
              </w:rPr>
            </w:pPr>
            <w:r>
              <w:rPr>
                <w:rFonts w:ascii="Arial" w:cs="Arial" w:eastAsia="Arial" w:hAnsi="Arial"/>
                <w:sz w:val="18"/>
                <w:szCs w:val="18"/>
                <w:b w:val="1"/>
                <w:bCs w:val="1"/>
                <w:color w:val="auto"/>
              </w:rPr>
              <w:t>Method of Filing</w:t>
            </w:r>
          </w:p>
        </w:tc>
      </w:tr>
      <w:tr>
        <w:trPr>
          <w:trHeight w:val="27"/>
        </w:trPr>
        <w:tc>
          <w:tcPr>
            <w:tcW w:w="740" w:type="dxa"/>
            <w:vAlign w:val="bottom"/>
            <w:tcBorders>
              <w:bottom w:val="single" w:sz="8" w:color="auto"/>
            </w:tcBorders>
          </w:tcPr>
          <w:p>
            <w:pPr>
              <w:spacing w:after="0"/>
              <w:rPr>
                <w:sz w:val="2"/>
                <w:szCs w:val="2"/>
                <w:color w:val="auto"/>
              </w:rPr>
            </w:pPr>
          </w:p>
        </w:tc>
        <w:tc>
          <w:tcPr>
            <w:tcW w:w="5380" w:type="dxa"/>
            <w:vAlign w:val="bottom"/>
            <w:tcBorders>
              <w:bottom w:val="single" w:sz="8" w:color="auto"/>
            </w:tcBorders>
          </w:tcPr>
          <w:p>
            <w:pPr>
              <w:spacing w:after="0"/>
              <w:rPr>
                <w:sz w:val="2"/>
                <w:szCs w:val="2"/>
                <w:color w:val="auto"/>
              </w:rPr>
            </w:pPr>
          </w:p>
        </w:tc>
        <w:tc>
          <w:tcPr>
            <w:tcW w:w="5300" w:type="dxa"/>
            <w:vAlign w:val="bottom"/>
            <w:tcBorders>
              <w:bottom w:val="single" w:sz="8" w:color="auto"/>
            </w:tcBorders>
          </w:tcPr>
          <w:p>
            <w:pPr>
              <w:spacing w:after="0"/>
              <w:rPr>
                <w:sz w:val="2"/>
                <w:szCs w:val="2"/>
                <w:color w:val="auto"/>
              </w:rPr>
            </w:pPr>
          </w:p>
        </w:tc>
      </w:tr>
      <w:tr>
        <w:trPr>
          <w:trHeight w:val="222"/>
        </w:trPr>
        <w:tc>
          <w:tcPr>
            <w:tcW w:w="740" w:type="dxa"/>
            <w:vAlign w:val="bottom"/>
          </w:tcPr>
          <w:p>
            <w:pPr>
              <w:ind w:left="40"/>
              <w:spacing w:after="0"/>
              <w:rPr>
                <w:sz w:val="20"/>
                <w:szCs w:val="20"/>
                <w:color w:val="auto"/>
              </w:rPr>
            </w:pPr>
            <w:r>
              <w:rPr>
                <w:rFonts w:ascii="Arial" w:cs="Arial" w:eastAsia="Arial" w:hAnsi="Arial"/>
                <w:sz w:val="18"/>
                <w:szCs w:val="18"/>
                <w:color w:val="auto"/>
              </w:rPr>
              <w:t>10.4*</w:t>
            </w:r>
          </w:p>
        </w:tc>
        <w:tc>
          <w:tcPr>
            <w:tcW w:w="5380" w:type="dxa"/>
            <w:vAlign w:val="bottom"/>
          </w:tcPr>
          <w:p>
            <w:pPr>
              <w:ind w:left="220"/>
              <w:spacing w:after="0"/>
              <w:rPr>
                <w:sz w:val="20"/>
                <w:szCs w:val="20"/>
                <w:color w:val="auto"/>
              </w:rPr>
            </w:pPr>
            <w:r>
              <w:rPr>
                <w:rFonts w:ascii="Arial" w:cs="Arial" w:eastAsia="Arial" w:hAnsi="Arial"/>
                <w:sz w:val="18"/>
                <w:szCs w:val="18"/>
                <w:color w:val="auto"/>
                <w:w w:val="97"/>
              </w:rPr>
              <w:t>Amendment 2014-6 to the Nordstrom 401(k) Plan &amp; Profit Sharing</w:t>
            </w:r>
          </w:p>
        </w:tc>
        <w:tc>
          <w:tcPr>
            <w:tcW w:w="5300" w:type="dxa"/>
            <w:vAlign w:val="bottom"/>
          </w:tcPr>
          <w:p>
            <w:pPr>
              <w:ind w:left="80"/>
              <w:spacing w:after="0"/>
              <w:rPr>
                <w:sz w:val="20"/>
                <w:szCs w:val="20"/>
                <w:color w:val="auto"/>
              </w:rPr>
            </w:pPr>
            <w:r>
              <w:rPr>
                <w:rFonts w:ascii="Arial" w:cs="Arial" w:eastAsia="Arial" w:hAnsi="Arial"/>
                <w:sz w:val="18"/>
                <w:szCs w:val="18"/>
                <w:color w:val="auto"/>
                <w:w w:val="96"/>
              </w:rPr>
              <w:t>Incorporated by reference from the Registrant’s Quarterly Report on</w:t>
            </w:r>
          </w:p>
        </w:tc>
      </w:tr>
      <w:tr>
        <w:trPr>
          <w:trHeight w:val="230"/>
        </w:trPr>
        <w:tc>
          <w:tcPr>
            <w:tcW w:w="740" w:type="dxa"/>
            <w:vAlign w:val="bottom"/>
          </w:tcPr>
          <w:p>
            <w:pPr>
              <w:spacing w:after="0"/>
              <w:rPr>
                <w:sz w:val="20"/>
                <w:szCs w:val="20"/>
                <w:color w:val="auto"/>
              </w:rPr>
            </w:pPr>
          </w:p>
        </w:tc>
        <w:tc>
          <w:tcPr>
            <w:tcW w:w="5380" w:type="dxa"/>
            <w:vAlign w:val="bottom"/>
          </w:tcPr>
          <w:p>
            <w:pPr>
              <w:spacing w:after="0"/>
              <w:rPr>
                <w:sz w:val="20"/>
                <w:szCs w:val="20"/>
                <w:color w:val="auto"/>
              </w:rPr>
            </w:pPr>
          </w:p>
        </w:tc>
        <w:tc>
          <w:tcPr>
            <w:tcW w:w="5300" w:type="dxa"/>
            <w:vAlign w:val="bottom"/>
          </w:tcPr>
          <w:p>
            <w:pPr>
              <w:ind w:left="80"/>
              <w:spacing w:after="0"/>
              <w:rPr>
                <w:sz w:val="20"/>
                <w:szCs w:val="20"/>
                <w:color w:val="auto"/>
              </w:rPr>
            </w:pPr>
            <w:r>
              <w:rPr>
                <w:rFonts w:ascii="Arial" w:cs="Arial" w:eastAsia="Arial" w:hAnsi="Arial"/>
                <w:sz w:val="18"/>
                <w:szCs w:val="18"/>
                <w:color w:val="auto"/>
              </w:rPr>
              <w:t>Form 10-Q for the quarter ended November 1, 2014, Exhibit 10.3</w:t>
            </w:r>
          </w:p>
        </w:tc>
      </w:tr>
      <w:tr>
        <w:trPr>
          <w:trHeight w:val="377"/>
        </w:trPr>
        <w:tc>
          <w:tcPr>
            <w:tcW w:w="740" w:type="dxa"/>
            <w:vAlign w:val="bottom"/>
          </w:tcPr>
          <w:p>
            <w:pPr>
              <w:ind w:left="40"/>
              <w:spacing w:after="0"/>
              <w:rPr>
                <w:sz w:val="20"/>
                <w:szCs w:val="20"/>
                <w:color w:val="auto"/>
              </w:rPr>
            </w:pPr>
            <w:r>
              <w:rPr>
                <w:rFonts w:ascii="Arial" w:cs="Arial" w:eastAsia="Arial" w:hAnsi="Arial"/>
                <w:sz w:val="18"/>
                <w:szCs w:val="18"/>
                <w:color w:val="auto"/>
              </w:rPr>
              <w:t>10.5*</w:t>
            </w:r>
          </w:p>
        </w:tc>
        <w:tc>
          <w:tcPr>
            <w:tcW w:w="5380" w:type="dxa"/>
            <w:vAlign w:val="bottom"/>
          </w:tcPr>
          <w:p>
            <w:pPr>
              <w:ind w:left="220"/>
              <w:spacing w:after="0"/>
              <w:rPr>
                <w:sz w:val="20"/>
                <w:szCs w:val="20"/>
                <w:color w:val="auto"/>
              </w:rPr>
            </w:pPr>
            <w:r>
              <w:rPr>
                <w:rFonts w:ascii="Arial" w:cs="Arial" w:eastAsia="Arial" w:hAnsi="Arial"/>
                <w:sz w:val="18"/>
                <w:szCs w:val="18"/>
                <w:color w:val="auto"/>
              </w:rPr>
              <w:t>Amended and Restated Nordstrom, Inc. Executive Management</w:t>
            </w:r>
          </w:p>
        </w:tc>
        <w:tc>
          <w:tcPr>
            <w:tcW w:w="5300" w:type="dxa"/>
            <w:vAlign w:val="bottom"/>
          </w:tcPr>
          <w:p>
            <w:pPr>
              <w:ind w:left="80"/>
              <w:spacing w:after="0"/>
              <w:rPr>
                <w:sz w:val="20"/>
                <w:szCs w:val="20"/>
                <w:color w:val="auto"/>
              </w:rPr>
            </w:pPr>
            <w:r>
              <w:rPr>
                <w:rFonts w:ascii="Arial" w:cs="Arial" w:eastAsia="Arial" w:hAnsi="Arial"/>
                <w:sz w:val="18"/>
                <w:szCs w:val="18"/>
                <w:color w:val="auto"/>
                <w:w w:val="96"/>
              </w:rPr>
              <w:t>Incorporated by reference from the Registrant’s Form DEF 14A filed</w:t>
            </w:r>
          </w:p>
        </w:tc>
      </w:tr>
      <w:tr>
        <w:trPr>
          <w:trHeight w:val="230"/>
        </w:trPr>
        <w:tc>
          <w:tcPr>
            <w:tcW w:w="740" w:type="dxa"/>
            <w:vAlign w:val="bottom"/>
          </w:tcPr>
          <w:p>
            <w:pPr>
              <w:spacing w:after="0"/>
              <w:rPr>
                <w:sz w:val="20"/>
                <w:szCs w:val="20"/>
                <w:color w:val="auto"/>
              </w:rPr>
            </w:pPr>
          </w:p>
        </w:tc>
        <w:tc>
          <w:tcPr>
            <w:tcW w:w="5380" w:type="dxa"/>
            <w:vAlign w:val="bottom"/>
          </w:tcPr>
          <w:p>
            <w:pPr>
              <w:ind w:left="220"/>
              <w:spacing w:after="0"/>
              <w:rPr>
                <w:sz w:val="20"/>
                <w:szCs w:val="20"/>
                <w:color w:val="auto"/>
              </w:rPr>
            </w:pPr>
            <w:r>
              <w:rPr>
                <w:rFonts w:ascii="Arial" w:cs="Arial" w:eastAsia="Arial" w:hAnsi="Arial"/>
                <w:sz w:val="18"/>
                <w:szCs w:val="18"/>
                <w:color w:val="auto"/>
              </w:rPr>
              <w:t>Bonus Plan</w:t>
            </w:r>
          </w:p>
        </w:tc>
        <w:tc>
          <w:tcPr>
            <w:tcW w:w="5300" w:type="dxa"/>
            <w:vAlign w:val="bottom"/>
          </w:tcPr>
          <w:p>
            <w:pPr>
              <w:ind w:left="80"/>
              <w:spacing w:after="0"/>
              <w:rPr>
                <w:sz w:val="20"/>
                <w:szCs w:val="20"/>
                <w:color w:val="auto"/>
              </w:rPr>
            </w:pPr>
            <w:r>
              <w:rPr>
                <w:rFonts w:ascii="Arial" w:cs="Arial" w:eastAsia="Arial" w:hAnsi="Arial"/>
                <w:sz w:val="18"/>
                <w:szCs w:val="18"/>
                <w:color w:val="auto"/>
              </w:rPr>
              <w:t>on March 30, 2012</w:t>
            </w:r>
          </w:p>
        </w:tc>
      </w:tr>
      <w:tr>
        <w:trPr>
          <w:trHeight w:val="377"/>
        </w:trPr>
        <w:tc>
          <w:tcPr>
            <w:tcW w:w="740" w:type="dxa"/>
            <w:vAlign w:val="bottom"/>
          </w:tcPr>
          <w:p>
            <w:pPr>
              <w:ind w:left="40"/>
              <w:spacing w:after="0"/>
              <w:rPr>
                <w:sz w:val="20"/>
                <w:szCs w:val="20"/>
                <w:color w:val="auto"/>
              </w:rPr>
            </w:pPr>
            <w:r>
              <w:rPr>
                <w:rFonts w:ascii="Arial" w:cs="Arial" w:eastAsia="Arial" w:hAnsi="Arial"/>
                <w:sz w:val="18"/>
                <w:szCs w:val="18"/>
                <w:color w:val="auto"/>
              </w:rPr>
              <w:t>10.6*</w:t>
            </w:r>
          </w:p>
        </w:tc>
        <w:tc>
          <w:tcPr>
            <w:tcW w:w="5380" w:type="dxa"/>
            <w:vAlign w:val="bottom"/>
          </w:tcPr>
          <w:p>
            <w:pPr>
              <w:ind w:left="220"/>
              <w:spacing w:after="0"/>
              <w:rPr>
                <w:sz w:val="20"/>
                <w:szCs w:val="20"/>
                <w:color w:val="auto"/>
              </w:rPr>
            </w:pPr>
            <w:r>
              <w:rPr>
                <w:rFonts w:ascii="Arial" w:cs="Arial" w:eastAsia="Arial" w:hAnsi="Arial"/>
                <w:sz w:val="18"/>
                <w:szCs w:val="18"/>
                <w:color w:val="auto"/>
              </w:rPr>
              <w:t>Amended and Restated Nordstrom, Inc. Executive Management</w:t>
            </w:r>
          </w:p>
        </w:tc>
        <w:tc>
          <w:tcPr>
            <w:tcW w:w="5300" w:type="dxa"/>
            <w:vAlign w:val="bottom"/>
          </w:tcPr>
          <w:p>
            <w:pPr>
              <w:ind w:left="80"/>
              <w:spacing w:after="0"/>
              <w:rPr>
                <w:sz w:val="20"/>
                <w:szCs w:val="20"/>
                <w:color w:val="auto"/>
              </w:rPr>
            </w:pPr>
            <w:r>
              <w:rPr>
                <w:rFonts w:ascii="Arial" w:cs="Arial" w:eastAsia="Arial" w:hAnsi="Arial"/>
                <w:sz w:val="18"/>
                <w:szCs w:val="18"/>
                <w:color w:val="auto"/>
                <w:w w:val="96"/>
              </w:rPr>
              <w:t>Incorporated by reference from the Registrant’s Form DEF 14A filed</w:t>
            </w:r>
          </w:p>
        </w:tc>
      </w:tr>
      <w:tr>
        <w:trPr>
          <w:trHeight w:val="230"/>
        </w:trPr>
        <w:tc>
          <w:tcPr>
            <w:tcW w:w="740" w:type="dxa"/>
            <w:vAlign w:val="bottom"/>
          </w:tcPr>
          <w:p>
            <w:pPr>
              <w:spacing w:after="0"/>
              <w:rPr>
                <w:sz w:val="20"/>
                <w:szCs w:val="20"/>
                <w:color w:val="auto"/>
              </w:rPr>
            </w:pPr>
          </w:p>
        </w:tc>
        <w:tc>
          <w:tcPr>
            <w:tcW w:w="5380" w:type="dxa"/>
            <w:vAlign w:val="bottom"/>
          </w:tcPr>
          <w:p>
            <w:pPr>
              <w:ind w:left="220"/>
              <w:spacing w:after="0"/>
              <w:rPr>
                <w:sz w:val="20"/>
                <w:szCs w:val="20"/>
                <w:color w:val="auto"/>
              </w:rPr>
            </w:pPr>
            <w:r>
              <w:rPr>
                <w:rFonts w:ascii="Arial" w:cs="Arial" w:eastAsia="Arial" w:hAnsi="Arial"/>
                <w:sz w:val="18"/>
                <w:szCs w:val="18"/>
                <w:color w:val="auto"/>
              </w:rPr>
              <w:t>Bonus Plan</w:t>
            </w:r>
          </w:p>
        </w:tc>
        <w:tc>
          <w:tcPr>
            <w:tcW w:w="5300" w:type="dxa"/>
            <w:vAlign w:val="bottom"/>
          </w:tcPr>
          <w:p>
            <w:pPr>
              <w:ind w:left="80"/>
              <w:spacing w:after="0"/>
              <w:rPr>
                <w:sz w:val="20"/>
                <w:szCs w:val="20"/>
                <w:color w:val="auto"/>
              </w:rPr>
            </w:pPr>
            <w:r>
              <w:rPr>
                <w:rFonts w:ascii="Arial" w:cs="Arial" w:eastAsia="Arial" w:hAnsi="Arial"/>
                <w:sz w:val="18"/>
                <w:szCs w:val="18"/>
                <w:color w:val="auto"/>
              </w:rPr>
              <w:t>on April 8, 2016</w:t>
            </w:r>
          </w:p>
        </w:tc>
      </w:tr>
      <w:tr>
        <w:trPr>
          <w:trHeight w:val="377"/>
        </w:trPr>
        <w:tc>
          <w:tcPr>
            <w:tcW w:w="740" w:type="dxa"/>
            <w:vAlign w:val="bottom"/>
          </w:tcPr>
          <w:p>
            <w:pPr>
              <w:ind w:left="40"/>
              <w:spacing w:after="0"/>
              <w:rPr>
                <w:sz w:val="20"/>
                <w:szCs w:val="20"/>
                <w:color w:val="auto"/>
              </w:rPr>
            </w:pPr>
            <w:r>
              <w:rPr>
                <w:rFonts w:ascii="Arial" w:cs="Arial" w:eastAsia="Arial" w:hAnsi="Arial"/>
                <w:sz w:val="18"/>
                <w:szCs w:val="18"/>
                <w:color w:val="auto"/>
              </w:rPr>
              <w:t>10.7*</w:t>
            </w:r>
          </w:p>
        </w:tc>
        <w:tc>
          <w:tcPr>
            <w:tcW w:w="5380" w:type="dxa"/>
            <w:vAlign w:val="bottom"/>
          </w:tcPr>
          <w:p>
            <w:pPr>
              <w:ind w:left="220"/>
              <w:spacing w:after="0"/>
              <w:rPr>
                <w:sz w:val="20"/>
                <w:szCs w:val="20"/>
                <w:color w:val="auto"/>
              </w:rPr>
            </w:pPr>
            <w:r>
              <w:rPr>
                <w:rFonts w:ascii="Arial" w:cs="Arial" w:eastAsia="Arial" w:hAnsi="Arial"/>
                <w:sz w:val="18"/>
                <w:szCs w:val="18"/>
                <w:color w:val="auto"/>
              </w:rPr>
              <w:t>Nordstrom Executive Deferred Compensation Plan (2007)</w:t>
            </w:r>
          </w:p>
        </w:tc>
        <w:tc>
          <w:tcPr>
            <w:tcW w:w="5300" w:type="dxa"/>
            <w:vAlign w:val="bottom"/>
          </w:tcPr>
          <w:p>
            <w:pPr>
              <w:ind w:left="80"/>
              <w:spacing w:after="0"/>
              <w:rPr>
                <w:sz w:val="20"/>
                <w:szCs w:val="20"/>
                <w:color w:val="auto"/>
              </w:rPr>
            </w:pPr>
            <w:r>
              <w:rPr>
                <w:rFonts w:ascii="Arial" w:cs="Arial" w:eastAsia="Arial" w:hAnsi="Arial"/>
                <w:sz w:val="18"/>
                <w:szCs w:val="18"/>
                <w:color w:val="auto"/>
                <w:w w:val="99"/>
              </w:rPr>
              <w:t>Incorporated by reference from the Registrant’s Form 8-K filed on</w:t>
            </w:r>
          </w:p>
        </w:tc>
      </w:tr>
      <w:tr>
        <w:trPr>
          <w:trHeight w:val="230"/>
        </w:trPr>
        <w:tc>
          <w:tcPr>
            <w:tcW w:w="740" w:type="dxa"/>
            <w:vAlign w:val="bottom"/>
          </w:tcPr>
          <w:p>
            <w:pPr>
              <w:spacing w:after="0"/>
              <w:rPr>
                <w:sz w:val="20"/>
                <w:szCs w:val="20"/>
                <w:color w:val="auto"/>
              </w:rPr>
            </w:pPr>
          </w:p>
        </w:tc>
        <w:tc>
          <w:tcPr>
            <w:tcW w:w="5380" w:type="dxa"/>
            <w:vAlign w:val="bottom"/>
          </w:tcPr>
          <w:p>
            <w:pPr>
              <w:spacing w:after="0"/>
              <w:rPr>
                <w:sz w:val="20"/>
                <w:szCs w:val="20"/>
                <w:color w:val="auto"/>
              </w:rPr>
            </w:pPr>
          </w:p>
        </w:tc>
        <w:tc>
          <w:tcPr>
            <w:tcW w:w="5300" w:type="dxa"/>
            <w:vAlign w:val="bottom"/>
          </w:tcPr>
          <w:p>
            <w:pPr>
              <w:ind w:left="80"/>
              <w:spacing w:after="0"/>
              <w:rPr>
                <w:sz w:val="20"/>
                <w:szCs w:val="20"/>
                <w:color w:val="auto"/>
              </w:rPr>
            </w:pPr>
            <w:r>
              <w:rPr>
                <w:rFonts w:ascii="Arial" w:cs="Arial" w:eastAsia="Arial" w:hAnsi="Arial"/>
                <w:sz w:val="18"/>
                <w:szCs w:val="18"/>
                <w:color w:val="auto"/>
              </w:rPr>
              <w:t>November 19, 2007, Exhibit 10.40</w:t>
            </w:r>
          </w:p>
        </w:tc>
      </w:tr>
      <w:tr>
        <w:trPr>
          <w:trHeight w:val="377"/>
        </w:trPr>
        <w:tc>
          <w:tcPr>
            <w:tcW w:w="740" w:type="dxa"/>
            <w:vAlign w:val="bottom"/>
          </w:tcPr>
          <w:p>
            <w:pPr>
              <w:ind w:left="40"/>
              <w:spacing w:after="0"/>
              <w:rPr>
                <w:sz w:val="20"/>
                <w:szCs w:val="20"/>
                <w:color w:val="auto"/>
              </w:rPr>
            </w:pPr>
            <w:r>
              <w:rPr>
                <w:rFonts w:ascii="Arial" w:cs="Arial" w:eastAsia="Arial" w:hAnsi="Arial"/>
                <w:sz w:val="18"/>
                <w:szCs w:val="18"/>
                <w:color w:val="auto"/>
              </w:rPr>
              <w:t>10.8*</w:t>
            </w:r>
          </w:p>
        </w:tc>
        <w:tc>
          <w:tcPr>
            <w:tcW w:w="5380" w:type="dxa"/>
            <w:vAlign w:val="bottom"/>
          </w:tcPr>
          <w:p>
            <w:pPr>
              <w:ind w:left="220"/>
              <w:spacing w:after="0"/>
              <w:rPr>
                <w:sz w:val="20"/>
                <w:szCs w:val="20"/>
                <w:color w:val="auto"/>
              </w:rPr>
            </w:pPr>
            <w:r>
              <w:rPr>
                <w:rFonts w:ascii="Arial" w:cs="Arial" w:eastAsia="Arial" w:hAnsi="Arial"/>
                <w:sz w:val="18"/>
                <w:szCs w:val="18"/>
                <w:color w:val="auto"/>
              </w:rPr>
              <w:t>Amendment 2008-1 to the Nordstrom Executive Deferred</w:t>
            </w:r>
          </w:p>
        </w:tc>
        <w:tc>
          <w:tcPr>
            <w:tcW w:w="5300" w:type="dxa"/>
            <w:vAlign w:val="bottom"/>
          </w:tcPr>
          <w:p>
            <w:pPr>
              <w:ind w:left="80"/>
              <w:spacing w:after="0"/>
              <w:rPr>
                <w:sz w:val="20"/>
                <w:szCs w:val="20"/>
                <w:color w:val="auto"/>
              </w:rPr>
            </w:pPr>
            <w:r>
              <w:rPr>
                <w:rFonts w:ascii="Arial" w:cs="Arial" w:eastAsia="Arial" w:hAnsi="Arial"/>
                <w:sz w:val="18"/>
                <w:szCs w:val="18"/>
                <w:color w:val="auto"/>
                <w:w w:val="99"/>
              </w:rPr>
              <w:t>Incorporated by reference from the Registrant’s Form 8-K filed on</w:t>
            </w:r>
          </w:p>
        </w:tc>
      </w:tr>
      <w:tr>
        <w:trPr>
          <w:trHeight w:val="230"/>
        </w:trPr>
        <w:tc>
          <w:tcPr>
            <w:tcW w:w="740" w:type="dxa"/>
            <w:vAlign w:val="bottom"/>
          </w:tcPr>
          <w:p>
            <w:pPr>
              <w:spacing w:after="0"/>
              <w:rPr>
                <w:sz w:val="20"/>
                <w:szCs w:val="20"/>
                <w:color w:val="auto"/>
              </w:rPr>
            </w:pPr>
          </w:p>
        </w:tc>
        <w:tc>
          <w:tcPr>
            <w:tcW w:w="5380" w:type="dxa"/>
            <w:vAlign w:val="bottom"/>
          </w:tcPr>
          <w:p>
            <w:pPr>
              <w:ind w:left="220"/>
              <w:spacing w:after="0"/>
              <w:rPr>
                <w:sz w:val="20"/>
                <w:szCs w:val="20"/>
                <w:color w:val="auto"/>
              </w:rPr>
            </w:pPr>
            <w:r>
              <w:rPr>
                <w:rFonts w:ascii="Arial" w:cs="Arial" w:eastAsia="Arial" w:hAnsi="Arial"/>
                <w:sz w:val="18"/>
                <w:szCs w:val="18"/>
                <w:color w:val="auto"/>
              </w:rPr>
              <w:t>Compensation Plan (2007)</w:t>
            </w:r>
          </w:p>
        </w:tc>
        <w:tc>
          <w:tcPr>
            <w:tcW w:w="5300" w:type="dxa"/>
            <w:vAlign w:val="bottom"/>
          </w:tcPr>
          <w:p>
            <w:pPr>
              <w:ind w:left="80"/>
              <w:spacing w:after="0"/>
              <w:rPr>
                <w:sz w:val="20"/>
                <w:szCs w:val="20"/>
                <w:color w:val="auto"/>
              </w:rPr>
            </w:pPr>
            <w:r>
              <w:rPr>
                <w:rFonts w:ascii="Arial" w:cs="Arial" w:eastAsia="Arial" w:hAnsi="Arial"/>
                <w:sz w:val="18"/>
                <w:szCs w:val="18"/>
                <w:color w:val="auto"/>
              </w:rPr>
              <w:t>November 24, 2008, Exhibit 10.2</w:t>
            </w:r>
          </w:p>
        </w:tc>
      </w:tr>
      <w:tr>
        <w:trPr>
          <w:trHeight w:val="377"/>
        </w:trPr>
        <w:tc>
          <w:tcPr>
            <w:tcW w:w="740" w:type="dxa"/>
            <w:vAlign w:val="bottom"/>
          </w:tcPr>
          <w:p>
            <w:pPr>
              <w:ind w:left="40"/>
              <w:spacing w:after="0"/>
              <w:rPr>
                <w:sz w:val="20"/>
                <w:szCs w:val="20"/>
                <w:color w:val="auto"/>
              </w:rPr>
            </w:pPr>
            <w:r>
              <w:rPr>
                <w:rFonts w:ascii="Arial" w:cs="Arial" w:eastAsia="Arial" w:hAnsi="Arial"/>
                <w:sz w:val="18"/>
                <w:szCs w:val="18"/>
                <w:color w:val="auto"/>
              </w:rPr>
              <w:t>10.9*</w:t>
            </w:r>
          </w:p>
        </w:tc>
        <w:tc>
          <w:tcPr>
            <w:tcW w:w="5380" w:type="dxa"/>
            <w:vAlign w:val="bottom"/>
          </w:tcPr>
          <w:p>
            <w:pPr>
              <w:ind w:left="220"/>
              <w:spacing w:after="0"/>
              <w:rPr>
                <w:sz w:val="20"/>
                <w:szCs w:val="20"/>
                <w:color w:val="auto"/>
              </w:rPr>
            </w:pPr>
            <w:r>
              <w:rPr>
                <w:rFonts w:ascii="Arial" w:cs="Arial" w:eastAsia="Arial" w:hAnsi="Arial"/>
                <w:sz w:val="18"/>
                <w:szCs w:val="18"/>
                <w:color w:val="auto"/>
              </w:rPr>
              <w:t>Amendment 2008-2 to the Nordstrom Executive Deferred</w:t>
            </w:r>
          </w:p>
        </w:tc>
        <w:tc>
          <w:tcPr>
            <w:tcW w:w="5300" w:type="dxa"/>
            <w:vAlign w:val="bottom"/>
          </w:tcPr>
          <w:p>
            <w:pPr>
              <w:ind w:left="80"/>
              <w:spacing w:after="0"/>
              <w:rPr>
                <w:sz w:val="20"/>
                <w:szCs w:val="20"/>
                <w:color w:val="auto"/>
              </w:rPr>
            </w:pPr>
            <w:r>
              <w:rPr>
                <w:rFonts w:ascii="Arial" w:cs="Arial" w:eastAsia="Arial" w:hAnsi="Arial"/>
                <w:sz w:val="18"/>
                <w:szCs w:val="18"/>
                <w:color w:val="auto"/>
                <w:w w:val="99"/>
              </w:rPr>
              <w:t>Incorporated by reference from the Registrant’s Form S-8 filed on</w:t>
            </w:r>
          </w:p>
        </w:tc>
      </w:tr>
      <w:tr>
        <w:trPr>
          <w:trHeight w:val="230"/>
        </w:trPr>
        <w:tc>
          <w:tcPr>
            <w:tcW w:w="740" w:type="dxa"/>
            <w:vAlign w:val="bottom"/>
          </w:tcPr>
          <w:p>
            <w:pPr>
              <w:spacing w:after="0"/>
              <w:rPr>
                <w:sz w:val="20"/>
                <w:szCs w:val="20"/>
                <w:color w:val="auto"/>
              </w:rPr>
            </w:pPr>
          </w:p>
        </w:tc>
        <w:tc>
          <w:tcPr>
            <w:tcW w:w="5380" w:type="dxa"/>
            <w:vAlign w:val="bottom"/>
          </w:tcPr>
          <w:p>
            <w:pPr>
              <w:ind w:left="220"/>
              <w:spacing w:after="0"/>
              <w:rPr>
                <w:sz w:val="20"/>
                <w:szCs w:val="20"/>
                <w:color w:val="auto"/>
              </w:rPr>
            </w:pPr>
            <w:r>
              <w:rPr>
                <w:rFonts w:ascii="Arial" w:cs="Arial" w:eastAsia="Arial" w:hAnsi="Arial"/>
                <w:sz w:val="18"/>
                <w:szCs w:val="18"/>
                <w:color w:val="auto"/>
              </w:rPr>
              <w:t>Compensation Plan</w:t>
            </w:r>
          </w:p>
        </w:tc>
        <w:tc>
          <w:tcPr>
            <w:tcW w:w="5300" w:type="dxa"/>
            <w:vAlign w:val="bottom"/>
          </w:tcPr>
          <w:p>
            <w:pPr>
              <w:ind w:left="80"/>
              <w:spacing w:after="0"/>
              <w:rPr>
                <w:sz w:val="20"/>
                <w:szCs w:val="20"/>
                <w:color w:val="auto"/>
              </w:rPr>
            </w:pPr>
            <w:r>
              <w:rPr>
                <w:rFonts w:ascii="Arial" w:cs="Arial" w:eastAsia="Arial" w:hAnsi="Arial"/>
                <w:sz w:val="18"/>
                <w:szCs w:val="18"/>
                <w:color w:val="auto"/>
              </w:rPr>
              <w:t>September 9, 2009, Exhibit 10.4</w:t>
            </w:r>
          </w:p>
        </w:tc>
      </w:tr>
      <w:tr>
        <w:trPr>
          <w:trHeight w:val="377"/>
        </w:trPr>
        <w:tc>
          <w:tcPr>
            <w:tcW w:w="740" w:type="dxa"/>
            <w:vAlign w:val="bottom"/>
          </w:tcPr>
          <w:p>
            <w:pPr>
              <w:ind w:left="40"/>
              <w:spacing w:after="0"/>
              <w:rPr>
                <w:sz w:val="20"/>
                <w:szCs w:val="20"/>
                <w:color w:val="auto"/>
              </w:rPr>
            </w:pPr>
            <w:r>
              <w:rPr>
                <w:rFonts w:ascii="Arial" w:cs="Arial" w:eastAsia="Arial" w:hAnsi="Arial"/>
                <w:sz w:val="18"/>
                <w:szCs w:val="18"/>
                <w:color w:val="auto"/>
              </w:rPr>
              <w:t>10.10*</w:t>
            </w:r>
          </w:p>
        </w:tc>
        <w:tc>
          <w:tcPr>
            <w:tcW w:w="5380" w:type="dxa"/>
            <w:vAlign w:val="bottom"/>
          </w:tcPr>
          <w:p>
            <w:pPr>
              <w:ind w:left="220"/>
              <w:spacing w:after="0"/>
              <w:rPr>
                <w:sz w:val="20"/>
                <w:szCs w:val="20"/>
                <w:color w:val="auto"/>
              </w:rPr>
            </w:pPr>
            <w:r>
              <w:rPr>
                <w:rFonts w:ascii="Arial" w:cs="Arial" w:eastAsia="Arial" w:hAnsi="Arial"/>
                <w:sz w:val="18"/>
                <w:szCs w:val="18"/>
                <w:color w:val="auto"/>
              </w:rPr>
              <w:t>Amendment 2010-2 to the Nordstrom Executive Deferred</w:t>
            </w:r>
          </w:p>
        </w:tc>
        <w:tc>
          <w:tcPr>
            <w:tcW w:w="5300" w:type="dxa"/>
            <w:vAlign w:val="bottom"/>
          </w:tcPr>
          <w:p>
            <w:pPr>
              <w:ind w:left="80"/>
              <w:spacing w:after="0"/>
              <w:rPr>
                <w:sz w:val="20"/>
                <w:szCs w:val="20"/>
                <w:color w:val="auto"/>
              </w:rPr>
            </w:pPr>
            <w:r>
              <w:rPr>
                <w:rFonts w:ascii="Arial" w:cs="Arial" w:eastAsia="Arial" w:hAnsi="Arial"/>
                <w:sz w:val="18"/>
                <w:szCs w:val="18"/>
                <w:color w:val="auto"/>
                <w:w w:val="99"/>
              </w:rPr>
              <w:t>Incorporated by reference from the Registrant’s Form 8-K filed on</w:t>
            </w:r>
          </w:p>
        </w:tc>
      </w:tr>
      <w:tr>
        <w:trPr>
          <w:trHeight w:val="230"/>
        </w:trPr>
        <w:tc>
          <w:tcPr>
            <w:tcW w:w="740" w:type="dxa"/>
            <w:vAlign w:val="bottom"/>
          </w:tcPr>
          <w:p>
            <w:pPr>
              <w:spacing w:after="0"/>
              <w:rPr>
                <w:sz w:val="20"/>
                <w:szCs w:val="20"/>
                <w:color w:val="auto"/>
              </w:rPr>
            </w:pPr>
          </w:p>
        </w:tc>
        <w:tc>
          <w:tcPr>
            <w:tcW w:w="5380" w:type="dxa"/>
            <w:vAlign w:val="bottom"/>
          </w:tcPr>
          <w:p>
            <w:pPr>
              <w:ind w:left="220"/>
              <w:spacing w:after="0"/>
              <w:rPr>
                <w:sz w:val="20"/>
                <w:szCs w:val="20"/>
                <w:color w:val="auto"/>
              </w:rPr>
            </w:pPr>
            <w:r>
              <w:rPr>
                <w:rFonts w:ascii="Arial" w:cs="Arial" w:eastAsia="Arial" w:hAnsi="Arial"/>
                <w:sz w:val="18"/>
                <w:szCs w:val="18"/>
                <w:color w:val="auto"/>
              </w:rPr>
              <w:t>Compensation Plan (2007 Restatement)</w:t>
            </w:r>
          </w:p>
        </w:tc>
        <w:tc>
          <w:tcPr>
            <w:tcW w:w="5300" w:type="dxa"/>
            <w:vAlign w:val="bottom"/>
          </w:tcPr>
          <w:p>
            <w:pPr>
              <w:ind w:left="80"/>
              <w:spacing w:after="0"/>
              <w:rPr>
                <w:sz w:val="20"/>
                <w:szCs w:val="20"/>
                <w:color w:val="auto"/>
              </w:rPr>
            </w:pPr>
            <w:r>
              <w:rPr>
                <w:rFonts w:ascii="Arial" w:cs="Arial" w:eastAsia="Arial" w:hAnsi="Arial"/>
                <w:sz w:val="18"/>
                <w:szCs w:val="18"/>
                <w:color w:val="auto"/>
              </w:rPr>
              <w:t>December 23, 2010, Exhibit 10.1</w:t>
            </w:r>
          </w:p>
        </w:tc>
      </w:tr>
      <w:tr>
        <w:trPr>
          <w:trHeight w:val="377"/>
        </w:trPr>
        <w:tc>
          <w:tcPr>
            <w:tcW w:w="740" w:type="dxa"/>
            <w:vAlign w:val="bottom"/>
          </w:tcPr>
          <w:p>
            <w:pPr>
              <w:ind w:left="40"/>
              <w:spacing w:after="0"/>
              <w:rPr>
                <w:sz w:val="20"/>
                <w:szCs w:val="20"/>
                <w:color w:val="auto"/>
              </w:rPr>
            </w:pPr>
            <w:r>
              <w:rPr>
                <w:rFonts w:ascii="Arial" w:cs="Arial" w:eastAsia="Arial" w:hAnsi="Arial"/>
                <w:sz w:val="18"/>
                <w:szCs w:val="18"/>
                <w:color w:val="auto"/>
              </w:rPr>
              <w:t>10.11*</w:t>
            </w:r>
          </w:p>
        </w:tc>
        <w:tc>
          <w:tcPr>
            <w:tcW w:w="5380" w:type="dxa"/>
            <w:vAlign w:val="bottom"/>
          </w:tcPr>
          <w:p>
            <w:pPr>
              <w:ind w:left="220"/>
              <w:spacing w:after="0"/>
              <w:rPr>
                <w:sz w:val="20"/>
                <w:szCs w:val="20"/>
                <w:color w:val="auto"/>
              </w:rPr>
            </w:pPr>
            <w:r>
              <w:rPr>
                <w:rFonts w:ascii="Arial" w:cs="Arial" w:eastAsia="Arial" w:hAnsi="Arial"/>
                <w:sz w:val="18"/>
                <w:szCs w:val="18"/>
                <w:color w:val="auto"/>
              </w:rPr>
              <w:t>Amendment 2015-1 to the Nordstrom Executive Deferred</w:t>
            </w:r>
          </w:p>
        </w:tc>
        <w:tc>
          <w:tcPr>
            <w:tcW w:w="5300" w:type="dxa"/>
            <w:vAlign w:val="bottom"/>
          </w:tcPr>
          <w:p>
            <w:pPr>
              <w:ind w:left="80"/>
              <w:spacing w:after="0"/>
              <w:rPr>
                <w:sz w:val="20"/>
                <w:szCs w:val="20"/>
                <w:color w:val="auto"/>
              </w:rPr>
            </w:pPr>
            <w:r>
              <w:rPr>
                <w:rFonts w:ascii="Arial" w:cs="Arial" w:eastAsia="Arial" w:hAnsi="Arial"/>
                <w:sz w:val="18"/>
                <w:szCs w:val="18"/>
                <w:color w:val="auto"/>
                <w:w w:val="99"/>
              </w:rPr>
              <w:t>Incorporated by reference from the Registrant’s Annual Report on</w:t>
            </w:r>
          </w:p>
        </w:tc>
      </w:tr>
      <w:tr>
        <w:trPr>
          <w:trHeight w:val="230"/>
        </w:trPr>
        <w:tc>
          <w:tcPr>
            <w:tcW w:w="740" w:type="dxa"/>
            <w:vAlign w:val="bottom"/>
          </w:tcPr>
          <w:p>
            <w:pPr>
              <w:spacing w:after="0"/>
              <w:rPr>
                <w:sz w:val="20"/>
                <w:szCs w:val="20"/>
                <w:color w:val="auto"/>
              </w:rPr>
            </w:pPr>
          </w:p>
        </w:tc>
        <w:tc>
          <w:tcPr>
            <w:tcW w:w="5380" w:type="dxa"/>
            <w:vAlign w:val="bottom"/>
          </w:tcPr>
          <w:p>
            <w:pPr>
              <w:ind w:left="220"/>
              <w:spacing w:after="0"/>
              <w:rPr>
                <w:sz w:val="20"/>
                <w:szCs w:val="20"/>
                <w:color w:val="auto"/>
              </w:rPr>
            </w:pPr>
            <w:r>
              <w:rPr>
                <w:rFonts w:ascii="Arial" w:cs="Arial" w:eastAsia="Arial" w:hAnsi="Arial"/>
                <w:sz w:val="18"/>
                <w:szCs w:val="18"/>
                <w:color w:val="auto"/>
              </w:rPr>
              <w:t>Compensation Plan (2014 Restatement)</w:t>
            </w:r>
          </w:p>
        </w:tc>
        <w:tc>
          <w:tcPr>
            <w:tcW w:w="5300" w:type="dxa"/>
            <w:vAlign w:val="bottom"/>
          </w:tcPr>
          <w:p>
            <w:pPr>
              <w:ind w:left="80"/>
              <w:spacing w:after="0"/>
              <w:rPr>
                <w:sz w:val="20"/>
                <w:szCs w:val="20"/>
                <w:color w:val="auto"/>
              </w:rPr>
            </w:pPr>
            <w:r>
              <w:rPr>
                <w:rFonts w:ascii="Arial" w:cs="Arial" w:eastAsia="Arial" w:hAnsi="Arial"/>
                <w:sz w:val="18"/>
                <w:szCs w:val="18"/>
                <w:color w:val="auto"/>
              </w:rPr>
              <w:t>Form 10-K for the year ended January 31, 2015, Exhibit 10.27</w:t>
            </w:r>
          </w:p>
        </w:tc>
      </w:tr>
      <w:tr>
        <w:trPr>
          <w:trHeight w:val="377"/>
        </w:trPr>
        <w:tc>
          <w:tcPr>
            <w:tcW w:w="740" w:type="dxa"/>
            <w:vAlign w:val="bottom"/>
          </w:tcPr>
          <w:p>
            <w:pPr>
              <w:ind w:left="40"/>
              <w:spacing w:after="0"/>
              <w:rPr>
                <w:sz w:val="20"/>
                <w:szCs w:val="20"/>
                <w:color w:val="auto"/>
              </w:rPr>
            </w:pPr>
            <w:r>
              <w:rPr>
                <w:rFonts w:ascii="Arial" w:cs="Arial" w:eastAsia="Arial" w:hAnsi="Arial"/>
                <w:sz w:val="18"/>
                <w:szCs w:val="18"/>
                <w:color w:val="auto"/>
              </w:rPr>
              <w:t>10.12*</w:t>
            </w:r>
          </w:p>
        </w:tc>
        <w:tc>
          <w:tcPr>
            <w:tcW w:w="5380" w:type="dxa"/>
            <w:vAlign w:val="bottom"/>
          </w:tcPr>
          <w:p>
            <w:pPr>
              <w:ind w:left="220"/>
              <w:spacing w:after="0"/>
              <w:rPr>
                <w:sz w:val="20"/>
                <w:szCs w:val="20"/>
                <w:color w:val="auto"/>
              </w:rPr>
            </w:pPr>
            <w:r>
              <w:rPr>
                <w:rFonts w:ascii="Arial" w:cs="Arial" w:eastAsia="Arial" w:hAnsi="Arial"/>
                <w:sz w:val="18"/>
                <w:szCs w:val="18"/>
                <w:color w:val="auto"/>
                <w:w w:val="94"/>
              </w:rPr>
              <w:t>Amendment 2013-1 to the Nordstrom Executive Compensation Plan</w:t>
            </w:r>
          </w:p>
        </w:tc>
        <w:tc>
          <w:tcPr>
            <w:tcW w:w="5300" w:type="dxa"/>
            <w:vAlign w:val="bottom"/>
          </w:tcPr>
          <w:p>
            <w:pPr>
              <w:ind w:left="80"/>
              <w:spacing w:after="0"/>
              <w:rPr>
                <w:sz w:val="20"/>
                <w:szCs w:val="20"/>
                <w:color w:val="auto"/>
              </w:rPr>
            </w:pPr>
            <w:r>
              <w:rPr>
                <w:rFonts w:ascii="Arial" w:cs="Arial" w:eastAsia="Arial" w:hAnsi="Arial"/>
                <w:sz w:val="18"/>
                <w:szCs w:val="18"/>
                <w:color w:val="auto"/>
                <w:w w:val="96"/>
              </w:rPr>
              <w:t>Incorporated by reference from the Registrant’s Form 8-K/A filed on</w:t>
            </w:r>
          </w:p>
        </w:tc>
      </w:tr>
      <w:tr>
        <w:trPr>
          <w:trHeight w:val="230"/>
        </w:trPr>
        <w:tc>
          <w:tcPr>
            <w:tcW w:w="740" w:type="dxa"/>
            <w:vAlign w:val="bottom"/>
          </w:tcPr>
          <w:p>
            <w:pPr>
              <w:spacing w:after="0"/>
              <w:rPr>
                <w:sz w:val="20"/>
                <w:szCs w:val="20"/>
                <w:color w:val="auto"/>
              </w:rPr>
            </w:pPr>
          </w:p>
        </w:tc>
        <w:tc>
          <w:tcPr>
            <w:tcW w:w="5380" w:type="dxa"/>
            <w:vAlign w:val="bottom"/>
          </w:tcPr>
          <w:p>
            <w:pPr>
              <w:ind w:left="220"/>
              <w:spacing w:after="0"/>
              <w:rPr>
                <w:sz w:val="20"/>
                <w:szCs w:val="20"/>
                <w:color w:val="auto"/>
              </w:rPr>
            </w:pPr>
            <w:r>
              <w:rPr>
                <w:rFonts w:ascii="Arial" w:cs="Arial" w:eastAsia="Arial" w:hAnsi="Arial"/>
                <w:sz w:val="18"/>
                <w:szCs w:val="18"/>
                <w:color w:val="auto"/>
              </w:rPr>
              <w:t>(2007 Restatement)</w:t>
            </w:r>
          </w:p>
        </w:tc>
        <w:tc>
          <w:tcPr>
            <w:tcW w:w="5300" w:type="dxa"/>
            <w:vAlign w:val="bottom"/>
          </w:tcPr>
          <w:p>
            <w:pPr>
              <w:ind w:left="80"/>
              <w:spacing w:after="0"/>
              <w:rPr>
                <w:sz w:val="20"/>
                <w:szCs w:val="20"/>
                <w:color w:val="auto"/>
              </w:rPr>
            </w:pPr>
            <w:r>
              <w:rPr>
                <w:rFonts w:ascii="Arial" w:cs="Arial" w:eastAsia="Arial" w:hAnsi="Arial"/>
                <w:sz w:val="18"/>
                <w:szCs w:val="18"/>
                <w:color w:val="auto"/>
              </w:rPr>
              <w:t>November 26, 2013, Exhibit 10.1</w:t>
            </w:r>
          </w:p>
        </w:tc>
      </w:tr>
      <w:tr>
        <w:trPr>
          <w:trHeight w:val="377"/>
        </w:trPr>
        <w:tc>
          <w:tcPr>
            <w:tcW w:w="740" w:type="dxa"/>
            <w:vAlign w:val="bottom"/>
          </w:tcPr>
          <w:p>
            <w:pPr>
              <w:ind w:left="40"/>
              <w:spacing w:after="0"/>
              <w:rPr>
                <w:sz w:val="20"/>
                <w:szCs w:val="20"/>
                <w:color w:val="auto"/>
              </w:rPr>
            </w:pPr>
            <w:r>
              <w:rPr>
                <w:rFonts w:ascii="Arial" w:cs="Arial" w:eastAsia="Arial" w:hAnsi="Arial"/>
                <w:sz w:val="18"/>
                <w:szCs w:val="18"/>
                <w:color w:val="auto"/>
              </w:rPr>
              <w:t>10.13*</w:t>
            </w:r>
          </w:p>
        </w:tc>
        <w:tc>
          <w:tcPr>
            <w:tcW w:w="5380" w:type="dxa"/>
            <w:vAlign w:val="bottom"/>
          </w:tcPr>
          <w:p>
            <w:pPr>
              <w:ind w:left="220"/>
              <w:spacing w:after="0"/>
              <w:rPr>
                <w:sz w:val="20"/>
                <w:szCs w:val="20"/>
                <w:color w:val="auto"/>
              </w:rPr>
            </w:pPr>
            <w:r>
              <w:rPr>
                <w:rFonts w:ascii="Arial" w:cs="Arial" w:eastAsia="Arial" w:hAnsi="Arial"/>
                <w:sz w:val="18"/>
                <w:szCs w:val="18"/>
                <w:color w:val="auto"/>
                <w:w w:val="94"/>
              </w:rPr>
              <w:t>Nordstrom, Inc. Employee Stock Purchase Plan (2011 Restatement)</w:t>
            </w:r>
          </w:p>
        </w:tc>
        <w:tc>
          <w:tcPr>
            <w:tcW w:w="5300" w:type="dxa"/>
            <w:vAlign w:val="bottom"/>
          </w:tcPr>
          <w:p>
            <w:pPr>
              <w:ind w:left="80"/>
              <w:spacing w:after="0"/>
              <w:rPr>
                <w:sz w:val="20"/>
                <w:szCs w:val="20"/>
                <w:color w:val="auto"/>
              </w:rPr>
            </w:pPr>
            <w:r>
              <w:rPr>
                <w:rFonts w:ascii="Arial" w:cs="Arial" w:eastAsia="Arial" w:hAnsi="Arial"/>
                <w:sz w:val="18"/>
                <w:szCs w:val="18"/>
                <w:color w:val="auto"/>
                <w:w w:val="92"/>
              </w:rPr>
              <w:t>Incorporated by reference to Appendix A to the Registrant’s Form DEF</w:t>
            </w:r>
          </w:p>
        </w:tc>
      </w:tr>
      <w:tr>
        <w:trPr>
          <w:trHeight w:val="230"/>
        </w:trPr>
        <w:tc>
          <w:tcPr>
            <w:tcW w:w="740" w:type="dxa"/>
            <w:vAlign w:val="bottom"/>
          </w:tcPr>
          <w:p>
            <w:pPr>
              <w:spacing w:after="0"/>
              <w:rPr>
                <w:sz w:val="20"/>
                <w:szCs w:val="20"/>
                <w:color w:val="auto"/>
              </w:rPr>
            </w:pPr>
          </w:p>
        </w:tc>
        <w:tc>
          <w:tcPr>
            <w:tcW w:w="5380" w:type="dxa"/>
            <w:vAlign w:val="bottom"/>
          </w:tcPr>
          <w:p>
            <w:pPr>
              <w:spacing w:after="0"/>
              <w:rPr>
                <w:sz w:val="20"/>
                <w:szCs w:val="20"/>
                <w:color w:val="auto"/>
              </w:rPr>
            </w:pPr>
          </w:p>
        </w:tc>
        <w:tc>
          <w:tcPr>
            <w:tcW w:w="5300" w:type="dxa"/>
            <w:vAlign w:val="bottom"/>
          </w:tcPr>
          <w:p>
            <w:pPr>
              <w:ind w:left="80"/>
              <w:spacing w:after="0"/>
              <w:rPr>
                <w:sz w:val="20"/>
                <w:szCs w:val="20"/>
                <w:color w:val="auto"/>
              </w:rPr>
            </w:pPr>
            <w:r>
              <w:rPr>
                <w:rFonts w:ascii="Arial" w:cs="Arial" w:eastAsia="Arial" w:hAnsi="Arial"/>
                <w:sz w:val="18"/>
                <w:szCs w:val="18"/>
                <w:color w:val="auto"/>
              </w:rPr>
              <w:t>14A filed on March 31, 2011</w:t>
            </w:r>
          </w:p>
        </w:tc>
      </w:tr>
      <w:tr>
        <w:trPr>
          <w:trHeight w:val="377"/>
        </w:trPr>
        <w:tc>
          <w:tcPr>
            <w:tcW w:w="740" w:type="dxa"/>
            <w:vAlign w:val="bottom"/>
          </w:tcPr>
          <w:p>
            <w:pPr>
              <w:ind w:left="40"/>
              <w:spacing w:after="0"/>
              <w:rPr>
                <w:sz w:val="20"/>
                <w:szCs w:val="20"/>
                <w:color w:val="auto"/>
              </w:rPr>
            </w:pPr>
            <w:r>
              <w:rPr>
                <w:rFonts w:ascii="Arial" w:cs="Arial" w:eastAsia="Arial" w:hAnsi="Arial"/>
                <w:sz w:val="18"/>
                <w:szCs w:val="18"/>
                <w:color w:val="auto"/>
              </w:rPr>
              <w:t>10.14*</w:t>
            </w:r>
          </w:p>
        </w:tc>
        <w:tc>
          <w:tcPr>
            <w:tcW w:w="5380" w:type="dxa"/>
            <w:vAlign w:val="bottom"/>
          </w:tcPr>
          <w:p>
            <w:pPr>
              <w:ind w:left="220"/>
              <w:spacing w:after="0"/>
              <w:rPr>
                <w:sz w:val="20"/>
                <w:szCs w:val="20"/>
                <w:color w:val="auto"/>
              </w:rPr>
            </w:pPr>
            <w:r>
              <w:rPr>
                <w:rFonts w:ascii="Arial" w:cs="Arial" w:eastAsia="Arial" w:hAnsi="Arial"/>
                <w:sz w:val="18"/>
                <w:szCs w:val="18"/>
                <w:color w:val="auto"/>
                <w:w w:val="90"/>
              </w:rPr>
              <w:t>Nordstrom, Inc. Employee Stock Purchase Plan, amended and restated</w:t>
            </w:r>
          </w:p>
        </w:tc>
        <w:tc>
          <w:tcPr>
            <w:tcW w:w="5300" w:type="dxa"/>
            <w:vAlign w:val="bottom"/>
          </w:tcPr>
          <w:p>
            <w:pPr>
              <w:ind w:left="80"/>
              <w:spacing w:after="0"/>
              <w:rPr>
                <w:sz w:val="20"/>
                <w:szCs w:val="20"/>
                <w:color w:val="auto"/>
              </w:rPr>
            </w:pPr>
            <w:r>
              <w:rPr>
                <w:rFonts w:ascii="Arial" w:cs="Arial" w:eastAsia="Arial" w:hAnsi="Arial"/>
                <w:sz w:val="18"/>
                <w:szCs w:val="18"/>
                <w:color w:val="auto"/>
                <w:w w:val="96"/>
              </w:rPr>
              <w:t>Incorporated by reference from the Registrant’s Quarterly Report on</w:t>
            </w:r>
          </w:p>
        </w:tc>
      </w:tr>
      <w:tr>
        <w:trPr>
          <w:trHeight w:val="230"/>
        </w:trPr>
        <w:tc>
          <w:tcPr>
            <w:tcW w:w="740" w:type="dxa"/>
            <w:vAlign w:val="bottom"/>
          </w:tcPr>
          <w:p>
            <w:pPr>
              <w:spacing w:after="0"/>
              <w:rPr>
                <w:sz w:val="20"/>
                <w:szCs w:val="20"/>
                <w:color w:val="auto"/>
              </w:rPr>
            </w:pPr>
          </w:p>
        </w:tc>
        <w:tc>
          <w:tcPr>
            <w:tcW w:w="5380" w:type="dxa"/>
            <w:vAlign w:val="bottom"/>
          </w:tcPr>
          <w:p>
            <w:pPr>
              <w:ind w:left="220"/>
              <w:spacing w:after="0"/>
              <w:rPr>
                <w:sz w:val="20"/>
                <w:szCs w:val="20"/>
                <w:color w:val="auto"/>
              </w:rPr>
            </w:pPr>
            <w:r>
              <w:rPr>
                <w:rFonts w:ascii="Arial" w:cs="Arial" w:eastAsia="Arial" w:hAnsi="Arial"/>
                <w:sz w:val="18"/>
                <w:szCs w:val="18"/>
                <w:color w:val="auto"/>
              </w:rPr>
              <w:t>on June 1, 2016</w:t>
            </w:r>
          </w:p>
        </w:tc>
        <w:tc>
          <w:tcPr>
            <w:tcW w:w="5300" w:type="dxa"/>
            <w:vAlign w:val="bottom"/>
          </w:tcPr>
          <w:p>
            <w:pPr>
              <w:ind w:left="80"/>
              <w:spacing w:after="0"/>
              <w:rPr>
                <w:sz w:val="20"/>
                <w:szCs w:val="20"/>
                <w:color w:val="auto"/>
              </w:rPr>
            </w:pPr>
            <w:r>
              <w:rPr>
                <w:rFonts w:ascii="Arial" w:cs="Arial" w:eastAsia="Arial" w:hAnsi="Arial"/>
                <w:sz w:val="18"/>
                <w:szCs w:val="18"/>
                <w:color w:val="auto"/>
              </w:rPr>
              <w:t>Form 10-Q for the quarter ended July 30, 2016, Exhibit 10.1</w:t>
            </w:r>
          </w:p>
        </w:tc>
      </w:tr>
      <w:tr>
        <w:trPr>
          <w:trHeight w:val="377"/>
        </w:trPr>
        <w:tc>
          <w:tcPr>
            <w:tcW w:w="740" w:type="dxa"/>
            <w:vAlign w:val="bottom"/>
          </w:tcPr>
          <w:p>
            <w:pPr>
              <w:ind w:left="40"/>
              <w:spacing w:after="0"/>
              <w:rPr>
                <w:sz w:val="20"/>
                <w:szCs w:val="20"/>
                <w:color w:val="auto"/>
              </w:rPr>
            </w:pPr>
            <w:r>
              <w:rPr>
                <w:rFonts w:ascii="Arial" w:cs="Arial" w:eastAsia="Arial" w:hAnsi="Arial"/>
                <w:sz w:val="18"/>
                <w:szCs w:val="18"/>
                <w:color w:val="auto"/>
              </w:rPr>
              <w:t>10.15*</w:t>
            </w:r>
          </w:p>
        </w:tc>
        <w:tc>
          <w:tcPr>
            <w:tcW w:w="5380" w:type="dxa"/>
            <w:vAlign w:val="bottom"/>
          </w:tcPr>
          <w:p>
            <w:pPr>
              <w:ind w:left="220"/>
              <w:spacing w:after="0"/>
              <w:rPr>
                <w:sz w:val="20"/>
                <w:szCs w:val="20"/>
                <w:color w:val="auto"/>
              </w:rPr>
            </w:pPr>
            <w:r>
              <w:rPr>
                <w:rFonts w:ascii="Arial" w:cs="Arial" w:eastAsia="Arial" w:hAnsi="Arial"/>
                <w:sz w:val="18"/>
                <w:szCs w:val="18"/>
                <w:color w:val="auto"/>
              </w:rPr>
              <w:t>Form of Notice of 2005 Stock Option Grant and Stock Option</w:t>
            </w:r>
          </w:p>
        </w:tc>
        <w:tc>
          <w:tcPr>
            <w:tcW w:w="5300" w:type="dxa"/>
            <w:vAlign w:val="bottom"/>
          </w:tcPr>
          <w:p>
            <w:pPr>
              <w:ind w:left="80"/>
              <w:spacing w:after="0"/>
              <w:rPr>
                <w:sz w:val="20"/>
                <w:szCs w:val="20"/>
                <w:color w:val="auto"/>
              </w:rPr>
            </w:pPr>
            <w:r>
              <w:rPr>
                <w:rFonts w:ascii="Arial" w:cs="Arial" w:eastAsia="Arial" w:hAnsi="Arial"/>
                <w:sz w:val="18"/>
                <w:szCs w:val="18"/>
                <w:color w:val="auto"/>
                <w:w w:val="99"/>
              </w:rPr>
              <w:t>Incorporated by reference from the Registrant’s Form 8-K filed on</w:t>
            </w:r>
          </w:p>
        </w:tc>
      </w:tr>
      <w:tr>
        <w:trPr>
          <w:trHeight w:val="230"/>
        </w:trPr>
        <w:tc>
          <w:tcPr>
            <w:tcW w:w="740" w:type="dxa"/>
            <w:vAlign w:val="bottom"/>
          </w:tcPr>
          <w:p>
            <w:pPr>
              <w:spacing w:after="0"/>
              <w:rPr>
                <w:sz w:val="20"/>
                <w:szCs w:val="20"/>
                <w:color w:val="auto"/>
              </w:rPr>
            </w:pPr>
          </w:p>
        </w:tc>
        <w:tc>
          <w:tcPr>
            <w:tcW w:w="5380" w:type="dxa"/>
            <w:vAlign w:val="bottom"/>
          </w:tcPr>
          <w:p>
            <w:pPr>
              <w:ind w:left="220"/>
              <w:spacing w:after="0"/>
              <w:rPr>
                <w:sz w:val="20"/>
                <w:szCs w:val="20"/>
                <w:color w:val="auto"/>
              </w:rPr>
            </w:pPr>
            <w:r>
              <w:rPr>
                <w:rFonts w:ascii="Arial" w:cs="Arial" w:eastAsia="Arial" w:hAnsi="Arial"/>
                <w:sz w:val="18"/>
                <w:szCs w:val="18"/>
                <w:color w:val="auto"/>
                <w:w w:val="99"/>
              </w:rPr>
              <w:t>Agreement under the Nordstrom, Inc. 2004 Equity Incentive Plan</w:t>
            </w:r>
          </w:p>
        </w:tc>
        <w:tc>
          <w:tcPr>
            <w:tcW w:w="5300" w:type="dxa"/>
            <w:vAlign w:val="bottom"/>
          </w:tcPr>
          <w:p>
            <w:pPr>
              <w:ind w:left="80"/>
              <w:spacing w:after="0"/>
              <w:rPr>
                <w:sz w:val="20"/>
                <w:szCs w:val="20"/>
                <w:color w:val="auto"/>
              </w:rPr>
            </w:pPr>
            <w:r>
              <w:rPr>
                <w:rFonts w:ascii="Arial" w:cs="Arial" w:eastAsia="Arial" w:hAnsi="Arial"/>
                <w:sz w:val="18"/>
                <w:szCs w:val="18"/>
                <w:color w:val="auto"/>
              </w:rPr>
              <w:t>March 1, 2005, Exhibit 10.1</w:t>
            </w:r>
          </w:p>
        </w:tc>
      </w:tr>
      <w:tr>
        <w:trPr>
          <w:trHeight w:val="377"/>
        </w:trPr>
        <w:tc>
          <w:tcPr>
            <w:tcW w:w="740" w:type="dxa"/>
            <w:vAlign w:val="bottom"/>
          </w:tcPr>
          <w:p>
            <w:pPr>
              <w:ind w:left="40"/>
              <w:spacing w:after="0"/>
              <w:rPr>
                <w:sz w:val="20"/>
                <w:szCs w:val="20"/>
                <w:color w:val="auto"/>
              </w:rPr>
            </w:pPr>
            <w:r>
              <w:rPr>
                <w:rFonts w:ascii="Arial" w:cs="Arial" w:eastAsia="Arial" w:hAnsi="Arial"/>
                <w:sz w:val="18"/>
                <w:szCs w:val="18"/>
                <w:color w:val="auto"/>
              </w:rPr>
              <w:t>10.16*</w:t>
            </w:r>
          </w:p>
        </w:tc>
        <w:tc>
          <w:tcPr>
            <w:tcW w:w="5380" w:type="dxa"/>
            <w:vAlign w:val="bottom"/>
          </w:tcPr>
          <w:p>
            <w:pPr>
              <w:ind w:left="220"/>
              <w:spacing w:after="0"/>
              <w:rPr>
                <w:sz w:val="20"/>
                <w:szCs w:val="20"/>
                <w:color w:val="auto"/>
              </w:rPr>
            </w:pPr>
            <w:r>
              <w:rPr>
                <w:rFonts w:ascii="Arial" w:cs="Arial" w:eastAsia="Arial" w:hAnsi="Arial"/>
                <w:sz w:val="18"/>
                <w:szCs w:val="18"/>
                <w:color w:val="auto"/>
              </w:rPr>
              <w:t>Form of Notice of 2006 Stock Option Grant and Stock Option</w:t>
            </w:r>
          </w:p>
        </w:tc>
        <w:tc>
          <w:tcPr>
            <w:tcW w:w="5300" w:type="dxa"/>
            <w:vAlign w:val="bottom"/>
          </w:tcPr>
          <w:p>
            <w:pPr>
              <w:ind w:left="80"/>
              <w:spacing w:after="0"/>
              <w:rPr>
                <w:sz w:val="20"/>
                <w:szCs w:val="20"/>
                <w:color w:val="auto"/>
              </w:rPr>
            </w:pPr>
            <w:r>
              <w:rPr>
                <w:rFonts w:ascii="Arial" w:cs="Arial" w:eastAsia="Arial" w:hAnsi="Arial"/>
                <w:sz w:val="18"/>
                <w:szCs w:val="18"/>
                <w:color w:val="auto"/>
                <w:w w:val="99"/>
              </w:rPr>
              <w:t>Incorporated by reference from the Registrant’s Annual Report on</w:t>
            </w:r>
          </w:p>
        </w:tc>
      </w:tr>
      <w:tr>
        <w:trPr>
          <w:trHeight w:val="230"/>
        </w:trPr>
        <w:tc>
          <w:tcPr>
            <w:tcW w:w="740" w:type="dxa"/>
            <w:vAlign w:val="bottom"/>
          </w:tcPr>
          <w:p>
            <w:pPr>
              <w:spacing w:after="0"/>
              <w:rPr>
                <w:sz w:val="20"/>
                <w:szCs w:val="20"/>
                <w:color w:val="auto"/>
              </w:rPr>
            </w:pPr>
          </w:p>
        </w:tc>
        <w:tc>
          <w:tcPr>
            <w:tcW w:w="5380" w:type="dxa"/>
            <w:vAlign w:val="bottom"/>
          </w:tcPr>
          <w:p>
            <w:pPr>
              <w:ind w:left="220"/>
              <w:spacing w:after="0"/>
              <w:rPr>
                <w:sz w:val="20"/>
                <w:szCs w:val="20"/>
                <w:color w:val="auto"/>
              </w:rPr>
            </w:pPr>
            <w:r>
              <w:rPr>
                <w:rFonts w:ascii="Arial" w:cs="Arial" w:eastAsia="Arial" w:hAnsi="Arial"/>
                <w:sz w:val="18"/>
                <w:szCs w:val="18"/>
                <w:color w:val="auto"/>
                <w:w w:val="99"/>
              </w:rPr>
              <w:t>Agreement under the Nordstrom, Inc. 2004 Equity Incentive Plan</w:t>
            </w:r>
          </w:p>
        </w:tc>
        <w:tc>
          <w:tcPr>
            <w:tcW w:w="5300" w:type="dxa"/>
            <w:vAlign w:val="bottom"/>
          </w:tcPr>
          <w:p>
            <w:pPr>
              <w:ind w:left="80"/>
              <w:spacing w:after="0"/>
              <w:rPr>
                <w:sz w:val="20"/>
                <w:szCs w:val="20"/>
                <w:color w:val="auto"/>
              </w:rPr>
            </w:pPr>
            <w:r>
              <w:rPr>
                <w:rFonts w:ascii="Arial" w:cs="Arial" w:eastAsia="Arial" w:hAnsi="Arial"/>
                <w:sz w:val="18"/>
                <w:szCs w:val="18"/>
                <w:color w:val="auto"/>
              </w:rPr>
              <w:t>Form 10-K for the year ended February 2, 2008, Exhibit 10.45</w:t>
            </w:r>
          </w:p>
        </w:tc>
      </w:tr>
      <w:tr>
        <w:trPr>
          <w:trHeight w:val="377"/>
        </w:trPr>
        <w:tc>
          <w:tcPr>
            <w:tcW w:w="740" w:type="dxa"/>
            <w:vAlign w:val="bottom"/>
          </w:tcPr>
          <w:p>
            <w:pPr>
              <w:ind w:left="40"/>
              <w:spacing w:after="0"/>
              <w:rPr>
                <w:sz w:val="20"/>
                <w:szCs w:val="20"/>
                <w:color w:val="auto"/>
              </w:rPr>
            </w:pPr>
            <w:r>
              <w:rPr>
                <w:rFonts w:ascii="Arial" w:cs="Arial" w:eastAsia="Arial" w:hAnsi="Arial"/>
                <w:sz w:val="18"/>
                <w:szCs w:val="18"/>
                <w:color w:val="auto"/>
              </w:rPr>
              <w:t>10.17*</w:t>
            </w:r>
          </w:p>
        </w:tc>
        <w:tc>
          <w:tcPr>
            <w:tcW w:w="5380" w:type="dxa"/>
            <w:vAlign w:val="bottom"/>
          </w:tcPr>
          <w:p>
            <w:pPr>
              <w:ind w:left="220"/>
              <w:spacing w:after="0"/>
              <w:rPr>
                <w:sz w:val="20"/>
                <w:szCs w:val="20"/>
                <w:color w:val="auto"/>
              </w:rPr>
            </w:pPr>
            <w:r>
              <w:rPr>
                <w:rFonts w:ascii="Arial" w:cs="Arial" w:eastAsia="Arial" w:hAnsi="Arial"/>
                <w:sz w:val="18"/>
                <w:szCs w:val="18"/>
                <w:color w:val="auto"/>
              </w:rPr>
              <w:t>2007 Stock Option Notice Award Agreement and Form of Notice</w:t>
            </w:r>
          </w:p>
        </w:tc>
        <w:tc>
          <w:tcPr>
            <w:tcW w:w="5300" w:type="dxa"/>
            <w:vAlign w:val="bottom"/>
          </w:tcPr>
          <w:p>
            <w:pPr>
              <w:ind w:left="80"/>
              <w:spacing w:after="0"/>
              <w:rPr>
                <w:sz w:val="20"/>
                <w:szCs w:val="20"/>
                <w:color w:val="auto"/>
              </w:rPr>
            </w:pPr>
            <w:r>
              <w:rPr>
                <w:rFonts w:ascii="Arial" w:cs="Arial" w:eastAsia="Arial" w:hAnsi="Arial"/>
                <w:sz w:val="18"/>
                <w:szCs w:val="18"/>
                <w:color w:val="auto"/>
                <w:w w:val="99"/>
              </w:rPr>
              <w:t>Incorporated by reference from the Registrant’s Form 8-K filed on</w:t>
            </w:r>
          </w:p>
        </w:tc>
      </w:tr>
      <w:tr>
        <w:trPr>
          <w:trHeight w:val="230"/>
        </w:trPr>
        <w:tc>
          <w:tcPr>
            <w:tcW w:w="740" w:type="dxa"/>
            <w:vAlign w:val="bottom"/>
          </w:tcPr>
          <w:p>
            <w:pPr>
              <w:spacing w:after="0"/>
              <w:rPr>
                <w:sz w:val="20"/>
                <w:szCs w:val="20"/>
                <w:color w:val="auto"/>
              </w:rPr>
            </w:pPr>
          </w:p>
        </w:tc>
        <w:tc>
          <w:tcPr>
            <w:tcW w:w="5380" w:type="dxa"/>
            <w:vAlign w:val="bottom"/>
          </w:tcPr>
          <w:p>
            <w:pPr>
              <w:spacing w:after="0"/>
              <w:rPr>
                <w:sz w:val="20"/>
                <w:szCs w:val="20"/>
                <w:color w:val="auto"/>
              </w:rPr>
            </w:pPr>
          </w:p>
        </w:tc>
        <w:tc>
          <w:tcPr>
            <w:tcW w:w="5300" w:type="dxa"/>
            <w:vAlign w:val="bottom"/>
          </w:tcPr>
          <w:p>
            <w:pPr>
              <w:ind w:left="80"/>
              <w:spacing w:after="0"/>
              <w:rPr>
                <w:sz w:val="20"/>
                <w:szCs w:val="20"/>
                <w:color w:val="auto"/>
              </w:rPr>
            </w:pPr>
            <w:r>
              <w:rPr>
                <w:rFonts w:ascii="Arial" w:cs="Arial" w:eastAsia="Arial" w:hAnsi="Arial"/>
                <w:sz w:val="18"/>
                <w:szCs w:val="18"/>
                <w:color w:val="auto"/>
              </w:rPr>
              <w:t>February 26, 2007, Exhibit 10.1</w:t>
            </w:r>
          </w:p>
        </w:tc>
      </w:tr>
      <w:tr>
        <w:trPr>
          <w:trHeight w:val="377"/>
        </w:trPr>
        <w:tc>
          <w:tcPr>
            <w:tcW w:w="740" w:type="dxa"/>
            <w:vAlign w:val="bottom"/>
          </w:tcPr>
          <w:p>
            <w:pPr>
              <w:ind w:left="40"/>
              <w:spacing w:after="0"/>
              <w:rPr>
                <w:sz w:val="20"/>
                <w:szCs w:val="20"/>
                <w:color w:val="auto"/>
              </w:rPr>
            </w:pPr>
            <w:r>
              <w:rPr>
                <w:rFonts w:ascii="Arial" w:cs="Arial" w:eastAsia="Arial" w:hAnsi="Arial"/>
                <w:sz w:val="18"/>
                <w:szCs w:val="18"/>
                <w:color w:val="auto"/>
              </w:rPr>
              <w:t>10.18*</w:t>
            </w:r>
          </w:p>
        </w:tc>
        <w:tc>
          <w:tcPr>
            <w:tcW w:w="5380" w:type="dxa"/>
            <w:vAlign w:val="bottom"/>
          </w:tcPr>
          <w:p>
            <w:pPr>
              <w:ind w:left="220"/>
              <w:spacing w:after="0"/>
              <w:rPr>
                <w:sz w:val="20"/>
                <w:szCs w:val="20"/>
                <w:color w:val="auto"/>
              </w:rPr>
            </w:pPr>
            <w:r>
              <w:rPr>
                <w:rFonts w:ascii="Arial" w:cs="Arial" w:eastAsia="Arial" w:hAnsi="Arial"/>
                <w:sz w:val="18"/>
                <w:szCs w:val="18"/>
                <w:color w:val="auto"/>
              </w:rPr>
              <w:t>2008 Stock Option Notice Award Agreement and Form of Notice</w:t>
            </w:r>
          </w:p>
        </w:tc>
        <w:tc>
          <w:tcPr>
            <w:tcW w:w="5300" w:type="dxa"/>
            <w:vAlign w:val="bottom"/>
          </w:tcPr>
          <w:p>
            <w:pPr>
              <w:ind w:left="80"/>
              <w:spacing w:after="0"/>
              <w:rPr>
                <w:sz w:val="20"/>
                <w:szCs w:val="20"/>
                <w:color w:val="auto"/>
              </w:rPr>
            </w:pPr>
            <w:r>
              <w:rPr>
                <w:rFonts w:ascii="Arial" w:cs="Arial" w:eastAsia="Arial" w:hAnsi="Arial"/>
                <w:sz w:val="18"/>
                <w:szCs w:val="18"/>
                <w:color w:val="auto"/>
                <w:w w:val="99"/>
              </w:rPr>
              <w:t>Incorporated by reference from the Registrant’s Form 8-K filed on</w:t>
            </w:r>
          </w:p>
        </w:tc>
      </w:tr>
      <w:tr>
        <w:trPr>
          <w:trHeight w:val="230"/>
        </w:trPr>
        <w:tc>
          <w:tcPr>
            <w:tcW w:w="740" w:type="dxa"/>
            <w:vAlign w:val="bottom"/>
          </w:tcPr>
          <w:p>
            <w:pPr>
              <w:spacing w:after="0"/>
              <w:rPr>
                <w:sz w:val="20"/>
                <w:szCs w:val="20"/>
                <w:color w:val="auto"/>
              </w:rPr>
            </w:pPr>
          </w:p>
        </w:tc>
        <w:tc>
          <w:tcPr>
            <w:tcW w:w="5380" w:type="dxa"/>
            <w:vAlign w:val="bottom"/>
          </w:tcPr>
          <w:p>
            <w:pPr>
              <w:spacing w:after="0"/>
              <w:rPr>
                <w:sz w:val="20"/>
                <w:szCs w:val="20"/>
                <w:color w:val="auto"/>
              </w:rPr>
            </w:pPr>
          </w:p>
        </w:tc>
        <w:tc>
          <w:tcPr>
            <w:tcW w:w="5300" w:type="dxa"/>
            <w:vAlign w:val="bottom"/>
          </w:tcPr>
          <w:p>
            <w:pPr>
              <w:ind w:left="80"/>
              <w:spacing w:after="0"/>
              <w:rPr>
                <w:sz w:val="20"/>
                <w:szCs w:val="20"/>
                <w:color w:val="auto"/>
              </w:rPr>
            </w:pPr>
            <w:r>
              <w:rPr>
                <w:rFonts w:ascii="Arial" w:cs="Arial" w:eastAsia="Arial" w:hAnsi="Arial"/>
                <w:sz w:val="18"/>
                <w:szCs w:val="18"/>
                <w:color w:val="auto"/>
              </w:rPr>
              <w:t>February 22, 2008, Exhibit 10.1</w:t>
            </w:r>
          </w:p>
        </w:tc>
      </w:tr>
      <w:tr>
        <w:trPr>
          <w:trHeight w:val="377"/>
        </w:trPr>
        <w:tc>
          <w:tcPr>
            <w:tcW w:w="740" w:type="dxa"/>
            <w:vAlign w:val="bottom"/>
          </w:tcPr>
          <w:p>
            <w:pPr>
              <w:ind w:left="40"/>
              <w:spacing w:after="0"/>
              <w:rPr>
                <w:sz w:val="20"/>
                <w:szCs w:val="20"/>
                <w:color w:val="auto"/>
              </w:rPr>
            </w:pPr>
            <w:r>
              <w:rPr>
                <w:rFonts w:ascii="Arial" w:cs="Arial" w:eastAsia="Arial" w:hAnsi="Arial"/>
                <w:sz w:val="18"/>
                <w:szCs w:val="18"/>
                <w:color w:val="auto"/>
              </w:rPr>
              <w:t>10.19*</w:t>
            </w:r>
          </w:p>
        </w:tc>
        <w:tc>
          <w:tcPr>
            <w:tcW w:w="5380" w:type="dxa"/>
            <w:vAlign w:val="bottom"/>
          </w:tcPr>
          <w:p>
            <w:pPr>
              <w:ind w:left="220"/>
              <w:spacing w:after="0"/>
              <w:rPr>
                <w:sz w:val="20"/>
                <w:szCs w:val="20"/>
                <w:color w:val="auto"/>
              </w:rPr>
            </w:pPr>
            <w:r>
              <w:rPr>
                <w:rFonts w:ascii="Arial" w:cs="Arial" w:eastAsia="Arial" w:hAnsi="Arial"/>
                <w:sz w:val="18"/>
                <w:szCs w:val="18"/>
                <w:color w:val="auto"/>
              </w:rPr>
              <w:t>2009 Nonqualified Stock Option Grant Agreement and Form of</w:t>
            </w:r>
          </w:p>
        </w:tc>
        <w:tc>
          <w:tcPr>
            <w:tcW w:w="5300" w:type="dxa"/>
            <w:vAlign w:val="bottom"/>
          </w:tcPr>
          <w:p>
            <w:pPr>
              <w:ind w:left="80"/>
              <w:spacing w:after="0"/>
              <w:rPr>
                <w:sz w:val="20"/>
                <w:szCs w:val="20"/>
                <w:color w:val="auto"/>
              </w:rPr>
            </w:pPr>
            <w:r>
              <w:rPr>
                <w:rFonts w:ascii="Arial" w:cs="Arial" w:eastAsia="Arial" w:hAnsi="Arial"/>
                <w:sz w:val="18"/>
                <w:szCs w:val="18"/>
                <w:color w:val="auto"/>
                <w:w w:val="99"/>
              </w:rPr>
              <w:t>Incorporated by reference from the Registrant’s Form 8-K filed on</w:t>
            </w:r>
          </w:p>
        </w:tc>
      </w:tr>
      <w:tr>
        <w:trPr>
          <w:trHeight w:val="230"/>
        </w:trPr>
        <w:tc>
          <w:tcPr>
            <w:tcW w:w="740" w:type="dxa"/>
            <w:vAlign w:val="bottom"/>
          </w:tcPr>
          <w:p>
            <w:pPr>
              <w:spacing w:after="0"/>
              <w:rPr>
                <w:sz w:val="20"/>
                <w:szCs w:val="20"/>
                <w:color w:val="auto"/>
              </w:rPr>
            </w:pPr>
          </w:p>
        </w:tc>
        <w:tc>
          <w:tcPr>
            <w:tcW w:w="5380" w:type="dxa"/>
            <w:vAlign w:val="bottom"/>
          </w:tcPr>
          <w:p>
            <w:pPr>
              <w:ind w:left="220"/>
              <w:spacing w:after="0"/>
              <w:rPr>
                <w:sz w:val="20"/>
                <w:szCs w:val="20"/>
                <w:color w:val="auto"/>
              </w:rPr>
            </w:pPr>
            <w:r>
              <w:rPr>
                <w:rFonts w:ascii="Arial" w:cs="Arial" w:eastAsia="Arial" w:hAnsi="Arial"/>
                <w:sz w:val="18"/>
                <w:szCs w:val="18"/>
                <w:color w:val="auto"/>
              </w:rPr>
              <w:t>Notice</w:t>
            </w:r>
          </w:p>
        </w:tc>
        <w:tc>
          <w:tcPr>
            <w:tcW w:w="5300" w:type="dxa"/>
            <w:vAlign w:val="bottom"/>
          </w:tcPr>
          <w:p>
            <w:pPr>
              <w:ind w:left="80"/>
              <w:spacing w:after="0"/>
              <w:rPr>
                <w:sz w:val="20"/>
                <w:szCs w:val="20"/>
                <w:color w:val="auto"/>
              </w:rPr>
            </w:pPr>
            <w:r>
              <w:rPr>
                <w:rFonts w:ascii="Arial" w:cs="Arial" w:eastAsia="Arial" w:hAnsi="Arial"/>
                <w:sz w:val="18"/>
                <w:szCs w:val="18"/>
                <w:color w:val="auto"/>
              </w:rPr>
              <w:t>March 3, 2009, Exhibit 10.2</w:t>
            </w:r>
          </w:p>
        </w:tc>
      </w:tr>
      <w:tr>
        <w:trPr>
          <w:trHeight w:val="377"/>
        </w:trPr>
        <w:tc>
          <w:tcPr>
            <w:tcW w:w="740" w:type="dxa"/>
            <w:vAlign w:val="bottom"/>
          </w:tcPr>
          <w:p>
            <w:pPr>
              <w:ind w:left="40"/>
              <w:spacing w:after="0"/>
              <w:rPr>
                <w:sz w:val="20"/>
                <w:szCs w:val="20"/>
                <w:color w:val="auto"/>
              </w:rPr>
            </w:pPr>
            <w:r>
              <w:rPr>
                <w:rFonts w:ascii="Arial" w:cs="Arial" w:eastAsia="Arial" w:hAnsi="Arial"/>
                <w:sz w:val="18"/>
                <w:szCs w:val="18"/>
                <w:color w:val="auto"/>
              </w:rPr>
              <w:t>10.20*</w:t>
            </w:r>
          </w:p>
        </w:tc>
        <w:tc>
          <w:tcPr>
            <w:tcW w:w="5380" w:type="dxa"/>
            <w:vAlign w:val="bottom"/>
          </w:tcPr>
          <w:p>
            <w:pPr>
              <w:ind w:left="220"/>
              <w:spacing w:after="0"/>
              <w:rPr>
                <w:sz w:val="20"/>
                <w:szCs w:val="20"/>
                <w:color w:val="auto"/>
              </w:rPr>
            </w:pPr>
            <w:r>
              <w:rPr>
                <w:rFonts w:ascii="Arial" w:cs="Arial" w:eastAsia="Arial" w:hAnsi="Arial"/>
                <w:sz w:val="18"/>
                <w:szCs w:val="18"/>
                <w:color w:val="auto"/>
              </w:rPr>
              <w:t>2010 Stock Option Award Agreement</w:t>
            </w:r>
          </w:p>
        </w:tc>
        <w:tc>
          <w:tcPr>
            <w:tcW w:w="5300" w:type="dxa"/>
            <w:vAlign w:val="bottom"/>
          </w:tcPr>
          <w:p>
            <w:pPr>
              <w:ind w:left="80"/>
              <w:spacing w:after="0"/>
              <w:rPr>
                <w:sz w:val="20"/>
                <w:szCs w:val="20"/>
                <w:color w:val="auto"/>
              </w:rPr>
            </w:pPr>
            <w:r>
              <w:rPr>
                <w:rFonts w:ascii="Arial" w:cs="Arial" w:eastAsia="Arial" w:hAnsi="Arial"/>
                <w:sz w:val="18"/>
                <w:szCs w:val="18"/>
                <w:color w:val="auto"/>
                <w:w w:val="99"/>
              </w:rPr>
              <w:t>Incorporated by reference from the Registrant’s Form 8-K filed on</w:t>
            </w:r>
          </w:p>
        </w:tc>
      </w:tr>
      <w:tr>
        <w:trPr>
          <w:trHeight w:val="230"/>
        </w:trPr>
        <w:tc>
          <w:tcPr>
            <w:tcW w:w="740" w:type="dxa"/>
            <w:vAlign w:val="bottom"/>
          </w:tcPr>
          <w:p>
            <w:pPr>
              <w:spacing w:after="0"/>
              <w:rPr>
                <w:sz w:val="20"/>
                <w:szCs w:val="20"/>
                <w:color w:val="auto"/>
              </w:rPr>
            </w:pPr>
          </w:p>
        </w:tc>
        <w:tc>
          <w:tcPr>
            <w:tcW w:w="5380" w:type="dxa"/>
            <w:vAlign w:val="bottom"/>
          </w:tcPr>
          <w:p>
            <w:pPr>
              <w:spacing w:after="0"/>
              <w:rPr>
                <w:sz w:val="20"/>
                <w:szCs w:val="20"/>
                <w:color w:val="auto"/>
              </w:rPr>
            </w:pPr>
          </w:p>
        </w:tc>
        <w:tc>
          <w:tcPr>
            <w:tcW w:w="5300" w:type="dxa"/>
            <w:vAlign w:val="bottom"/>
          </w:tcPr>
          <w:p>
            <w:pPr>
              <w:ind w:left="80"/>
              <w:spacing w:after="0"/>
              <w:rPr>
                <w:sz w:val="20"/>
                <w:szCs w:val="20"/>
                <w:color w:val="auto"/>
              </w:rPr>
            </w:pPr>
            <w:r>
              <w:rPr>
                <w:rFonts w:ascii="Arial" w:cs="Arial" w:eastAsia="Arial" w:hAnsi="Arial"/>
                <w:sz w:val="18"/>
                <w:szCs w:val="18"/>
                <w:color w:val="auto"/>
              </w:rPr>
              <w:t>November 24, 2009, Exhibit 10.1</w:t>
            </w:r>
          </w:p>
        </w:tc>
      </w:tr>
      <w:tr>
        <w:trPr>
          <w:trHeight w:val="377"/>
        </w:trPr>
        <w:tc>
          <w:tcPr>
            <w:tcW w:w="740" w:type="dxa"/>
            <w:vAlign w:val="bottom"/>
          </w:tcPr>
          <w:p>
            <w:pPr>
              <w:ind w:left="40"/>
              <w:spacing w:after="0"/>
              <w:rPr>
                <w:sz w:val="20"/>
                <w:szCs w:val="20"/>
                <w:color w:val="auto"/>
              </w:rPr>
            </w:pPr>
            <w:r>
              <w:rPr>
                <w:rFonts w:ascii="Arial" w:cs="Arial" w:eastAsia="Arial" w:hAnsi="Arial"/>
                <w:sz w:val="18"/>
                <w:szCs w:val="18"/>
                <w:color w:val="auto"/>
              </w:rPr>
              <w:t>10.21*</w:t>
            </w:r>
          </w:p>
        </w:tc>
        <w:tc>
          <w:tcPr>
            <w:tcW w:w="5380" w:type="dxa"/>
            <w:vAlign w:val="bottom"/>
          </w:tcPr>
          <w:p>
            <w:pPr>
              <w:ind w:left="220"/>
              <w:spacing w:after="0"/>
              <w:rPr>
                <w:sz w:val="20"/>
                <w:szCs w:val="20"/>
                <w:color w:val="auto"/>
              </w:rPr>
            </w:pPr>
            <w:r>
              <w:rPr>
                <w:rFonts w:ascii="Arial" w:cs="Arial" w:eastAsia="Arial" w:hAnsi="Arial"/>
                <w:sz w:val="18"/>
                <w:szCs w:val="18"/>
                <w:color w:val="auto"/>
              </w:rPr>
              <w:t>Form of 2011 Stock Option Award Agreement</w:t>
            </w:r>
          </w:p>
        </w:tc>
        <w:tc>
          <w:tcPr>
            <w:tcW w:w="5300" w:type="dxa"/>
            <w:vAlign w:val="bottom"/>
          </w:tcPr>
          <w:p>
            <w:pPr>
              <w:ind w:left="80"/>
              <w:spacing w:after="0"/>
              <w:rPr>
                <w:sz w:val="20"/>
                <w:szCs w:val="20"/>
                <w:color w:val="auto"/>
              </w:rPr>
            </w:pPr>
            <w:r>
              <w:rPr>
                <w:rFonts w:ascii="Arial" w:cs="Arial" w:eastAsia="Arial" w:hAnsi="Arial"/>
                <w:sz w:val="18"/>
                <w:szCs w:val="18"/>
                <w:color w:val="auto"/>
                <w:w w:val="99"/>
              </w:rPr>
              <w:t>Incorporated by reference from the Registrant’s Form 8-K filed on</w:t>
            </w:r>
          </w:p>
        </w:tc>
      </w:tr>
      <w:tr>
        <w:trPr>
          <w:trHeight w:val="230"/>
        </w:trPr>
        <w:tc>
          <w:tcPr>
            <w:tcW w:w="740" w:type="dxa"/>
            <w:vAlign w:val="bottom"/>
          </w:tcPr>
          <w:p>
            <w:pPr>
              <w:spacing w:after="0"/>
              <w:rPr>
                <w:sz w:val="20"/>
                <w:szCs w:val="20"/>
                <w:color w:val="auto"/>
              </w:rPr>
            </w:pPr>
          </w:p>
        </w:tc>
        <w:tc>
          <w:tcPr>
            <w:tcW w:w="5380" w:type="dxa"/>
            <w:vAlign w:val="bottom"/>
          </w:tcPr>
          <w:p>
            <w:pPr>
              <w:spacing w:after="0"/>
              <w:rPr>
                <w:sz w:val="20"/>
                <w:szCs w:val="20"/>
                <w:color w:val="auto"/>
              </w:rPr>
            </w:pPr>
          </w:p>
        </w:tc>
        <w:tc>
          <w:tcPr>
            <w:tcW w:w="5300" w:type="dxa"/>
            <w:vAlign w:val="bottom"/>
          </w:tcPr>
          <w:p>
            <w:pPr>
              <w:ind w:left="80"/>
              <w:spacing w:after="0"/>
              <w:rPr>
                <w:sz w:val="20"/>
                <w:szCs w:val="20"/>
                <w:color w:val="auto"/>
              </w:rPr>
            </w:pPr>
            <w:r>
              <w:rPr>
                <w:rFonts w:ascii="Arial" w:cs="Arial" w:eastAsia="Arial" w:hAnsi="Arial"/>
                <w:sz w:val="18"/>
                <w:szCs w:val="18"/>
                <w:color w:val="auto"/>
              </w:rPr>
              <w:t>November 19, 2010, Exhibit 10.1</w:t>
            </w:r>
          </w:p>
        </w:tc>
      </w:tr>
      <w:tr>
        <w:trPr>
          <w:trHeight w:val="377"/>
        </w:trPr>
        <w:tc>
          <w:tcPr>
            <w:tcW w:w="740" w:type="dxa"/>
            <w:vAlign w:val="bottom"/>
          </w:tcPr>
          <w:p>
            <w:pPr>
              <w:ind w:left="40"/>
              <w:spacing w:after="0"/>
              <w:rPr>
                <w:sz w:val="20"/>
                <w:szCs w:val="20"/>
                <w:color w:val="auto"/>
              </w:rPr>
            </w:pPr>
            <w:r>
              <w:rPr>
                <w:rFonts w:ascii="Arial" w:cs="Arial" w:eastAsia="Arial" w:hAnsi="Arial"/>
                <w:sz w:val="18"/>
                <w:szCs w:val="18"/>
                <w:color w:val="auto"/>
              </w:rPr>
              <w:t>10.22*</w:t>
            </w:r>
          </w:p>
        </w:tc>
        <w:tc>
          <w:tcPr>
            <w:tcW w:w="5380" w:type="dxa"/>
            <w:vAlign w:val="bottom"/>
          </w:tcPr>
          <w:p>
            <w:pPr>
              <w:ind w:left="220"/>
              <w:spacing w:after="0"/>
              <w:rPr>
                <w:sz w:val="20"/>
                <w:szCs w:val="20"/>
                <w:color w:val="auto"/>
              </w:rPr>
            </w:pPr>
            <w:r>
              <w:rPr>
                <w:rFonts w:ascii="Arial" w:cs="Arial" w:eastAsia="Arial" w:hAnsi="Arial"/>
                <w:sz w:val="18"/>
                <w:szCs w:val="18"/>
                <w:color w:val="auto"/>
              </w:rPr>
              <w:t>Form of 2012 Nonqualified Stock Option Grant Agreement</w:t>
            </w:r>
          </w:p>
        </w:tc>
        <w:tc>
          <w:tcPr>
            <w:tcW w:w="5300" w:type="dxa"/>
            <w:vAlign w:val="bottom"/>
          </w:tcPr>
          <w:p>
            <w:pPr>
              <w:ind w:left="80"/>
              <w:spacing w:after="0"/>
              <w:rPr>
                <w:sz w:val="20"/>
                <w:szCs w:val="20"/>
                <w:color w:val="auto"/>
              </w:rPr>
            </w:pPr>
            <w:r>
              <w:rPr>
                <w:rFonts w:ascii="Arial" w:cs="Arial" w:eastAsia="Arial" w:hAnsi="Arial"/>
                <w:sz w:val="18"/>
                <w:szCs w:val="18"/>
                <w:color w:val="auto"/>
                <w:w w:val="99"/>
              </w:rPr>
              <w:t>Incorporated by reference from the Registrant’s Form 8-K filed on</w:t>
            </w:r>
          </w:p>
        </w:tc>
      </w:tr>
      <w:tr>
        <w:trPr>
          <w:trHeight w:val="230"/>
        </w:trPr>
        <w:tc>
          <w:tcPr>
            <w:tcW w:w="740" w:type="dxa"/>
            <w:vAlign w:val="bottom"/>
          </w:tcPr>
          <w:p>
            <w:pPr>
              <w:spacing w:after="0"/>
              <w:rPr>
                <w:sz w:val="20"/>
                <w:szCs w:val="20"/>
                <w:color w:val="auto"/>
              </w:rPr>
            </w:pPr>
          </w:p>
        </w:tc>
        <w:tc>
          <w:tcPr>
            <w:tcW w:w="5380" w:type="dxa"/>
            <w:vAlign w:val="bottom"/>
          </w:tcPr>
          <w:p>
            <w:pPr>
              <w:spacing w:after="0"/>
              <w:rPr>
                <w:sz w:val="20"/>
                <w:szCs w:val="20"/>
                <w:color w:val="auto"/>
              </w:rPr>
            </w:pPr>
          </w:p>
        </w:tc>
        <w:tc>
          <w:tcPr>
            <w:tcW w:w="5300" w:type="dxa"/>
            <w:vAlign w:val="bottom"/>
          </w:tcPr>
          <w:p>
            <w:pPr>
              <w:ind w:left="80"/>
              <w:spacing w:after="0"/>
              <w:rPr>
                <w:sz w:val="20"/>
                <w:szCs w:val="20"/>
                <w:color w:val="auto"/>
              </w:rPr>
            </w:pPr>
            <w:r>
              <w:rPr>
                <w:rFonts w:ascii="Arial" w:cs="Arial" w:eastAsia="Arial" w:hAnsi="Arial"/>
                <w:sz w:val="18"/>
                <w:szCs w:val="18"/>
                <w:color w:val="auto"/>
              </w:rPr>
              <w:t>November 18, 2011, Exhibit 10.1</w:t>
            </w:r>
          </w:p>
        </w:tc>
      </w:tr>
      <w:tr>
        <w:trPr>
          <w:trHeight w:val="377"/>
        </w:trPr>
        <w:tc>
          <w:tcPr>
            <w:tcW w:w="740" w:type="dxa"/>
            <w:vAlign w:val="bottom"/>
          </w:tcPr>
          <w:p>
            <w:pPr>
              <w:ind w:left="40"/>
              <w:spacing w:after="0"/>
              <w:rPr>
                <w:sz w:val="20"/>
                <w:szCs w:val="20"/>
                <w:color w:val="auto"/>
              </w:rPr>
            </w:pPr>
            <w:r>
              <w:rPr>
                <w:rFonts w:ascii="Arial" w:cs="Arial" w:eastAsia="Arial" w:hAnsi="Arial"/>
                <w:sz w:val="18"/>
                <w:szCs w:val="18"/>
                <w:color w:val="auto"/>
              </w:rPr>
              <w:t>10.23*</w:t>
            </w:r>
          </w:p>
        </w:tc>
        <w:tc>
          <w:tcPr>
            <w:tcW w:w="5380" w:type="dxa"/>
            <w:vAlign w:val="bottom"/>
          </w:tcPr>
          <w:p>
            <w:pPr>
              <w:ind w:left="220"/>
              <w:spacing w:after="0"/>
              <w:rPr>
                <w:sz w:val="20"/>
                <w:szCs w:val="20"/>
                <w:color w:val="auto"/>
              </w:rPr>
            </w:pPr>
            <w:r>
              <w:rPr>
                <w:rFonts w:ascii="Arial" w:cs="Arial" w:eastAsia="Arial" w:hAnsi="Arial"/>
                <w:sz w:val="18"/>
                <w:szCs w:val="18"/>
                <w:color w:val="auto"/>
              </w:rPr>
              <w:t>Form of 2013 Nonqualified Stock Option Grant Agreement</w:t>
            </w:r>
          </w:p>
        </w:tc>
        <w:tc>
          <w:tcPr>
            <w:tcW w:w="5300" w:type="dxa"/>
            <w:vAlign w:val="bottom"/>
          </w:tcPr>
          <w:p>
            <w:pPr>
              <w:ind w:left="80"/>
              <w:spacing w:after="0"/>
              <w:rPr>
                <w:sz w:val="20"/>
                <w:szCs w:val="20"/>
                <w:color w:val="auto"/>
              </w:rPr>
            </w:pPr>
            <w:r>
              <w:rPr>
                <w:rFonts w:ascii="Arial" w:cs="Arial" w:eastAsia="Arial" w:hAnsi="Arial"/>
                <w:sz w:val="18"/>
                <w:szCs w:val="18"/>
                <w:color w:val="auto"/>
                <w:w w:val="99"/>
              </w:rPr>
              <w:t>Incorporated by reference from the Registrant’s Form 8-K filed on</w:t>
            </w:r>
          </w:p>
        </w:tc>
      </w:tr>
      <w:tr>
        <w:trPr>
          <w:trHeight w:val="230"/>
        </w:trPr>
        <w:tc>
          <w:tcPr>
            <w:tcW w:w="740" w:type="dxa"/>
            <w:vAlign w:val="bottom"/>
          </w:tcPr>
          <w:p>
            <w:pPr>
              <w:spacing w:after="0"/>
              <w:rPr>
                <w:sz w:val="20"/>
                <w:szCs w:val="20"/>
                <w:color w:val="auto"/>
              </w:rPr>
            </w:pPr>
          </w:p>
        </w:tc>
        <w:tc>
          <w:tcPr>
            <w:tcW w:w="5380" w:type="dxa"/>
            <w:vAlign w:val="bottom"/>
          </w:tcPr>
          <w:p>
            <w:pPr>
              <w:spacing w:after="0"/>
              <w:rPr>
                <w:sz w:val="20"/>
                <w:szCs w:val="20"/>
                <w:color w:val="auto"/>
              </w:rPr>
            </w:pPr>
          </w:p>
        </w:tc>
        <w:tc>
          <w:tcPr>
            <w:tcW w:w="5300" w:type="dxa"/>
            <w:vAlign w:val="bottom"/>
          </w:tcPr>
          <w:p>
            <w:pPr>
              <w:ind w:left="80"/>
              <w:spacing w:after="0"/>
              <w:rPr>
                <w:sz w:val="20"/>
                <w:szCs w:val="20"/>
                <w:color w:val="auto"/>
              </w:rPr>
            </w:pPr>
            <w:r>
              <w:rPr>
                <w:rFonts w:ascii="Arial" w:cs="Arial" w:eastAsia="Arial" w:hAnsi="Arial"/>
                <w:sz w:val="18"/>
                <w:szCs w:val="18"/>
                <w:color w:val="auto"/>
              </w:rPr>
              <w:t>November 14, 2012, Exhibit 10.1</w:t>
            </w:r>
          </w:p>
        </w:tc>
      </w:tr>
      <w:tr>
        <w:trPr>
          <w:trHeight w:val="377"/>
        </w:trPr>
        <w:tc>
          <w:tcPr>
            <w:tcW w:w="740" w:type="dxa"/>
            <w:vAlign w:val="bottom"/>
          </w:tcPr>
          <w:p>
            <w:pPr>
              <w:ind w:left="40"/>
              <w:spacing w:after="0"/>
              <w:rPr>
                <w:sz w:val="20"/>
                <w:szCs w:val="20"/>
                <w:color w:val="auto"/>
              </w:rPr>
            </w:pPr>
            <w:r>
              <w:rPr>
                <w:rFonts w:ascii="Arial" w:cs="Arial" w:eastAsia="Arial" w:hAnsi="Arial"/>
                <w:sz w:val="18"/>
                <w:szCs w:val="18"/>
                <w:color w:val="auto"/>
              </w:rPr>
              <w:t>10.24*</w:t>
            </w:r>
          </w:p>
        </w:tc>
        <w:tc>
          <w:tcPr>
            <w:tcW w:w="5380" w:type="dxa"/>
            <w:vAlign w:val="bottom"/>
          </w:tcPr>
          <w:p>
            <w:pPr>
              <w:ind w:left="220"/>
              <w:spacing w:after="0"/>
              <w:rPr>
                <w:sz w:val="20"/>
                <w:szCs w:val="20"/>
                <w:color w:val="auto"/>
              </w:rPr>
            </w:pPr>
            <w:r>
              <w:rPr>
                <w:rFonts w:ascii="Arial" w:cs="Arial" w:eastAsia="Arial" w:hAnsi="Arial"/>
                <w:sz w:val="18"/>
                <w:szCs w:val="18"/>
                <w:color w:val="auto"/>
              </w:rPr>
              <w:t>Form of 2014 Nonqualified Stock Option Grant Agreement</w:t>
            </w:r>
          </w:p>
        </w:tc>
        <w:tc>
          <w:tcPr>
            <w:tcW w:w="5300" w:type="dxa"/>
            <w:vAlign w:val="bottom"/>
          </w:tcPr>
          <w:p>
            <w:pPr>
              <w:ind w:left="80"/>
              <w:spacing w:after="0"/>
              <w:rPr>
                <w:sz w:val="20"/>
                <w:szCs w:val="20"/>
                <w:color w:val="auto"/>
              </w:rPr>
            </w:pPr>
            <w:r>
              <w:rPr>
                <w:rFonts w:ascii="Arial" w:cs="Arial" w:eastAsia="Arial" w:hAnsi="Arial"/>
                <w:sz w:val="18"/>
                <w:szCs w:val="18"/>
                <w:color w:val="auto"/>
                <w:w w:val="99"/>
              </w:rPr>
              <w:t>Incorporated by reference from the Registrant’s Form 8-K filed on</w:t>
            </w:r>
          </w:p>
        </w:tc>
      </w:tr>
      <w:tr>
        <w:trPr>
          <w:trHeight w:val="230"/>
        </w:trPr>
        <w:tc>
          <w:tcPr>
            <w:tcW w:w="740" w:type="dxa"/>
            <w:vAlign w:val="bottom"/>
          </w:tcPr>
          <w:p>
            <w:pPr>
              <w:spacing w:after="0"/>
              <w:rPr>
                <w:sz w:val="20"/>
                <w:szCs w:val="20"/>
                <w:color w:val="auto"/>
              </w:rPr>
            </w:pPr>
          </w:p>
        </w:tc>
        <w:tc>
          <w:tcPr>
            <w:tcW w:w="5380" w:type="dxa"/>
            <w:vAlign w:val="bottom"/>
          </w:tcPr>
          <w:p>
            <w:pPr>
              <w:spacing w:after="0"/>
              <w:rPr>
                <w:sz w:val="20"/>
                <w:szCs w:val="20"/>
                <w:color w:val="auto"/>
              </w:rPr>
            </w:pPr>
          </w:p>
        </w:tc>
        <w:tc>
          <w:tcPr>
            <w:tcW w:w="5300" w:type="dxa"/>
            <w:vAlign w:val="bottom"/>
          </w:tcPr>
          <w:p>
            <w:pPr>
              <w:ind w:left="80"/>
              <w:spacing w:after="0"/>
              <w:rPr>
                <w:sz w:val="20"/>
                <w:szCs w:val="20"/>
                <w:color w:val="auto"/>
              </w:rPr>
            </w:pPr>
            <w:r>
              <w:rPr>
                <w:rFonts w:ascii="Arial" w:cs="Arial" w:eastAsia="Arial" w:hAnsi="Arial"/>
                <w:sz w:val="18"/>
                <w:szCs w:val="18"/>
                <w:color w:val="auto"/>
              </w:rPr>
              <w:t>March 4, 2014,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9" w:lineRule="exact"/>
        <w:rPr>
          <w:sz w:val="20"/>
          <w:szCs w:val="20"/>
          <w:color w:val="auto"/>
        </w:rPr>
      </w:pPr>
    </w:p>
    <w:p>
      <w:pPr>
        <w:ind w:left="40"/>
        <w:spacing w:after="0"/>
        <w:rPr>
          <w:sz w:val="20"/>
          <w:szCs w:val="20"/>
          <w:color w:val="auto"/>
        </w:rPr>
      </w:pPr>
      <w:r>
        <w:rPr>
          <w:rFonts w:ascii="Arial" w:cs="Arial" w:eastAsia="Arial" w:hAnsi="Arial"/>
          <w:sz w:val="14"/>
          <w:szCs w:val="14"/>
          <w:color w:val="auto"/>
        </w:rPr>
        <w:t>*This exhibit is a management contract, compensatory plan or arrangement</w:t>
      </w:r>
    </w:p>
    <w:p>
      <w:pPr>
        <w:sectPr>
          <w:pgSz w:w="11900" w:h="16838" w:orient="portrait"/>
          <w:cols w:equalWidth="0" w:num="1">
            <w:col w:w="11420"/>
          </w:cols>
          <w:pgMar w:left="240" w:top="126" w:right="239" w:bottom="1440" w:gutter="0" w:footer="0" w:header="0"/>
        </w:sectPr>
      </w:pPr>
    </w:p>
    <w:p>
      <w:pPr>
        <w:spacing w:after="0" w:line="200" w:lineRule="exact"/>
        <w:rPr>
          <w:sz w:val="20"/>
          <w:szCs w:val="20"/>
          <w:color w:val="auto"/>
        </w:rPr>
      </w:pPr>
    </w:p>
    <w:p>
      <w:pPr>
        <w:spacing w:after="0" w:line="229" w:lineRule="exact"/>
        <w:rPr>
          <w:sz w:val="20"/>
          <w:szCs w:val="20"/>
          <w:color w:val="auto"/>
        </w:rPr>
      </w:pPr>
    </w:p>
    <w:p>
      <w:pPr>
        <w:ind w:left="9580"/>
        <w:spacing w:after="0"/>
        <w:rPr>
          <w:sz w:val="20"/>
          <w:szCs w:val="20"/>
          <w:color w:val="auto"/>
        </w:rPr>
      </w:pPr>
      <w:r>
        <w:rPr>
          <w:rFonts w:ascii="Arial" w:cs="Arial" w:eastAsia="Arial" w:hAnsi="Arial"/>
          <w:sz w:val="11"/>
          <w:szCs w:val="11"/>
          <w:color w:val="auto"/>
        </w:rPr>
        <w:t xml:space="preserve">Nordstrom, Inc. and subsidiaries </w:t>
      </w:r>
      <w:r>
        <w:rPr>
          <w:rFonts w:ascii="Arial" w:cs="Arial" w:eastAsia="Arial" w:hAnsi="Arial"/>
          <w:sz w:val="14"/>
          <w:szCs w:val="14"/>
          <w:color w:val="auto"/>
        </w:rPr>
        <w:t>71</w:t>
      </w:r>
    </w:p>
    <w:p>
      <w:pPr>
        <w:sectPr>
          <w:pgSz w:w="11900" w:h="16838" w:orient="portrait"/>
          <w:cols w:equalWidth="0" w:num="1">
            <w:col w:w="11420"/>
          </w:cols>
          <w:pgMar w:left="240" w:top="126" w:right="239" w:bottom="1440" w:gutter="0" w:footer="0" w:header="0"/>
          <w:type w:val="continuous"/>
        </w:sectPr>
      </w:pPr>
    </w:p>
    <w:bookmarkStart w:id="72" w:name="page73"/>
    <w:bookmarkEnd w:id="72"/>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0" w:type="dxa"/>
            <w:vAlign w:val="bottom"/>
          </w:tcPr>
          <w:p>
            <w:pPr>
              <w:spacing w:after="0"/>
              <w:rPr>
                <w:sz w:val="20"/>
                <w:szCs w:val="20"/>
                <w:color w:val="auto"/>
              </w:rPr>
            </w:pPr>
          </w:p>
        </w:tc>
        <w:tc>
          <w:tcPr>
            <w:tcW w:w="5380" w:type="dxa"/>
            <w:vAlign w:val="bottom"/>
          </w:tcPr>
          <w:p>
            <w:pPr>
              <w:ind w:left="2480"/>
              <w:spacing w:after="0"/>
              <w:rPr>
                <w:sz w:val="20"/>
                <w:szCs w:val="20"/>
                <w:color w:val="auto"/>
              </w:rPr>
            </w:pPr>
            <w:r>
              <w:rPr>
                <w:rFonts w:ascii="Arial" w:cs="Arial" w:eastAsia="Arial" w:hAnsi="Arial"/>
                <w:sz w:val="18"/>
                <w:szCs w:val="18"/>
                <w:b w:val="1"/>
                <w:bCs w:val="1"/>
                <w:color w:val="auto"/>
              </w:rPr>
              <w:t>Exhibit</w:t>
            </w:r>
          </w:p>
        </w:tc>
        <w:tc>
          <w:tcPr>
            <w:tcW w:w="5300" w:type="dxa"/>
            <w:vAlign w:val="bottom"/>
          </w:tcPr>
          <w:p>
            <w:pPr>
              <w:ind w:left="2040"/>
              <w:spacing w:after="0"/>
              <w:rPr>
                <w:sz w:val="20"/>
                <w:szCs w:val="20"/>
                <w:color w:val="auto"/>
              </w:rPr>
            </w:pPr>
            <w:r>
              <w:rPr>
                <w:rFonts w:ascii="Arial" w:cs="Arial" w:eastAsia="Arial" w:hAnsi="Arial"/>
                <w:sz w:val="18"/>
                <w:szCs w:val="18"/>
                <w:b w:val="1"/>
                <w:bCs w:val="1"/>
                <w:color w:val="auto"/>
              </w:rPr>
              <w:t>Method of Filing</w:t>
            </w:r>
          </w:p>
        </w:tc>
      </w:tr>
      <w:tr>
        <w:trPr>
          <w:trHeight w:val="27"/>
        </w:trPr>
        <w:tc>
          <w:tcPr>
            <w:tcW w:w="740" w:type="dxa"/>
            <w:vAlign w:val="bottom"/>
            <w:tcBorders>
              <w:bottom w:val="single" w:sz="8" w:color="auto"/>
            </w:tcBorders>
          </w:tcPr>
          <w:p>
            <w:pPr>
              <w:spacing w:after="0"/>
              <w:rPr>
                <w:sz w:val="2"/>
                <w:szCs w:val="2"/>
                <w:color w:val="auto"/>
              </w:rPr>
            </w:pPr>
          </w:p>
        </w:tc>
        <w:tc>
          <w:tcPr>
            <w:tcW w:w="5380" w:type="dxa"/>
            <w:vAlign w:val="bottom"/>
            <w:tcBorders>
              <w:bottom w:val="single" w:sz="8" w:color="auto"/>
            </w:tcBorders>
          </w:tcPr>
          <w:p>
            <w:pPr>
              <w:spacing w:after="0"/>
              <w:rPr>
                <w:sz w:val="2"/>
                <w:szCs w:val="2"/>
                <w:color w:val="auto"/>
              </w:rPr>
            </w:pPr>
          </w:p>
        </w:tc>
        <w:tc>
          <w:tcPr>
            <w:tcW w:w="5300" w:type="dxa"/>
            <w:vAlign w:val="bottom"/>
            <w:tcBorders>
              <w:bottom w:val="single" w:sz="8" w:color="auto"/>
            </w:tcBorders>
          </w:tcPr>
          <w:p>
            <w:pPr>
              <w:spacing w:after="0"/>
              <w:rPr>
                <w:sz w:val="2"/>
                <w:szCs w:val="2"/>
                <w:color w:val="auto"/>
              </w:rPr>
            </w:pPr>
          </w:p>
        </w:tc>
      </w:tr>
      <w:tr>
        <w:trPr>
          <w:trHeight w:val="222"/>
        </w:trPr>
        <w:tc>
          <w:tcPr>
            <w:tcW w:w="740" w:type="dxa"/>
            <w:vAlign w:val="bottom"/>
          </w:tcPr>
          <w:p>
            <w:pPr>
              <w:jc w:val="right"/>
              <w:ind w:right="110"/>
              <w:spacing w:after="0"/>
              <w:rPr>
                <w:sz w:val="20"/>
                <w:szCs w:val="20"/>
                <w:color w:val="auto"/>
              </w:rPr>
            </w:pPr>
            <w:r>
              <w:rPr>
                <w:rFonts w:ascii="Arial" w:cs="Arial" w:eastAsia="Arial" w:hAnsi="Arial"/>
                <w:sz w:val="18"/>
                <w:szCs w:val="18"/>
                <w:color w:val="auto"/>
                <w:w w:val="99"/>
              </w:rPr>
              <w:t>10.25*</w:t>
            </w:r>
          </w:p>
        </w:tc>
        <w:tc>
          <w:tcPr>
            <w:tcW w:w="5380" w:type="dxa"/>
            <w:vAlign w:val="bottom"/>
          </w:tcPr>
          <w:p>
            <w:pPr>
              <w:ind w:left="220"/>
              <w:spacing w:after="0"/>
              <w:rPr>
                <w:sz w:val="20"/>
                <w:szCs w:val="20"/>
                <w:color w:val="auto"/>
              </w:rPr>
            </w:pPr>
            <w:r>
              <w:rPr>
                <w:rFonts w:ascii="Arial" w:cs="Arial" w:eastAsia="Arial" w:hAnsi="Arial"/>
                <w:sz w:val="18"/>
                <w:szCs w:val="18"/>
                <w:color w:val="auto"/>
              </w:rPr>
              <w:t>Form of the 2015 Nonqualified Stock Option Grant Agreement</w:t>
            </w:r>
          </w:p>
        </w:tc>
        <w:tc>
          <w:tcPr>
            <w:tcW w:w="5300" w:type="dxa"/>
            <w:vAlign w:val="bottom"/>
          </w:tcPr>
          <w:p>
            <w:pPr>
              <w:ind w:left="80"/>
              <w:spacing w:after="0"/>
              <w:rPr>
                <w:sz w:val="20"/>
                <w:szCs w:val="20"/>
                <w:color w:val="auto"/>
              </w:rPr>
            </w:pPr>
            <w:r>
              <w:rPr>
                <w:rFonts w:ascii="Arial" w:cs="Arial" w:eastAsia="Arial" w:hAnsi="Arial"/>
                <w:sz w:val="18"/>
                <w:szCs w:val="18"/>
                <w:color w:val="auto"/>
                <w:w w:val="99"/>
              </w:rPr>
              <w:t>Incorporated by reference from the Registrant’s Form 8-K filed on</w:t>
            </w:r>
          </w:p>
        </w:tc>
      </w:tr>
      <w:tr>
        <w:trPr>
          <w:trHeight w:val="230"/>
        </w:trPr>
        <w:tc>
          <w:tcPr>
            <w:tcW w:w="740" w:type="dxa"/>
            <w:vAlign w:val="bottom"/>
          </w:tcPr>
          <w:p>
            <w:pPr>
              <w:spacing w:after="0"/>
              <w:rPr>
                <w:sz w:val="20"/>
                <w:szCs w:val="20"/>
                <w:color w:val="auto"/>
              </w:rPr>
            </w:pPr>
          </w:p>
        </w:tc>
        <w:tc>
          <w:tcPr>
            <w:tcW w:w="5380" w:type="dxa"/>
            <w:vAlign w:val="bottom"/>
          </w:tcPr>
          <w:p>
            <w:pPr>
              <w:spacing w:after="0"/>
              <w:rPr>
                <w:sz w:val="20"/>
                <w:szCs w:val="20"/>
                <w:color w:val="auto"/>
              </w:rPr>
            </w:pPr>
          </w:p>
        </w:tc>
        <w:tc>
          <w:tcPr>
            <w:tcW w:w="5300" w:type="dxa"/>
            <w:vAlign w:val="bottom"/>
          </w:tcPr>
          <w:p>
            <w:pPr>
              <w:ind w:left="80"/>
              <w:spacing w:after="0"/>
              <w:rPr>
                <w:sz w:val="20"/>
                <w:szCs w:val="20"/>
                <w:color w:val="auto"/>
              </w:rPr>
            </w:pPr>
            <w:r>
              <w:rPr>
                <w:rFonts w:ascii="Arial" w:cs="Arial" w:eastAsia="Arial" w:hAnsi="Arial"/>
                <w:sz w:val="18"/>
                <w:szCs w:val="18"/>
                <w:color w:val="auto"/>
              </w:rPr>
              <w:t>February 19, 2015, Exhibit 10.1</w:t>
            </w:r>
          </w:p>
        </w:tc>
      </w:tr>
      <w:tr>
        <w:trPr>
          <w:trHeight w:val="377"/>
        </w:trPr>
        <w:tc>
          <w:tcPr>
            <w:tcW w:w="740" w:type="dxa"/>
            <w:vAlign w:val="bottom"/>
          </w:tcPr>
          <w:p>
            <w:pPr>
              <w:jc w:val="right"/>
              <w:ind w:right="110"/>
              <w:spacing w:after="0"/>
              <w:rPr>
                <w:sz w:val="20"/>
                <w:szCs w:val="20"/>
                <w:color w:val="auto"/>
              </w:rPr>
            </w:pPr>
            <w:r>
              <w:rPr>
                <w:rFonts w:ascii="Arial" w:cs="Arial" w:eastAsia="Arial" w:hAnsi="Arial"/>
                <w:sz w:val="18"/>
                <w:szCs w:val="18"/>
                <w:color w:val="auto"/>
                <w:w w:val="99"/>
              </w:rPr>
              <w:t>10.26*</w:t>
            </w:r>
          </w:p>
        </w:tc>
        <w:tc>
          <w:tcPr>
            <w:tcW w:w="5380" w:type="dxa"/>
            <w:vAlign w:val="bottom"/>
          </w:tcPr>
          <w:p>
            <w:pPr>
              <w:ind w:left="220"/>
              <w:spacing w:after="0"/>
              <w:rPr>
                <w:sz w:val="20"/>
                <w:szCs w:val="20"/>
                <w:color w:val="auto"/>
              </w:rPr>
            </w:pPr>
            <w:r>
              <w:rPr>
                <w:rFonts w:ascii="Arial" w:cs="Arial" w:eastAsia="Arial" w:hAnsi="Arial"/>
                <w:sz w:val="18"/>
                <w:szCs w:val="18"/>
                <w:color w:val="auto"/>
              </w:rPr>
              <w:t>Form of the 2016 Nonqualified Stock Option Grant Agreement</w:t>
            </w:r>
          </w:p>
        </w:tc>
        <w:tc>
          <w:tcPr>
            <w:tcW w:w="5300" w:type="dxa"/>
            <w:vAlign w:val="bottom"/>
          </w:tcPr>
          <w:p>
            <w:pPr>
              <w:ind w:left="80"/>
              <w:spacing w:after="0"/>
              <w:rPr>
                <w:sz w:val="20"/>
                <w:szCs w:val="20"/>
                <w:color w:val="auto"/>
              </w:rPr>
            </w:pPr>
            <w:r>
              <w:rPr>
                <w:rFonts w:ascii="Arial" w:cs="Arial" w:eastAsia="Arial" w:hAnsi="Arial"/>
                <w:sz w:val="18"/>
                <w:szCs w:val="18"/>
                <w:color w:val="auto"/>
                <w:w w:val="99"/>
              </w:rPr>
              <w:t>Incorporated by reference from the Registrant’s Form 8-K filed on</w:t>
            </w:r>
          </w:p>
        </w:tc>
      </w:tr>
      <w:tr>
        <w:trPr>
          <w:trHeight w:val="230"/>
        </w:trPr>
        <w:tc>
          <w:tcPr>
            <w:tcW w:w="740" w:type="dxa"/>
            <w:vAlign w:val="bottom"/>
          </w:tcPr>
          <w:p>
            <w:pPr>
              <w:spacing w:after="0"/>
              <w:rPr>
                <w:sz w:val="20"/>
                <w:szCs w:val="20"/>
                <w:color w:val="auto"/>
              </w:rPr>
            </w:pPr>
          </w:p>
        </w:tc>
        <w:tc>
          <w:tcPr>
            <w:tcW w:w="5380" w:type="dxa"/>
            <w:vAlign w:val="bottom"/>
          </w:tcPr>
          <w:p>
            <w:pPr>
              <w:spacing w:after="0"/>
              <w:rPr>
                <w:sz w:val="20"/>
                <w:szCs w:val="20"/>
                <w:color w:val="auto"/>
              </w:rPr>
            </w:pPr>
          </w:p>
        </w:tc>
        <w:tc>
          <w:tcPr>
            <w:tcW w:w="5300" w:type="dxa"/>
            <w:vAlign w:val="bottom"/>
          </w:tcPr>
          <w:p>
            <w:pPr>
              <w:ind w:left="80"/>
              <w:spacing w:after="0"/>
              <w:rPr>
                <w:sz w:val="20"/>
                <w:szCs w:val="20"/>
                <w:color w:val="auto"/>
              </w:rPr>
            </w:pPr>
            <w:r>
              <w:rPr>
                <w:rFonts w:ascii="Arial" w:cs="Arial" w:eastAsia="Arial" w:hAnsi="Arial"/>
                <w:sz w:val="18"/>
                <w:szCs w:val="18"/>
                <w:color w:val="auto"/>
              </w:rPr>
              <w:t>March 1, 2016, Exhibit 10.1</w:t>
            </w:r>
          </w:p>
        </w:tc>
      </w:tr>
      <w:tr>
        <w:trPr>
          <w:trHeight w:val="377"/>
        </w:trPr>
        <w:tc>
          <w:tcPr>
            <w:tcW w:w="740" w:type="dxa"/>
            <w:vAlign w:val="bottom"/>
          </w:tcPr>
          <w:p>
            <w:pPr>
              <w:jc w:val="right"/>
              <w:ind w:right="110"/>
              <w:spacing w:after="0"/>
              <w:rPr>
                <w:sz w:val="20"/>
                <w:szCs w:val="20"/>
                <w:color w:val="auto"/>
              </w:rPr>
            </w:pPr>
            <w:r>
              <w:rPr>
                <w:rFonts w:ascii="Arial" w:cs="Arial" w:eastAsia="Arial" w:hAnsi="Arial"/>
                <w:sz w:val="18"/>
                <w:szCs w:val="18"/>
                <w:color w:val="auto"/>
                <w:w w:val="99"/>
              </w:rPr>
              <w:t>10.27*</w:t>
            </w:r>
          </w:p>
        </w:tc>
        <w:tc>
          <w:tcPr>
            <w:tcW w:w="5380" w:type="dxa"/>
            <w:vAlign w:val="bottom"/>
          </w:tcPr>
          <w:p>
            <w:pPr>
              <w:ind w:left="220"/>
              <w:spacing w:after="0"/>
              <w:rPr>
                <w:sz w:val="20"/>
                <w:szCs w:val="20"/>
                <w:color w:val="auto"/>
              </w:rPr>
            </w:pPr>
            <w:r>
              <w:rPr>
                <w:rFonts w:ascii="Arial" w:cs="Arial" w:eastAsia="Arial" w:hAnsi="Arial"/>
                <w:sz w:val="18"/>
                <w:szCs w:val="18"/>
                <w:color w:val="auto"/>
              </w:rPr>
              <w:t>Form of 2016 Nonqualified Stock Option Grant Agreement,</w:t>
            </w:r>
          </w:p>
        </w:tc>
        <w:tc>
          <w:tcPr>
            <w:tcW w:w="5300" w:type="dxa"/>
            <w:vAlign w:val="bottom"/>
          </w:tcPr>
          <w:p>
            <w:pPr>
              <w:ind w:left="80"/>
              <w:spacing w:after="0"/>
              <w:rPr>
                <w:sz w:val="20"/>
                <w:szCs w:val="20"/>
                <w:color w:val="auto"/>
              </w:rPr>
            </w:pPr>
            <w:r>
              <w:rPr>
                <w:rFonts w:ascii="Arial" w:cs="Arial" w:eastAsia="Arial" w:hAnsi="Arial"/>
                <w:sz w:val="18"/>
                <w:szCs w:val="18"/>
                <w:color w:val="auto"/>
                <w:w w:val="96"/>
              </w:rPr>
              <w:t>Incorporated by reference from the Registrant’s Quarterly Report on</w:t>
            </w:r>
          </w:p>
        </w:tc>
      </w:tr>
      <w:tr>
        <w:trPr>
          <w:trHeight w:val="230"/>
        </w:trPr>
        <w:tc>
          <w:tcPr>
            <w:tcW w:w="740" w:type="dxa"/>
            <w:vAlign w:val="bottom"/>
          </w:tcPr>
          <w:p>
            <w:pPr>
              <w:spacing w:after="0"/>
              <w:rPr>
                <w:sz w:val="20"/>
                <w:szCs w:val="20"/>
                <w:color w:val="auto"/>
              </w:rPr>
            </w:pPr>
          </w:p>
        </w:tc>
        <w:tc>
          <w:tcPr>
            <w:tcW w:w="5380" w:type="dxa"/>
            <w:vAlign w:val="bottom"/>
          </w:tcPr>
          <w:p>
            <w:pPr>
              <w:ind w:left="220"/>
              <w:spacing w:after="0"/>
              <w:rPr>
                <w:sz w:val="20"/>
                <w:szCs w:val="20"/>
                <w:color w:val="auto"/>
              </w:rPr>
            </w:pPr>
            <w:r>
              <w:rPr>
                <w:rFonts w:ascii="Arial" w:cs="Arial" w:eastAsia="Arial" w:hAnsi="Arial"/>
                <w:sz w:val="18"/>
                <w:szCs w:val="18"/>
                <w:color w:val="auto"/>
              </w:rPr>
              <w:t>Supplemental Award</w:t>
            </w:r>
          </w:p>
        </w:tc>
        <w:tc>
          <w:tcPr>
            <w:tcW w:w="5300" w:type="dxa"/>
            <w:vAlign w:val="bottom"/>
          </w:tcPr>
          <w:p>
            <w:pPr>
              <w:ind w:left="80"/>
              <w:spacing w:after="0"/>
              <w:rPr>
                <w:sz w:val="20"/>
                <w:szCs w:val="20"/>
                <w:color w:val="auto"/>
              </w:rPr>
            </w:pPr>
            <w:r>
              <w:rPr>
                <w:rFonts w:ascii="Arial" w:cs="Arial" w:eastAsia="Arial" w:hAnsi="Arial"/>
                <w:sz w:val="18"/>
                <w:szCs w:val="18"/>
                <w:color w:val="auto"/>
              </w:rPr>
              <w:t>Form 10-Q for the quarter ended July 30, 2016, Exhibit 10.2</w:t>
            </w:r>
          </w:p>
        </w:tc>
      </w:tr>
      <w:tr>
        <w:trPr>
          <w:trHeight w:val="377"/>
        </w:trPr>
        <w:tc>
          <w:tcPr>
            <w:tcW w:w="740" w:type="dxa"/>
            <w:vAlign w:val="bottom"/>
          </w:tcPr>
          <w:p>
            <w:pPr>
              <w:jc w:val="right"/>
              <w:ind w:right="110"/>
              <w:spacing w:after="0"/>
              <w:rPr>
                <w:sz w:val="20"/>
                <w:szCs w:val="20"/>
                <w:color w:val="auto"/>
              </w:rPr>
            </w:pPr>
            <w:r>
              <w:rPr>
                <w:rFonts w:ascii="Arial" w:cs="Arial" w:eastAsia="Arial" w:hAnsi="Arial"/>
                <w:sz w:val="18"/>
                <w:szCs w:val="18"/>
                <w:color w:val="auto"/>
                <w:w w:val="99"/>
              </w:rPr>
              <w:t>10.28*</w:t>
            </w:r>
          </w:p>
        </w:tc>
        <w:tc>
          <w:tcPr>
            <w:tcW w:w="5380" w:type="dxa"/>
            <w:vAlign w:val="bottom"/>
          </w:tcPr>
          <w:p>
            <w:pPr>
              <w:ind w:left="220"/>
              <w:spacing w:after="0"/>
              <w:rPr>
                <w:sz w:val="20"/>
                <w:szCs w:val="20"/>
                <w:color w:val="auto"/>
              </w:rPr>
            </w:pPr>
            <w:r>
              <w:rPr>
                <w:rFonts w:ascii="Arial" w:cs="Arial" w:eastAsia="Arial" w:hAnsi="Arial"/>
                <w:sz w:val="18"/>
                <w:szCs w:val="18"/>
                <w:color w:val="auto"/>
              </w:rPr>
              <w:t>Form of the 2017 Nonqualified Stock Option Grant Agreement</w:t>
            </w:r>
          </w:p>
        </w:tc>
        <w:tc>
          <w:tcPr>
            <w:tcW w:w="5300" w:type="dxa"/>
            <w:vAlign w:val="bottom"/>
          </w:tcPr>
          <w:p>
            <w:pPr>
              <w:ind w:left="80"/>
              <w:spacing w:after="0"/>
              <w:rPr>
                <w:sz w:val="20"/>
                <w:szCs w:val="20"/>
                <w:color w:val="auto"/>
              </w:rPr>
            </w:pPr>
            <w:r>
              <w:rPr>
                <w:rFonts w:ascii="Arial" w:cs="Arial" w:eastAsia="Arial" w:hAnsi="Arial"/>
                <w:sz w:val="18"/>
                <w:szCs w:val="18"/>
                <w:color w:val="auto"/>
                <w:w w:val="99"/>
              </w:rPr>
              <w:t>Incorporated by reference from the Registrant’s Form 8-K filed on</w:t>
            </w:r>
          </w:p>
        </w:tc>
      </w:tr>
      <w:tr>
        <w:trPr>
          <w:trHeight w:val="230"/>
        </w:trPr>
        <w:tc>
          <w:tcPr>
            <w:tcW w:w="740" w:type="dxa"/>
            <w:vAlign w:val="bottom"/>
          </w:tcPr>
          <w:p>
            <w:pPr>
              <w:spacing w:after="0"/>
              <w:rPr>
                <w:sz w:val="20"/>
                <w:szCs w:val="20"/>
                <w:color w:val="auto"/>
              </w:rPr>
            </w:pPr>
          </w:p>
        </w:tc>
        <w:tc>
          <w:tcPr>
            <w:tcW w:w="5380" w:type="dxa"/>
            <w:vAlign w:val="bottom"/>
          </w:tcPr>
          <w:p>
            <w:pPr>
              <w:spacing w:after="0"/>
              <w:rPr>
                <w:sz w:val="20"/>
                <w:szCs w:val="20"/>
                <w:color w:val="auto"/>
              </w:rPr>
            </w:pPr>
          </w:p>
        </w:tc>
        <w:tc>
          <w:tcPr>
            <w:tcW w:w="5300" w:type="dxa"/>
            <w:vAlign w:val="bottom"/>
          </w:tcPr>
          <w:p>
            <w:pPr>
              <w:ind w:left="80"/>
              <w:spacing w:after="0"/>
              <w:rPr>
                <w:sz w:val="20"/>
                <w:szCs w:val="20"/>
                <w:color w:val="auto"/>
              </w:rPr>
            </w:pPr>
            <w:r>
              <w:rPr>
                <w:rFonts w:ascii="Arial" w:cs="Arial" w:eastAsia="Arial" w:hAnsi="Arial"/>
                <w:sz w:val="18"/>
                <w:szCs w:val="18"/>
                <w:color w:val="auto"/>
              </w:rPr>
              <w:t>February 23, 2017, Exhibit 10.1</w:t>
            </w:r>
          </w:p>
        </w:tc>
      </w:tr>
      <w:tr>
        <w:trPr>
          <w:trHeight w:val="377"/>
        </w:trPr>
        <w:tc>
          <w:tcPr>
            <w:tcW w:w="740" w:type="dxa"/>
            <w:vAlign w:val="bottom"/>
          </w:tcPr>
          <w:p>
            <w:pPr>
              <w:jc w:val="right"/>
              <w:ind w:right="110"/>
              <w:spacing w:after="0"/>
              <w:rPr>
                <w:sz w:val="20"/>
                <w:szCs w:val="20"/>
                <w:color w:val="auto"/>
              </w:rPr>
            </w:pPr>
            <w:r>
              <w:rPr>
                <w:rFonts w:ascii="Arial" w:cs="Arial" w:eastAsia="Arial" w:hAnsi="Arial"/>
                <w:sz w:val="18"/>
                <w:szCs w:val="18"/>
                <w:color w:val="auto"/>
                <w:w w:val="99"/>
              </w:rPr>
              <w:t>10.29*</w:t>
            </w:r>
          </w:p>
        </w:tc>
        <w:tc>
          <w:tcPr>
            <w:tcW w:w="5380" w:type="dxa"/>
            <w:vAlign w:val="bottom"/>
          </w:tcPr>
          <w:p>
            <w:pPr>
              <w:ind w:left="220"/>
              <w:spacing w:after="0"/>
              <w:rPr>
                <w:sz w:val="20"/>
                <w:szCs w:val="20"/>
                <w:color w:val="auto"/>
              </w:rPr>
            </w:pPr>
            <w:r>
              <w:rPr>
                <w:rFonts w:ascii="Arial" w:cs="Arial" w:eastAsia="Arial" w:hAnsi="Arial"/>
                <w:sz w:val="18"/>
                <w:szCs w:val="18"/>
                <w:color w:val="auto"/>
              </w:rPr>
              <w:t>2004 Equity Incentive Plan</w:t>
            </w:r>
          </w:p>
        </w:tc>
        <w:tc>
          <w:tcPr>
            <w:tcW w:w="5300" w:type="dxa"/>
            <w:vAlign w:val="bottom"/>
          </w:tcPr>
          <w:p>
            <w:pPr>
              <w:ind w:left="80"/>
              <w:spacing w:after="0"/>
              <w:rPr>
                <w:sz w:val="20"/>
                <w:szCs w:val="20"/>
                <w:color w:val="auto"/>
              </w:rPr>
            </w:pPr>
            <w:r>
              <w:rPr>
                <w:rFonts w:ascii="Arial" w:cs="Arial" w:eastAsia="Arial" w:hAnsi="Arial"/>
                <w:sz w:val="18"/>
                <w:szCs w:val="18"/>
                <w:color w:val="auto"/>
              </w:rPr>
              <w:t>Incorporated by reference from the Registrant’s definitive proxy</w:t>
            </w:r>
          </w:p>
        </w:tc>
      </w:tr>
      <w:tr>
        <w:trPr>
          <w:trHeight w:val="230"/>
        </w:trPr>
        <w:tc>
          <w:tcPr>
            <w:tcW w:w="740" w:type="dxa"/>
            <w:vAlign w:val="bottom"/>
          </w:tcPr>
          <w:p>
            <w:pPr>
              <w:spacing w:after="0"/>
              <w:rPr>
                <w:sz w:val="20"/>
                <w:szCs w:val="20"/>
                <w:color w:val="auto"/>
              </w:rPr>
            </w:pPr>
          </w:p>
        </w:tc>
        <w:tc>
          <w:tcPr>
            <w:tcW w:w="5380" w:type="dxa"/>
            <w:vAlign w:val="bottom"/>
          </w:tcPr>
          <w:p>
            <w:pPr>
              <w:spacing w:after="0"/>
              <w:rPr>
                <w:sz w:val="20"/>
                <w:szCs w:val="20"/>
                <w:color w:val="auto"/>
              </w:rPr>
            </w:pPr>
          </w:p>
        </w:tc>
        <w:tc>
          <w:tcPr>
            <w:tcW w:w="5300" w:type="dxa"/>
            <w:vAlign w:val="bottom"/>
          </w:tcPr>
          <w:p>
            <w:pPr>
              <w:ind w:left="80"/>
              <w:spacing w:after="0"/>
              <w:rPr>
                <w:sz w:val="20"/>
                <w:szCs w:val="20"/>
                <w:color w:val="auto"/>
              </w:rPr>
            </w:pPr>
            <w:r>
              <w:rPr>
                <w:rFonts w:ascii="Arial" w:cs="Arial" w:eastAsia="Arial" w:hAnsi="Arial"/>
                <w:sz w:val="18"/>
                <w:szCs w:val="18"/>
                <w:color w:val="auto"/>
              </w:rPr>
              <w:t>statement filed with the Commission on April 15, 2004</w:t>
            </w:r>
          </w:p>
        </w:tc>
      </w:tr>
      <w:tr>
        <w:trPr>
          <w:trHeight w:val="377"/>
        </w:trPr>
        <w:tc>
          <w:tcPr>
            <w:tcW w:w="740" w:type="dxa"/>
            <w:vAlign w:val="bottom"/>
          </w:tcPr>
          <w:p>
            <w:pPr>
              <w:jc w:val="right"/>
              <w:ind w:right="110"/>
              <w:spacing w:after="0"/>
              <w:rPr>
                <w:sz w:val="20"/>
                <w:szCs w:val="20"/>
                <w:color w:val="auto"/>
              </w:rPr>
            </w:pPr>
            <w:r>
              <w:rPr>
                <w:rFonts w:ascii="Arial" w:cs="Arial" w:eastAsia="Arial" w:hAnsi="Arial"/>
                <w:sz w:val="18"/>
                <w:szCs w:val="18"/>
                <w:color w:val="auto"/>
                <w:w w:val="99"/>
              </w:rPr>
              <w:t>10.30*</w:t>
            </w:r>
          </w:p>
        </w:tc>
        <w:tc>
          <w:tcPr>
            <w:tcW w:w="5380" w:type="dxa"/>
            <w:vAlign w:val="bottom"/>
          </w:tcPr>
          <w:p>
            <w:pPr>
              <w:ind w:left="220"/>
              <w:spacing w:after="0"/>
              <w:rPr>
                <w:sz w:val="20"/>
                <w:szCs w:val="20"/>
                <w:color w:val="auto"/>
              </w:rPr>
            </w:pPr>
            <w:r>
              <w:rPr>
                <w:rFonts w:ascii="Arial" w:cs="Arial" w:eastAsia="Arial" w:hAnsi="Arial"/>
                <w:sz w:val="18"/>
                <w:szCs w:val="18"/>
                <w:color w:val="auto"/>
              </w:rPr>
              <w:t>Nordstrom, Inc. 2004 Equity Incentive Plan (2007 Amendment)</w:t>
            </w:r>
          </w:p>
        </w:tc>
        <w:tc>
          <w:tcPr>
            <w:tcW w:w="5300" w:type="dxa"/>
            <w:vAlign w:val="bottom"/>
          </w:tcPr>
          <w:p>
            <w:pPr>
              <w:ind w:left="80"/>
              <w:spacing w:after="0"/>
              <w:rPr>
                <w:sz w:val="20"/>
                <w:szCs w:val="20"/>
                <w:color w:val="auto"/>
              </w:rPr>
            </w:pPr>
            <w:r>
              <w:rPr>
                <w:rFonts w:ascii="Arial" w:cs="Arial" w:eastAsia="Arial" w:hAnsi="Arial"/>
                <w:sz w:val="18"/>
                <w:szCs w:val="18"/>
                <w:color w:val="auto"/>
                <w:w w:val="99"/>
              </w:rPr>
              <w:t>Incorporated by reference from the Registrant’s Form 8-K filed on</w:t>
            </w:r>
          </w:p>
        </w:tc>
      </w:tr>
      <w:tr>
        <w:trPr>
          <w:trHeight w:val="230"/>
        </w:trPr>
        <w:tc>
          <w:tcPr>
            <w:tcW w:w="740" w:type="dxa"/>
            <w:vAlign w:val="bottom"/>
          </w:tcPr>
          <w:p>
            <w:pPr>
              <w:spacing w:after="0"/>
              <w:rPr>
                <w:sz w:val="20"/>
                <w:szCs w:val="20"/>
                <w:color w:val="auto"/>
              </w:rPr>
            </w:pPr>
          </w:p>
        </w:tc>
        <w:tc>
          <w:tcPr>
            <w:tcW w:w="5380" w:type="dxa"/>
            <w:vAlign w:val="bottom"/>
          </w:tcPr>
          <w:p>
            <w:pPr>
              <w:spacing w:after="0"/>
              <w:rPr>
                <w:sz w:val="20"/>
                <w:szCs w:val="20"/>
                <w:color w:val="auto"/>
              </w:rPr>
            </w:pPr>
          </w:p>
        </w:tc>
        <w:tc>
          <w:tcPr>
            <w:tcW w:w="5300" w:type="dxa"/>
            <w:vAlign w:val="bottom"/>
          </w:tcPr>
          <w:p>
            <w:pPr>
              <w:ind w:left="80"/>
              <w:spacing w:after="0"/>
              <w:rPr>
                <w:sz w:val="20"/>
                <w:szCs w:val="20"/>
                <w:color w:val="auto"/>
              </w:rPr>
            </w:pPr>
            <w:r>
              <w:rPr>
                <w:rFonts w:ascii="Arial" w:cs="Arial" w:eastAsia="Arial" w:hAnsi="Arial"/>
                <w:sz w:val="18"/>
                <w:szCs w:val="18"/>
                <w:color w:val="auto"/>
              </w:rPr>
              <w:t>November 19, 2007, Exhibit 10.44</w:t>
            </w:r>
          </w:p>
        </w:tc>
      </w:tr>
      <w:tr>
        <w:trPr>
          <w:trHeight w:val="377"/>
        </w:trPr>
        <w:tc>
          <w:tcPr>
            <w:tcW w:w="740" w:type="dxa"/>
            <w:vAlign w:val="bottom"/>
          </w:tcPr>
          <w:p>
            <w:pPr>
              <w:jc w:val="right"/>
              <w:ind w:right="110"/>
              <w:spacing w:after="0"/>
              <w:rPr>
                <w:sz w:val="20"/>
                <w:szCs w:val="20"/>
                <w:color w:val="auto"/>
              </w:rPr>
            </w:pPr>
            <w:r>
              <w:rPr>
                <w:rFonts w:ascii="Arial" w:cs="Arial" w:eastAsia="Arial" w:hAnsi="Arial"/>
                <w:sz w:val="18"/>
                <w:szCs w:val="18"/>
                <w:color w:val="auto"/>
                <w:w w:val="99"/>
              </w:rPr>
              <w:t>10.31*</w:t>
            </w:r>
          </w:p>
        </w:tc>
        <w:tc>
          <w:tcPr>
            <w:tcW w:w="5380" w:type="dxa"/>
            <w:vAlign w:val="bottom"/>
          </w:tcPr>
          <w:p>
            <w:pPr>
              <w:ind w:left="220"/>
              <w:spacing w:after="0"/>
              <w:rPr>
                <w:sz w:val="20"/>
                <w:szCs w:val="20"/>
                <w:color w:val="auto"/>
              </w:rPr>
            </w:pPr>
            <w:r>
              <w:rPr>
                <w:rFonts w:ascii="Arial" w:cs="Arial" w:eastAsia="Arial" w:hAnsi="Arial"/>
                <w:sz w:val="18"/>
                <w:szCs w:val="18"/>
                <w:color w:val="auto"/>
              </w:rPr>
              <w:t>Nordstrom, Inc. 2004 Equity Incentive Plan (2008 Amendment)</w:t>
            </w:r>
          </w:p>
        </w:tc>
        <w:tc>
          <w:tcPr>
            <w:tcW w:w="5300" w:type="dxa"/>
            <w:vAlign w:val="bottom"/>
          </w:tcPr>
          <w:p>
            <w:pPr>
              <w:ind w:left="80"/>
              <w:spacing w:after="0"/>
              <w:rPr>
                <w:sz w:val="20"/>
                <w:szCs w:val="20"/>
                <w:color w:val="auto"/>
              </w:rPr>
            </w:pPr>
            <w:r>
              <w:rPr>
                <w:rFonts w:ascii="Arial" w:cs="Arial" w:eastAsia="Arial" w:hAnsi="Arial"/>
                <w:sz w:val="18"/>
                <w:szCs w:val="18"/>
                <w:color w:val="auto"/>
                <w:w w:val="99"/>
              </w:rPr>
              <w:t>Incorporated by reference from the Registrant’s Form 8-K filed on</w:t>
            </w:r>
          </w:p>
        </w:tc>
      </w:tr>
      <w:tr>
        <w:trPr>
          <w:trHeight w:val="230"/>
        </w:trPr>
        <w:tc>
          <w:tcPr>
            <w:tcW w:w="740" w:type="dxa"/>
            <w:vAlign w:val="bottom"/>
          </w:tcPr>
          <w:p>
            <w:pPr>
              <w:spacing w:after="0"/>
              <w:rPr>
                <w:sz w:val="20"/>
                <w:szCs w:val="20"/>
                <w:color w:val="auto"/>
              </w:rPr>
            </w:pPr>
          </w:p>
        </w:tc>
        <w:tc>
          <w:tcPr>
            <w:tcW w:w="5380" w:type="dxa"/>
            <w:vAlign w:val="bottom"/>
          </w:tcPr>
          <w:p>
            <w:pPr>
              <w:spacing w:after="0"/>
              <w:rPr>
                <w:sz w:val="20"/>
                <w:szCs w:val="20"/>
                <w:color w:val="auto"/>
              </w:rPr>
            </w:pPr>
          </w:p>
        </w:tc>
        <w:tc>
          <w:tcPr>
            <w:tcW w:w="5300" w:type="dxa"/>
            <w:vAlign w:val="bottom"/>
          </w:tcPr>
          <w:p>
            <w:pPr>
              <w:ind w:left="80"/>
              <w:spacing w:after="0"/>
              <w:rPr>
                <w:sz w:val="20"/>
                <w:szCs w:val="20"/>
                <w:color w:val="auto"/>
              </w:rPr>
            </w:pPr>
            <w:r>
              <w:rPr>
                <w:rFonts w:ascii="Arial" w:cs="Arial" w:eastAsia="Arial" w:hAnsi="Arial"/>
                <w:sz w:val="18"/>
                <w:szCs w:val="18"/>
                <w:color w:val="auto"/>
              </w:rPr>
              <w:t>November 24, 2008, Exhibit 10.1</w:t>
            </w:r>
          </w:p>
        </w:tc>
      </w:tr>
      <w:tr>
        <w:trPr>
          <w:trHeight w:val="377"/>
        </w:trPr>
        <w:tc>
          <w:tcPr>
            <w:tcW w:w="740" w:type="dxa"/>
            <w:vAlign w:val="bottom"/>
          </w:tcPr>
          <w:p>
            <w:pPr>
              <w:jc w:val="right"/>
              <w:ind w:right="110"/>
              <w:spacing w:after="0"/>
              <w:rPr>
                <w:sz w:val="20"/>
                <w:szCs w:val="20"/>
                <w:color w:val="auto"/>
              </w:rPr>
            </w:pPr>
            <w:r>
              <w:rPr>
                <w:rFonts w:ascii="Arial" w:cs="Arial" w:eastAsia="Arial" w:hAnsi="Arial"/>
                <w:sz w:val="18"/>
                <w:szCs w:val="18"/>
                <w:color w:val="auto"/>
                <w:w w:val="99"/>
              </w:rPr>
              <w:t>10.32*</w:t>
            </w:r>
          </w:p>
        </w:tc>
        <w:tc>
          <w:tcPr>
            <w:tcW w:w="5380" w:type="dxa"/>
            <w:vAlign w:val="bottom"/>
          </w:tcPr>
          <w:p>
            <w:pPr>
              <w:ind w:left="220"/>
              <w:spacing w:after="0"/>
              <w:rPr>
                <w:sz w:val="20"/>
                <w:szCs w:val="20"/>
                <w:color w:val="auto"/>
              </w:rPr>
            </w:pPr>
            <w:r>
              <w:rPr>
                <w:rFonts w:ascii="Arial" w:cs="Arial" w:eastAsia="Arial" w:hAnsi="Arial"/>
                <w:sz w:val="18"/>
                <w:szCs w:val="18"/>
                <w:color w:val="auto"/>
              </w:rPr>
              <w:t>Nordstrom, Inc. 2010 Equity Incentive Plan</w:t>
            </w:r>
          </w:p>
        </w:tc>
        <w:tc>
          <w:tcPr>
            <w:tcW w:w="5300" w:type="dxa"/>
            <w:vAlign w:val="bottom"/>
          </w:tcPr>
          <w:p>
            <w:pPr>
              <w:ind w:left="80"/>
              <w:spacing w:after="0"/>
              <w:rPr>
                <w:sz w:val="20"/>
                <w:szCs w:val="20"/>
                <w:color w:val="auto"/>
              </w:rPr>
            </w:pPr>
            <w:r>
              <w:rPr>
                <w:rFonts w:ascii="Arial" w:cs="Arial" w:eastAsia="Arial" w:hAnsi="Arial"/>
                <w:sz w:val="18"/>
                <w:szCs w:val="18"/>
                <w:color w:val="auto"/>
                <w:w w:val="92"/>
              </w:rPr>
              <w:t>Incorporated by reference to Appendix A to the Registrant’s Form DEF</w:t>
            </w:r>
          </w:p>
        </w:tc>
      </w:tr>
      <w:tr>
        <w:trPr>
          <w:trHeight w:val="230"/>
        </w:trPr>
        <w:tc>
          <w:tcPr>
            <w:tcW w:w="740" w:type="dxa"/>
            <w:vAlign w:val="bottom"/>
          </w:tcPr>
          <w:p>
            <w:pPr>
              <w:spacing w:after="0"/>
              <w:rPr>
                <w:sz w:val="20"/>
                <w:szCs w:val="20"/>
                <w:color w:val="auto"/>
              </w:rPr>
            </w:pPr>
          </w:p>
        </w:tc>
        <w:tc>
          <w:tcPr>
            <w:tcW w:w="5380" w:type="dxa"/>
            <w:vAlign w:val="bottom"/>
          </w:tcPr>
          <w:p>
            <w:pPr>
              <w:spacing w:after="0"/>
              <w:rPr>
                <w:sz w:val="20"/>
                <w:szCs w:val="20"/>
                <w:color w:val="auto"/>
              </w:rPr>
            </w:pPr>
          </w:p>
        </w:tc>
        <w:tc>
          <w:tcPr>
            <w:tcW w:w="5300" w:type="dxa"/>
            <w:vAlign w:val="bottom"/>
          </w:tcPr>
          <w:p>
            <w:pPr>
              <w:ind w:left="80"/>
              <w:spacing w:after="0"/>
              <w:rPr>
                <w:sz w:val="20"/>
                <w:szCs w:val="20"/>
                <w:color w:val="auto"/>
              </w:rPr>
            </w:pPr>
            <w:r>
              <w:rPr>
                <w:rFonts w:ascii="Arial" w:cs="Arial" w:eastAsia="Arial" w:hAnsi="Arial"/>
                <w:sz w:val="18"/>
                <w:szCs w:val="18"/>
                <w:color w:val="auto"/>
              </w:rPr>
              <w:t>14A filed on April 8, 2010</w:t>
            </w:r>
          </w:p>
        </w:tc>
      </w:tr>
      <w:tr>
        <w:trPr>
          <w:trHeight w:val="377"/>
        </w:trPr>
        <w:tc>
          <w:tcPr>
            <w:tcW w:w="740" w:type="dxa"/>
            <w:vAlign w:val="bottom"/>
          </w:tcPr>
          <w:p>
            <w:pPr>
              <w:jc w:val="right"/>
              <w:ind w:right="110"/>
              <w:spacing w:after="0"/>
              <w:rPr>
                <w:sz w:val="20"/>
                <w:szCs w:val="20"/>
                <w:color w:val="auto"/>
              </w:rPr>
            </w:pPr>
            <w:r>
              <w:rPr>
                <w:rFonts w:ascii="Arial" w:cs="Arial" w:eastAsia="Arial" w:hAnsi="Arial"/>
                <w:sz w:val="18"/>
                <w:szCs w:val="18"/>
                <w:color w:val="auto"/>
                <w:w w:val="99"/>
              </w:rPr>
              <w:t>10.33*</w:t>
            </w:r>
          </w:p>
        </w:tc>
        <w:tc>
          <w:tcPr>
            <w:tcW w:w="5380" w:type="dxa"/>
            <w:vAlign w:val="bottom"/>
          </w:tcPr>
          <w:p>
            <w:pPr>
              <w:ind w:left="220"/>
              <w:spacing w:after="0"/>
              <w:rPr>
                <w:sz w:val="20"/>
                <w:szCs w:val="20"/>
                <w:color w:val="auto"/>
              </w:rPr>
            </w:pPr>
            <w:r>
              <w:rPr>
                <w:rFonts w:ascii="Arial" w:cs="Arial" w:eastAsia="Arial" w:hAnsi="Arial"/>
                <w:sz w:val="18"/>
                <w:szCs w:val="18"/>
                <w:color w:val="auto"/>
                <w:w w:val="93"/>
              </w:rPr>
              <w:t>Nordstrom, Inc. 2010 Equity Incentive Plan as amended February 27,</w:t>
            </w:r>
          </w:p>
        </w:tc>
        <w:tc>
          <w:tcPr>
            <w:tcW w:w="5300" w:type="dxa"/>
            <w:vAlign w:val="bottom"/>
          </w:tcPr>
          <w:p>
            <w:pPr>
              <w:ind w:left="80"/>
              <w:spacing w:after="0"/>
              <w:rPr>
                <w:sz w:val="20"/>
                <w:szCs w:val="20"/>
                <w:color w:val="auto"/>
              </w:rPr>
            </w:pPr>
            <w:r>
              <w:rPr>
                <w:rFonts w:ascii="Arial" w:cs="Arial" w:eastAsia="Arial" w:hAnsi="Arial"/>
                <w:sz w:val="18"/>
                <w:szCs w:val="18"/>
                <w:color w:val="auto"/>
                <w:w w:val="92"/>
              </w:rPr>
              <w:t>Incorporated by reference to Appendix A to the Registrant’s Form DEF</w:t>
            </w:r>
          </w:p>
        </w:tc>
      </w:tr>
      <w:tr>
        <w:trPr>
          <w:trHeight w:val="230"/>
        </w:trPr>
        <w:tc>
          <w:tcPr>
            <w:tcW w:w="740" w:type="dxa"/>
            <w:vAlign w:val="bottom"/>
          </w:tcPr>
          <w:p>
            <w:pPr>
              <w:spacing w:after="0"/>
              <w:rPr>
                <w:sz w:val="20"/>
                <w:szCs w:val="20"/>
                <w:color w:val="auto"/>
              </w:rPr>
            </w:pPr>
          </w:p>
        </w:tc>
        <w:tc>
          <w:tcPr>
            <w:tcW w:w="5380" w:type="dxa"/>
            <w:vAlign w:val="bottom"/>
          </w:tcPr>
          <w:p>
            <w:pPr>
              <w:ind w:left="220"/>
              <w:spacing w:after="0"/>
              <w:rPr>
                <w:sz w:val="20"/>
                <w:szCs w:val="20"/>
                <w:color w:val="auto"/>
              </w:rPr>
            </w:pPr>
            <w:r>
              <w:rPr>
                <w:rFonts w:ascii="Arial" w:cs="Arial" w:eastAsia="Arial" w:hAnsi="Arial"/>
                <w:sz w:val="18"/>
                <w:szCs w:val="18"/>
                <w:color w:val="auto"/>
              </w:rPr>
              <w:t>2013</w:t>
            </w:r>
          </w:p>
        </w:tc>
        <w:tc>
          <w:tcPr>
            <w:tcW w:w="5300" w:type="dxa"/>
            <w:vAlign w:val="bottom"/>
          </w:tcPr>
          <w:p>
            <w:pPr>
              <w:ind w:left="80"/>
              <w:spacing w:after="0"/>
              <w:rPr>
                <w:sz w:val="20"/>
                <w:szCs w:val="20"/>
                <w:color w:val="auto"/>
              </w:rPr>
            </w:pPr>
            <w:r>
              <w:rPr>
                <w:rFonts w:ascii="Arial" w:cs="Arial" w:eastAsia="Arial" w:hAnsi="Arial"/>
                <w:sz w:val="18"/>
                <w:szCs w:val="18"/>
                <w:color w:val="auto"/>
              </w:rPr>
              <w:t>14A filed on April 1, 2013</w:t>
            </w:r>
          </w:p>
        </w:tc>
      </w:tr>
      <w:tr>
        <w:trPr>
          <w:trHeight w:val="377"/>
        </w:trPr>
        <w:tc>
          <w:tcPr>
            <w:tcW w:w="740" w:type="dxa"/>
            <w:vAlign w:val="bottom"/>
          </w:tcPr>
          <w:p>
            <w:pPr>
              <w:jc w:val="right"/>
              <w:ind w:right="110"/>
              <w:spacing w:after="0"/>
              <w:rPr>
                <w:sz w:val="20"/>
                <w:szCs w:val="20"/>
                <w:color w:val="auto"/>
              </w:rPr>
            </w:pPr>
            <w:r>
              <w:rPr>
                <w:rFonts w:ascii="Arial" w:cs="Arial" w:eastAsia="Arial" w:hAnsi="Arial"/>
                <w:sz w:val="18"/>
                <w:szCs w:val="18"/>
                <w:color w:val="auto"/>
                <w:w w:val="99"/>
              </w:rPr>
              <w:t>10.34*</w:t>
            </w:r>
          </w:p>
        </w:tc>
        <w:tc>
          <w:tcPr>
            <w:tcW w:w="5380" w:type="dxa"/>
            <w:vAlign w:val="bottom"/>
          </w:tcPr>
          <w:p>
            <w:pPr>
              <w:ind w:left="220"/>
              <w:spacing w:after="0"/>
              <w:rPr>
                <w:sz w:val="20"/>
                <w:szCs w:val="20"/>
                <w:color w:val="auto"/>
              </w:rPr>
            </w:pPr>
            <w:r>
              <w:rPr>
                <w:rFonts w:ascii="Arial" w:cs="Arial" w:eastAsia="Arial" w:hAnsi="Arial"/>
                <w:sz w:val="18"/>
                <w:szCs w:val="18"/>
                <w:color w:val="auto"/>
                <w:w w:val="93"/>
              </w:rPr>
              <w:t>Nordstrom, Inc. 2010 Equity Incentive Plan as amended and restated</w:t>
            </w:r>
          </w:p>
        </w:tc>
        <w:tc>
          <w:tcPr>
            <w:tcW w:w="5300" w:type="dxa"/>
            <w:vAlign w:val="bottom"/>
          </w:tcPr>
          <w:p>
            <w:pPr>
              <w:ind w:left="80"/>
              <w:spacing w:after="0"/>
              <w:rPr>
                <w:sz w:val="20"/>
                <w:szCs w:val="20"/>
                <w:color w:val="auto"/>
              </w:rPr>
            </w:pPr>
            <w:r>
              <w:rPr>
                <w:rFonts w:ascii="Arial" w:cs="Arial" w:eastAsia="Arial" w:hAnsi="Arial"/>
                <w:sz w:val="18"/>
                <w:szCs w:val="18"/>
                <w:color w:val="auto"/>
                <w:w w:val="99"/>
              </w:rPr>
              <w:t>Incorporated by reference from the Registrant’s Form 8-K filed on</w:t>
            </w:r>
          </w:p>
        </w:tc>
      </w:tr>
      <w:tr>
        <w:trPr>
          <w:trHeight w:val="230"/>
        </w:trPr>
        <w:tc>
          <w:tcPr>
            <w:tcW w:w="740" w:type="dxa"/>
            <w:vAlign w:val="bottom"/>
          </w:tcPr>
          <w:p>
            <w:pPr>
              <w:spacing w:after="0"/>
              <w:rPr>
                <w:sz w:val="20"/>
                <w:szCs w:val="20"/>
                <w:color w:val="auto"/>
              </w:rPr>
            </w:pPr>
          </w:p>
        </w:tc>
        <w:tc>
          <w:tcPr>
            <w:tcW w:w="5380" w:type="dxa"/>
            <w:vAlign w:val="bottom"/>
          </w:tcPr>
          <w:p>
            <w:pPr>
              <w:ind w:left="220"/>
              <w:spacing w:after="0"/>
              <w:rPr>
                <w:sz w:val="20"/>
                <w:szCs w:val="20"/>
                <w:color w:val="auto"/>
              </w:rPr>
            </w:pPr>
            <w:r>
              <w:rPr>
                <w:rFonts w:ascii="Arial" w:cs="Arial" w:eastAsia="Arial" w:hAnsi="Arial"/>
                <w:sz w:val="18"/>
                <w:szCs w:val="18"/>
                <w:color w:val="auto"/>
              </w:rPr>
              <w:t>February 26, 2014</w:t>
            </w:r>
          </w:p>
        </w:tc>
        <w:tc>
          <w:tcPr>
            <w:tcW w:w="5300" w:type="dxa"/>
            <w:vAlign w:val="bottom"/>
          </w:tcPr>
          <w:p>
            <w:pPr>
              <w:ind w:left="80"/>
              <w:spacing w:after="0"/>
              <w:rPr>
                <w:sz w:val="20"/>
                <w:szCs w:val="20"/>
                <w:color w:val="auto"/>
              </w:rPr>
            </w:pPr>
            <w:r>
              <w:rPr>
                <w:rFonts w:ascii="Arial" w:cs="Arial" w:eastAsia="Arial" w:hAnsi="Arial"/>
                <w:sz w:val="18"/>
                <w:szCs w:val="18"/>
                <w:color w:val="auto"/>
              </w:rPr>
              <w:t>March 4, 2014, Exhibit 10.4</w:t>
            </w:r>
          </w:p>
        </w:tc>
      </w:tr>
      <w:tr>
        <w:trPr>
          <w:trHeight w:val="377"/>
        </w:trPr>
        <w:tc>
          <w:tcPr>
            <w:tcW w:w="740" w:type="dxa"/>
            <w:vAlign w:val="bottom"/>
          </w:tcPr>
          <w:p>
            <w:pPr>
              <w:jc w:val="right"/>
              <w:ind w:right="110"/>
              <w:spacing w:after="0"/>
              <w:rPr>
                <w:sz w:val="20"/>
                <w:szCs w:val="20"/>
                <w:color w:val="auto"/>
              </w:rPr>
            </w:pPr>
            <w:r>
              <w:rPr>
                <w:rFonts w:ascii="Arial" w:cs="Arial" w:eastAsia="Arial" w:hAnsi="Arial"/>
                <w:sz w:val="18"/>
                <w:szCs w:val="18"/>
                <w:color w:val="auto"/>
                <w:w w:val="99"/>
              </w:rPr>
              <w:t>10.35*</w:t>
            </w:r>
          </w:p>
        </w:tc>
        <w:tc>
          <w:tcPr>
            <w:tcW w:w="5380" w:type="dxa"/>
            <w:vAlign w:val="bottom"/>
          </w:tcPr>
          <w:p>
            <w:pPr>
              <w:ind w:left="220"/>
              <w:spacing w:after="0"/>
              <w:rPr>
                <w:sz w:val="20"/>
                <w:szCs w:val="20"/>
                <w:color w:val="auto"/>
              </w:rPr>
            </w:pPr>
            <w:r>
              <w:rPr>
                <w:rFonts w:ascii="Arial" w:cs="Arial" w:eastAsia="Arial" w:hAnsi="Arial"/>
                <w:sz w:val="18"/>
                <w:szCs w:val="18"/>
                <w:color w:val="auto"/>
                <w:w w:val="92"/>
              </w:rPr>
              <w:t>Nordstrom, Inc. Leadership Separation Plan (Effective March 1, 2005)</w:t>
            </w:r>
          </w:p>
        </w:tc>
        <w:tc>
          <w:tcPr>
            <w:tcW w:w="5300" w:type="dxa"/>
            <w:vAlign w:val="bottom"/>
          </w:tcPr>
          <w:p>
            <w:pPr>
              <w:ind w:left="80"/>
              <w:spacing w:after="0"/>
              <w:rPr>
                <w:sz w:val="20"/>
                <w:szCs w:val="20"/>
                <w:color w:val="auto"/>
              </w:rPr>
            </w:pPr>
            <w:r>
              <w:rPr>
                <w:rFonts w:ascii="Arial" w:cs="Arial" w:eastAsia="Arial" w:hAnsi="Arial"/>
                <w:sz w:val="18"/>
                <w:szCs w:val="18"/>
                <w:color w:val="auto"/>
                <w:w w:val="99"/>
              </w:rPr>
              <w:t>Incorporated by reference from the Registrant’s Annual Report on</w:t>
            </w:r>
          </w:p>
        </w:tc>
      </w:tr>
      <w:tr>
        <w:trPr>
          <w:trHeight w:val="230"/>
        </w:trPr>
        <w:tc>
          <w:tcPr>
            <w:tcW w:w="740" w:type="dxa"/>
            <w:vAlign w:val="bottom"/>
          </w:tcPr>
          <w:p>
            <w:pPr>
              <w:spacing w:after="0"/>
              <w:rPr>
                <w:sz w:val="20"/>
                <w:szCs w:val="20"/>
                <w:color w:val="auto"/>
              </w:rPr>
            </w:pPr>
          </w:p>
        </w:tc>
        <w:tc>
          <w:tcPr>
            <w:tcW w:w="5380" w:type="dxa"/>
            <w:vAlign w:val="bottom"/>
          </w:tcPr>
          <w:p>
            <w:pPr>
              <w:spacing w:after="0"/>
              <w:rPr>
                <w:sz w:val="20"/>
                <w:szCs w:val="20"/>
                <w:color w:val="auto"/>
              </w:rPr>
            </w:pPr>
          </w:p>
        </w:tc>
        <w:tc>
          <w:tcPr>
            <w:tcW w:w="5300" w:type="dxa"/>
            <w:vAlign w:val="bottom"/>
          </w:tcPr>
          <w:p>
            <w:pPr>
              <w:ind w:left="80"/>
              <w:spacing w:after="0"/>
              <w:rPr>
                <w:sz w:val="20"/>
                <w:szCs w:val="20"/>
                <w:color w:val="auto"/>
              </w:rPr>
            </w:pPr>
            <w:r>
              <w:rPr>
                <w:rFonts w:ascii="Arial" w:cs="Arial" w:eastAsia="Arial" w:hAnsi="Arial"/>
                <w:sz w:val="18"/>
                <w:szCs w:val="18"/>
                <w:color w:val="auto"/>
              </w:rPr>
              <w:t>Form 10-K for the year ended January 29, 2005, Exhibit 10.43</w:t>
            </w:r>
          </w:p>
        </w:tc>
      </w:tr>
      <w:tr>
        <w:trPr>
          <w:trHeight w:val="377"/>
        </w:trPr>
        <w:tc>
          <w:tcPr>
            <w:tcW w:w="740" w:type="dxa"/>
            <w:vAlign w:val="bottom"/>
          </w:tcPr>
          <w:p>
            <w:pPr>
              <w:jc w:val="right"/>
              <w:ind w:right="110"/>
              <w:spacing w:after="0"/>
              <w:rPr>
                <w:sz w:val="20"/>
                <w:szCs w:val="20"/>
                <w:color w:val="auto"/>
              </w:rPr>
            </w:pPr>
            <w:r>
              <w:rPr>
                <w:rFonts w:ascii="Arial" w:cs="Arial" w:eastAsia="Arial" w:hAnsi="Arial"/>
                <w:sz w:val="18"/>
                <w:szCs w:val="18"/>
                <w:color w:val="auto"/>
                <w:w w:val="99"/>
              </w:rPr>
              <w:t>10.36*</w:t>
            </w:r>
          </w:p>
        </w:tc>
        <w:tc>
          <w:tcPr>
            <w:tcW w:w="5380" w:type="dxa"/>
            <w:vAlign w:val="bottom"/>
          </w:tcPr>
          <w:p>
            <w:pPr>
              <w:ind w:left="220"/>
              <w:spacing w:after="0"/>
              <w:rPr>
                <w:sz w:val="20"/>
                <w:szCs w:val="20"/>
                <w:color w:val="auto"/>
              </w:rPr>
            </w:pPr>
            <w:r>
              <w:rPr>
                <w:rFonts w:ascii="Arial" w:cs="Arial" w:eastAsia="Arial" w:hAnsi="Arial"/>
                <w:sz w:val="18"/>
                <w:szCs w:val="18"/>
                <w:color w:val="auto"/>
                <w:w w:val="98"/>
              </w:rPr>
              <w:t>Amendment 2006-1 to the Nordstrom, Inc. Leadership Separation</w:t>
            </w:r>
          </w:p>
        </w:tc>
        <w:tc>
          <w:tcPr>
            <w:tcW w:w="5300" w:type="dxa"/>
            <w:vAlign w:val="bottom"/>
          </w:tcPr>
          <w:p>
            <w:pPr>
              <w:ind w:left="80"/>
              <w:spacing w:after="0"/>
              <w:rPr>
                <w:sz w:val="20"/>
                <w:szCs w:val="20"/>
                <w:color w:val="auto"/>
              </w:rPr>
            </w:pPr>
            <w:r>
              <w:rPr>
                <w:rFonts w:ascii="Arial" w:cs="Arial" w:eastAsia="Arial" w:hAnsi="Arial"/>
                <w:sz w:val="18"/>
                <w:szCs w:val="18"/>
                <w:color w:val="auto"/>
                <w:w w:val="99"/>
              </w:rPr>
              <w:t>Incorporated by reference from the Registrant’s Annual Report on</w:t>
            </w:r>
          </w:p>
        </w:tc>
      </w:tr>
      <w:tr>
        <w:trPr>
          <w:trHeight w:val="230"/>
        </w:trPr>
        <w:tc>
          <w:tcPr>
            <w:tcW w:w="740" w:type="dxa"/>
            <w:vAlign w:val="bottom"/>
          </w:tcPr>
          <w:p>
            <w:pPr>
              <w:spacing w:after="0"/>
              <w:rPr>
                <w:sz w:val="20"/>
                <w:szCs w:val="20"/>
                <w:color w:val="auto"/>
              </w:rPr>
            </w:pPr>
          </w:p>
        </w:tc>
        <w:tc>
          <w:tcPr>
            <w:tcW w:w="5380" w:type="dxa"/>
            <w:vAlign w:val="bottom"/>
          </w:tcPr>
          <w:p>
            <w:pPr>
              <w:ind w:left="220"/>
              <w:spacing w:after="0"/>
              <w:rPr>
                <w:sz w:val="20"/>
                <w:szCs w:val="20"/>
                <w:color w:val="auto"/>
              </w:rPr>
            </w:pPr>
            <w:r>
              <w:rPr>
                <w:rFonts w:ascii="Arial" w:cs="Arial" w:eastAsia="Arial" w:hAnsi="Arial"/>
                <w:sz w:val="18"/>
                <w:szCs w:val="18"/>
                <w:color w:val="auto"/>
              </w:rPr>
              <w:t>Plan</w:t>
            </w:r>
          </w:p>
        </w:tc>
        <w:tc>
          <w:tcPr>
            <w:tcW w:w="5300" w:type="dxa"/>
            <w:vAlign w:val="bottom"/>
          </w:tcPr>
          <w:p>
            <w:pPr>
              <w:ind w:left="80"/>
              <w:spacing w:after="0"/>
              <w:rPr>
                <w:sz w:val="20"/>
                <w:szCs w:val="20"/>
                <w:color w:val="auto"/>
              </w:rPr>
            </w:pPr>
            <w:r>
              <w:rPr>
                <w:rFonts w:ascii="Arial" w:cs="Arial" w:eastAsia="Arial" w:hAnsi="Arial"/>
                <w:sz w:val="18"/>
                <w:szCs w:val="18"/>
                <w:color w:val="auto"/>
              </w:rPr>
              <w:t>Form 10-K for the year ended February 2, 2008, Exhibit 10.56</w:t>
            </w:r>
          </w:p>
        </w:tc>
      </w:tr>
      <w:tr>
        <w:trPr>
          <w:trHeight w:val="377"/>
        </w:trPr>
        <w:tc>
          <w:tcPr>
            <w:tcW w:w="740" w:type="dxa"/>
            <w:vAlign w:val="bottom"/>
          </w:tcPr>
          <w:p>
            <w:pPr>
              <w:jc w:val="right"/>
              <w:ind w:right="110"/>
              <w:spacing w:after="0"/>
              <w:rPr>
                <w:sz w:val="20"/>
                <w:szCs w:val="20"/>
                <w:color w:val="auto"/>
              </w:rPr>
            </w:pPr>
            <w:r>
              <w:rPr>
                <w:rFonts w:ascii="Arial" w:cs="Arial" w:eastAsia="Arial" w:hAnsi="Arial"/>
                <w:sz w:val="18"/>
                <w:szCs w:val="18"/>
                <w:color w:val="auto"/>
                <w:w w:val="99"/>
              </w:rPr>
              <w:t>10.37*</w:t>
            </w:r>
          </w:p>
        </w:tc>
        <w:tc>
          <w:tcPr>
            <w:tcW w:w="5380" w:type="dxa"/>
            <w:vAlign w:val="bottom"/>
          </w:tcPr>
          <w:p>
            <w:pPr>
              <w:ind w:left="220"/>
              <w:spacing w:after="0"/>
              <w:rPr>
                <w:sz w:val="20"/>
                <w:szCs w:val="20"/>
                <w:color w:val="auto"/>
              </w:rPr>
            </w:pPr>
            <w:r>
              <w:rPr>
                <w:rFonts w:ascii="Arial" w:cs="Arial" w:eastAsia="Arial" w:hAnsi="Arial"/>
                <w:sz w:val="18"/>
                <w:szCs w:val="18"/>
                <w:color w:val="auto"/>
                <w:w w:val="99"/>
              </w:rPr>
              <w:t>Amendment 2008-1, Nordstrom, Inc. Leadership Separation Plan</w:t>
            </w:r>
          </w:p>
        </w:tc>
        <w:tc>
          <w:tcPr>
            <w:tcW w:w="5300" w:type="dxa"/>
            <w:vAlign w:val="bottom"/>
          </w:tcPr>
          <w:p>
            <w:pPr>
              <w:ind w:left="80"/>
              <w:spacing w:after="0"/>
              <w:rPr>
                <w:sz w:val="20"/>
                <w:szCs w:val="20"/>
                <w:color w:val="auto"/>
              </w:rPr>
            </w:pPr>
            <w:r>
              <w:rPr>
                <w:rFonts w:ascii="Arial" w:cs="Arial" w:eastAsia="Arial" w:hAnsi="Arial"/>
                <w:sz w:val="18"/>
                <w:szCs w:val="18"/>
                <w:color w:val="auto"/>
                <w:w w:val="99"/>
              </w:rPr>
              <w:t>Incorporated by reference from the Registrant’s Form 8-K filed on</w:t>
            </w:r>
          </w:p>
        </w:tc>
      </w:tr>
      <w:tr>
        <w:trPr>
          <w:trHeight w:val="230"/>
        </w:trPr>
        <w:tc>
          <w:tcPr>
            <w:tcW w:w="740" w:type="dxa"/>
            <w:vAlign w:val="bottom"/>
          </w:tcPr>
          <w:p>
            <w:pPr>
              <w:spacing w:after="0"/>
              <w:rPr>
                <w:sz w:val="20"/>
                <w:szCs w:val="20"/>
                <w:color w:val="auto"/>
              </w:rPr>
            </w:pPr>
          </w:p>
        </w:tc>
        <w:tc>
          <w:tcPr>
            <w:tcW w:w="5380" w:type="dxa"/>
            <w:vAlign w:val="bottom"/>
          </w:tcPr>
          <w:p>
            <w:pPr>
              <w:spacing w:after="0"/>
              <w:rPr>
                <w:sz w:val="20"/>
                <w:szCs w:val="20"/>
                <w:color w:val="auto"/>
              </w:rPr>
            </w:pPr>
          </w:p>
        </w:tc>
        <w:tc>
          <w:tcPr>
            <w:tcW w:w="5300" w:type="dxa"/>
            <w:vAlign w:val="bottom"/>
          </w:tcPr>
          <w:p>
            <w:pPr>
              <w:ind w:left="80"/>
              <w:spacing w:after="0"/>
              <w:rPr>
                <w:sz w:val="20"/>
                <w:szCs w:val="20"/>
                <w:color w:val="auto"/>
              </w:rPr>
            </w:pPr>
            <w:r>
              <w:rPr>
                <w:rFonts w:ascii="Arial" w:cs="Arial" w:eastAsia="Arial" w:hAnsi="Arial"/>
                <w:sz w:val="18"/>
                <w:szCs w:val="18"/>
                <w:color w:val="auto"/>
              </w:rPr>
              <w:t>November 24, 2008, Exhibit 10.3</w:t>
            </w:r>
          </w:p>
        </w:tc>
      </w:tr>
      <w:tr>
        <w:trPr>
          <w:trHeight w:val="377"/>
        </w:trPr>
        <w:tc>
          <w:tcPr>
            <w:tcW w:w="740" w:type="dxa"/>
            <w:vAlign w:val="bottom"/>
          </w:tcPr>
          <w:p>
            <w:pPr>
              <w:jc w:val="right"/>
              <w:ind w:right="110"/>
              <w:spacing w:after="0"/>
              <w:rPr>
                <w:sz w:val="20"/>
                <w:szCs w:val="20"/>
                <w:color w:val="auto"/>
              </w:rPr>
            </w:pPr>
            <w:r>
              <w:rPr>
                <w:rFonts w:ascii="Arial" w:cs="Arial" w:eastAsia="Arial" w:hAnsi="Arial"/>
                <w:sz w:val="18"/>
                <w:szCs w:val="18"/>
                <w:color w:val="auto"/>
                <w:w w:val="99"/>
              </w:rPr>
              <w:t>10.38*</w:t>
            </w:r>
          </w:p>
        </w:tc>
        <w:tc>
          <w:tcPr>
            <w:tcW w:w="5380" w:type="dxa"/>
            <w:vAlign w:val="bottom"/>
          </w:tcPr>
          <w:p>
            <w:pPr>
              <w:ind w:left="220"/>
              <w:spacing w:after="0"/>
              <w:rPr>
                <w:sz w:val="20"/>
                <w:szCs w:val="20"/>
                <w:color w:val="auto"/>
              </w:rPr>
            </w:pPr>
            <w:r>
              <w:rPr>
                <w:rFonts w:ascii="Arial" w:cs="Arial" w:eastAsia="Arial" w:hAnsi="Arial"/>
                <w:sz w:val="18"/>
                <w:szCs w:val="18"/>
                <w:color w:val="auto"/>
                <w:w w:val="98"/>
              </w:rPr>
              <w:t>Amendment 2011-1 to the Nordstrom Leadership Separation Plan</w:t>
            </w:r>
          </w:p>
        </w:tc>
        <w:tc>
          <w:tcPr>
            <w:tcW w:w="5300" w:type="dxa"/>
            <w:vAlign w:val="bottom"/>
          </w:tcPr>
          <w:p>
            <w:pPr>
              <w:ind w:left="80"/>
              <w:spacing w:after="0"/>
              <w:rPr>
                <w:sz w:val="20"/>
                <w:szCs w:val="20"/>
                <w:color w:val="auto"/>
              </w:rPr>
            </w:pPr>
            <w:r>
              <w:rPr>
                <w:rFonts w:ascii="Arial" w:cs="Arial" w:eastAsia="Arial" w:hAnsi="Arial"/>
                <w:sz w:val="18"/>
                <w:szCs w:val="18"/>
                <w:color w:val="auto"/>
                <w:w w:val="99"/>
              </w:rPr>
              <w:t>Incorporated by reference from the Registrant’s Form 8-K filed on</w:t>
            </w:r>
          </w:p>
        </w:tc>
      </w:tr>
      <w:tr>
        <w:trPr>
          <w:trHeight w:val="230"/>
        </w:trPr>
        <w:tc>
          <w:tcPr>
            <w:tcW w:w="740" w:type="dxa"/>
            <w:vAlign w:val="bottom"/>
          </w:tcPr>
          <w:p>
            <w:pPr>
              <w:spacing w:after="0"/>
              <w:rPr>
                <w:sz w:val="20"/>
                <w:szCs w:val="20"/>
                <w:color w:val="auto"/>
              </w:rPr>
            </w:pPr>
          </w:p>
        </w:tc>
        <w:tc>
          <w:tcPr>
            <w:tcW w:w="5380" w:type="dxa"/>
            <w:vAlign w:val="bottom"/>
          </w:tcPr>
          <w:p>
            <w:pPr>
              <w:spacing w:after="0"/>
              <w:rPr>
                <w:sz w:val="20"/>
                <w:szCs w:val="20"/>
                <w:color w:val="auto"/>
              </w:rPr>
            </w:pPr>
          </w:p>
        </w:tc>
        <w:tc>
          <w:tcPr>
            <w:tcW w:w="5300" w:type="dxa"/>
            <w:vAlign w:val="bottom"/>
          </w:tcPr>
          <w:p>
            <w:pPr>
              <w:ind w:left="80"/>
              <w:spacing w:after="0"/>
              <w:rPr>
                <w:sz w:val="20"/>
                <w:szCs w:val="20"/>
                <w:color w:val="auto"/>
              </w:rPr>
            </w:pPr>
            <w:r>
              <w:rPr>
                <w:rFonts w:ascii="Arial" w:cs="Arial" w:eastAsia="Arial" w:hAnsi="Arial"/>
                <w:sz w:val="18"/>
                <w:szCs w:val="18"/>
                <w:color w:val="auto"/>
              </w:rPr>
              <w:t>August 25, 2011, Exhibit 10.1</w:t>
            </w:r>
          </w:p>
        </w:tc>
      </w:tr>
      <w:tr>
        <w:trPr>
          <w:trHeight w:val="377"/>
        </w:trPr>
        <w:tc>
          <w:tcPr>
            <w:tcW w:w="740" w:type="dxa"/>
            <w:vAlign w:val="bottom"/>
          </w:tcPr>
          <w:p>
            <w:pPr>
              <w:jc w:val="right"/>
              <w:ind w:right="110"/>
              <w:spacing w:after="0"/>
              <w:rPr>
                <w:sz w:val="20"/>
                <w:szCs w:val="20"/>
                <w:color w:val="auto"/>
              </w:rPr>
            </w:pPr>
            <w:r>
              <w:rPr>
                <w:rFonts w:ascii="Arial" w:cs="Arial" w:eastAsia="Arial" w:hAnsi="Arial"/>
                <w:sz w:val="18"/>
                <w:szCs w:val="18"/>
                <w:color w:val="auto"/>
                <w:w w:val="99"/>
              </w:rPr>
              <w:t>10.39*</w:t>
            </w:r>
          </w:p>
        </w:tc>
        <w:tc>
          <w:tcPr>
            <w:tcW w:w="5380" w:type="dxa"/>
            <w:vAlign w:val="bottom"/>
          </w:tcPr>
          <w:p>
            <w:pPr>
              <w:ind w:left="220"/>
              <w:spacing w:after="0"/>
              <w:rPr>
                <w:sz w:val="20"/>
                <w:szCs w:val="20"/>
                <w:color w:val="auto"/>
              </w:rPr>
            </w:pPr>
            <w:r>
              <w:rPr>
                <w:rFonts w:ascii="Arial" w:cs="Arial" w:eastAsia="Arial" w:hAnsi="Arial"/>
                <w:sz w:val="18"/>
                <w:szCs w:val="18"/>
                <w:color w:val="auto"/>
                <w:w w:val="98"/>
              </w:rPr>
              <w:t>Amendment 2013-1 to the Nordstrom Leadership Separation Plan</w:t>
            </w:r>
          </w:p>
        </w:tc>
        <w:tc>
          <w:tcPr>
            <w:tcW w:w="5300" w:type="dxa"/>
            <w:vAlign w:val="bottom"/>
          </w:tcPr>
          <w:p>
            <w:pPr>
              <w:ind w:left="80"/>
              <w:spacing w:after="0"/>
              <w:rPr>
                <w:sz w:val="20"/>
                <w:szCs w:val="20"/>
                <w:color w:val="auto"/>
              </w:rPr>
            </w:pPr>
            <w:r>
              <w:rPr>
                <w:rFonts w:ascii="Arial" w:cs="Arial" w:eastAsia="Arial" w:hAnsi="Arial"/>
                <w:sz w:val="18"/>
                <w:szCs w:val="18"/>
                <w:color w:val="auto"/>
                <w:w w:val="99"/>
              </w:rPr>
              <w:t>Incorporated by reference from the Registrant’s Form 8-K filed on</w:t>
            </w:r>
          </w:p>
        </w:tc>
      </w:tr>
      <w:tr>
        <w:trPr>
          <w:trHeight w:val="230"/>
        </w:trPr>
        <w:tc>
          <w:tcPr>
            <w:tcW w:w="740" w:type="dxa"/>
            <w:vAlign w:val="bottom"/>
          </w:tcPr>
          <w:p>
            <w:pPr>
              <w:spacing w:after="0"/>
              <w:rPr>
                <w:sz w:val="20"/>
                <w:szCs w:val="20"/>
                <w:color w:val="auto"/>
              </w:rPr>
            </w:pPr>
          </w:p>
        </w:tc>
        <w:tc>
          <w:tcPr>
            <w:tcW w:w="5380" w:type="dxa"/>
            <w:vAlign w:val="bottom"/>
          </w:tcPr>
          <w:p>
            <w:pPr>
              <w:spacing w:after="0"/>
              <w:rPr>
                <w:sz w:val="20"/>
                <w:szCs w:val="20"/>
                <w:color w:val="auto"/>
              </w:rPr>
            </w:pPr>
          </w:p>
        </w:tc>
        <w:tc>
          <w:tcPr>
            <w:tcW w:w="5300" w:type="dxa"/>
            <w:vAlign w:val="bottom"/>
          </w:tcPr>
          <w:p>
            <w:pPr>
              <w:ind w:left="80"/>
              <w:spacing w:after="0"/>
              <w:rPr>
                <w:sz w:val="20"/>
                <w:szCs w:val="20"/>
                <w:color w:val="auto"/>
              </w:rPr>
            </w:pPr>
            <w:r>
              <w:rPr>
                <w:rFonts w:ascii="Arial" w:cs="Arial" w:eastAsia="Arial" w:hAnsi="Arial"/>
                <w:sz w:val="18"/>
                <w:szCs w:val="18"/>
                <w:color w:val="auto"/>
              </w:rPr>
              <w:t>March 5, 2013, Exhibit 10.1</w:t>
            </w:r>
          </w:p>
        </w:tc>
      </w:tr>
      <w:tr>
        <w:trPr>
          <w:trHeight w:val="377"/>
        </w:trPr>
        <w:tc>
          <w:tcPr>
            <w:tcW w:w="740" w:type="dxa"/>
            <w:vAlign w:val="bottom"/>
          </w:tcPr>
          <w:p>
            <w:pPr>
              <w:jc w:val="right"/>
              <w:ind w:right="110"/>
              <w:spacing w:after="0"/>
              <w:rPr>
                <w:sz w:val="20"/>
                <w:szCs w:val="20"/>
                <w:color w:val="auto"/>
              </w:rPr>
            </w:pPr>
            <w:r>
              <w:rPr>
                <w:rFonts w:ascii="Arial" w:cs="Arial" w:eastAsia="Arial" w:hAnsi="Arial"/>
                <w:sz w:val="18"/>
                <w:szCs w:val="18"/>
                <w:color w:val="auto"/>
                <w:w w:val="99"/>
              </w:rPr>
              <w:t>10.40*</w:t>
            </w:r>
          </w:p>
        </w:tc>
        <w:tc>
          <w:tcPr>
            <w:tcW w:w="5380" w:type="dxa"/>
            <w:vAlign w:val="bottom"/>
          </w:tcPr>
          <w:p>
            <w:pPr>
              <w:ind w:left="220"/>
              <w:spacing w:after="0"/>
              <w:rPr>
                <w:sz w:val="20"/>
                <w:szCs w:val="20"/>
                <w:color w:val="auto"/>
              </w:rPr>
            </w:pPr>
            <w:r>
              <w:rPr>
                <w:rFonts w:ascii="Arial" w:cs="Arial" w:eastAsia="Arial" w:hAnsi="Arial"/>
                <w:sz w:val="18"/>
                <w:szCs w:val="18"/>
                <w:color w:val="auto"/>
              </w:rPr>
              <w:t>Amendment 2016-1 to Nordstrom Leadership Separation Plan</w:t>
            </w:r>
          </w:p>
        </w:tc>
        <w:tc>
          <w:tcPr>
            <w:tcW w:w="5300" w:type="dxa"/>
            <w:vAlign w:val="bottom"/>
          </w:tcPr>
          <w:p>
            <w:pPr>
              <w:ind w:left="80"/>
              <w:spacing w:after="0"/>
              <w:rPr>
                <w:sz w:val="20"/>
                <w:szCs w:val="20"/>
                <w:color w:val="auto"/>
              </w:rPr>
            </w:pPr>
            <w:r>
              <w:rPr>
                <w:rFonts w:ascii="Arial" w:cs="Arial" w:eastAsia="Arial" w:hAnsi="Arial"/>
                <w:sz w:val="18"/>
                <w:szCs w:val="18"/>
                <w:color w:val="auto"/>
                <w:w w:val="99"/>
              </w:rPr>
              <w:t>Incorporated by reference from the Registrant’s Form 8-K filed on</w:t>
            </w:r>
          </w:p>
        </w:tc>
      </w:tr>
      <w:tr>
        <w:trPr>
          <w:trHeight w:val="230"/>
        </w:trPr>
        <w:tc>
          <w:tcPr>
            <w:tcW w:w="740" w:type="dxa"/>
            <w:vAlign w:val="bottom"/>
          </w:tcPr>
          <w:p>
            <w:pPr>
              <w:spacing w:after="0"/>
              <w:rPr>
                <w:sz w:val="20"/>
                <w:szCs w:val="20"/>
                <w:color w:val="auto"/>
              </w:rPr>
            </w:pPr>
          </w:p>
        </w:tc>
        <w:tc>
          <w:tcPr>
            <w:tcW w:w="5380" w:type="dxa"/>
            <w:vAlign w:val="bottom"/>
          </w:tcPr>
          <w:p>
            <w:pPr>
              <w:spacing w:after="0"/>
              <w:rPr>
                <w:sz w:val="20"/>
                <w:szCs w:val="20"/>
                <w:color w:val="auto"/>
              </w:rPr>
            </w:pPr>
          </w:p>
        </w:tc>
        <w:tc>
          <w:tcPr>
            <w:tcW w:w="5300" w:type="dxa"/>
            <w:vAlign w:val="bottom"/>
          </w:tcPr>
          <w:p>
            <w:pPr>
              <w:ind w:left="80"/>
              <w:spacing w:after="0"/>
              <w:rPr>
                <w:sz w:val="20"/>
                <w:szCs w:val="20"/>
                <w:color w:val="auto"/>
              </w:rPr>
            </w:pPr>
            <w:r>
              <w:rPr>
                <w:rFonts w:ascii="Arial" w:cs="Arial" w:eastAsia="Arial" w:hAnsi="Arial"/>
                <w:sz w:val="18"/>
                <w:szCs w:val="18"/>
                <w:color w:val="auto"/>
              </w:rPr>
              <w:t>March 1, 2016, Exhibit 10.4</w:t>
            </w:r>
          </w:p>
        </w:tc>
      </w:tr>
      <w:tr>
        <w:trPr>
          <w:trHeight w:val="377"/>
        </w:trPr>
        <w:tc>
          <w:tcPr>
            <w:tcW w:w="740" w:type="dxa"/>
            <w:vAlign w:val="bottom"/>
          </w:tcPr>
          <w:p>
            <w:pPr>
              <w:jc w:val="right"/>
              <w:ind w:right="110"/>
              <w:spacing w:after="0"/>
              <w:rPr>
                <w:sz w:val="20"/>
                <w:szCs w:val="20"/>
                <w:color w:val="auto"/>
              </w:rPr>
            </w:pPr>
            <w:r>
              <w:rPr>
                <w:rFonts w:ascii="Arial" w:cs="Arial" w:eastAsia="Arial" w:hAnsi="Arial"/>
                <w:sz w:val="18"/>
                <w:szCs w:val="18"/>
                <w:color w:val="auto"/>
                <w:w w:val="99"/>
              </w:rPr>
              <w:t>10.41*</w:t>
            </w:r>
          </w:p>
        </w:tc>
        <w:tc>
          <w:tcPr>
            <w:tcW w:w="5380" w:type="dxa"/>
            <w:vAlign w:val="bottom"/>
          </w:tcPr>
          <w:p>
            <w:pPr>
              <w:ind w:left="220"/>
              <w:spacing w:after="0"/>
              <w:rPr>
                <w:sz w:val="20"/>
                <w:szCs w:val="20"/>
                <w:color w:val="auto"/>
              </w:rPr>
            </w:pPr>
            <w:r>
              <w:rPr>
                <w:rFonts w:ascii="Arial" w:cs="Arial" w:eastAsia="Arial" w:hAnsi="Arial"/>
                <w:sz w:val="18"/>
                <w:szCs w:val="18"/>
                <w:color w:val="auto"/>
              </w:rPr>
              <w:t>Form of 2011 Performance Share Unit Award Agreement</w:t>
            </w:r>
          </w:p>
        </w:tc>
        <w:tc>
          <w:tcPr>
            <w:tcW w:w="5300" w:type="dxa"/>
            <w:vAlign w:val="bottom"/>
          </w:tcPr>
          <w:p>
            <w:pPr>
              <w:ind w:left="80"/>
              <w:spacing w:after="0"/>
              <w:rPr>
                <w:sz w:val="20"/>
                <w:szCs w:val="20"/>
                <w:color w:val="auto"/>
              </w:rPr>
            </w:pPr>
            <w:r>
              <w:rPr>
                <w:rFonts w:ascii="Arial" w:cs="Arial" w:eastAsia="Arial" w:hAnsi="Arial"/>
                <w:sz w:val="18"/>
                <w:szCs w:val="18"/>
                <w:color w:val="auto"/>
                <w:w w:val="99"/>
              </w:rPr>
              <w:t>Incorporated by reference from the Registrant’s Form 8-K filed on</w:t>
            </w:r>
          </w:p>
        </w:tc>
      </w:tr>
      <w:tr>
        <w:trPr>
          <w:trHeight w:val="230"/>
        </w:trPr>
        <w:tc>
          <w:tcPr>
            <w:tcW w:w="740" w:type="dxa"/>
            <w:vAlign w:val="bottom"/>
          </w:tcPr>
          <w:p>
            <w:pPr>
              <w:spacing w:after="0"/>
              <w:rPr>
                <w:sz w:val="20"/>
                <w:szCs w:val="20"/>
                <w:color w:val="auto"/>
              </w:rPr>
            </w:pPr>
          </w:p>
        </w:tc>
        <w:tc>
          <w:tcPr>
            <w:tcW w:w="5380" w:type="dxa"/>
            <w:vAlign w:val="bottom"/>
          </w:tcPr>
          <w:p>
            <w:pPr>
              <w:spacing w:after="0"/>
              <w:rPr>
                <w:sz w:val="20"/>
                <w:szCs w:val="20"/>
                <w:color w:val="auto"/>
              </w:rPr>
            </w:pPr>
          </w:p>
        </w:tc>
        <w:tc>
          <w:tcPr>
            <w:tcW w:w="5300" w:type="dxa"/>
            <w:vAlign w:val="bottom"/>
          </w:tcPr>
          <w:p>
            <w:pPr>
              <w:ind w:left="80"/>
              <w:spacing w:after="0"/>
              <w:rPr>
                <w:sz w:val="20"/>
                <w:szCs w:val="20"/>
                <w:color w:val="auto"/>
              </w:rPr>
            </w:pPr>
            <w:r>
              <w:rPr>
                <w:rFonts w:ascii="Arial" w:cs="Arial" w:eastAsia="Arial" w:hAnsi="Arial"/>
                <w:sz w:val="18"/>
                <w:szCs w:val="18"/>
                <w:color w:val="auto"/>
              </w:rPr>
              <w:t>November 19, 2010, Exhibit 10.2</w:t>
            </w:r>
          </w:p>
        </w:tc>
      </w:tr>
      <w:tr>
        <w:trPr>
          <w:trHeight w:val="377"/>
        </w:trPr>
        <w:tc>
          <w:tcPr>
            <w:tcW w:w="740" w:type="dxa"/>
            <w:vAlign w:val="bottom"/>
          </w:tcPr>
          <w:p>
            <w:pPr>
              <w:jc w:val="right"/>
              <w:ind w:right="110"/>
              <w:spacing w:after="0"/>
              <w:rPr>
                <w:sz w:val="20"/>
                <w:szCs w:val="20"/>
                <w:color w:val="auto"/>
              </w:rPr>
            </w:pPr>
            <w:r>
              <w:rPr>
                <w:rFonts w:ascii="Arial" w:cs="Arial" w:eastAsia="Arial" w:hAnsi="Arial"/>
                <w:sz w:val="18"/>
                <w:szCs w:val="18"/>
                <w:color w:val="auto"/>
                <w:w w:val="99"/>
              </w:rPr>
              <w:t>10.42*</w:t>
            </w:r>
          </w:p>
        </w:tc>
        <w:tc>
          <w:tcPr>
            <w:tcW w:w="5380" w:type="dxa"/>
            <w:vAlign w:val="bottom"/>
          </w:tcPr>
          <w:p>
            <w:pPr>
              <w:ind w:left="220"/>
              <w:spacing w:after="0"/>
              <w:rPr>
                <w:sz w:val="20"/>
                <w:szCs w:val="20"/>
                <w:color w:val="auto"/>
              </w:rPr>
            </w:pPr>
            <w:r>
              <w:rPr>
                <w:rFonts w:ascii="Arial" w:cs="Arial" w:eastAsia="Arial" w:hAnsi="Arial"/>
                <w:sz w:val="18"/>
                <w:szCs w:val="18"/>
                <w:color w:val="auto"/>
              </w:rPr>
              <w:t>Form of 2012 Performance Share Unit Agreement</w:t>
            </w:r>
          </w:p>
        </w:tc>
        <w:tc>
          <w:tcPr>
            <w:tcW w:w="5300" w:type="dxa"/>
            <w:vAlign w:val="bottom"/>
          </w:tcPr>
          <w:p>
            <w:pPr>
              <w:ind w:left="80"/>
              <w:spacing w:after="0"/>
              <w:rPr>
                <w:sz w:val="20"/>
                <w:szCs w:val="20"/>
                <w:color w:val="auto"/>
              </w:rPr>
            </w:pPr>
            <w:r>
              <w:rPr>
                <w:rFonts w:ascii="Arial" w:cs="Arial" w:eastAsia="Arial" w:hAnsi="Arial"/>
                <w:sz w:val="18"/>
                <w:szCs w:val="18"/>
                <w:color w:val="auto"/>
                <w:w w:val="99"/>
              </w:rPr>
              <w:t>Incorporated by reference from the Registrant’s Form 8-K filed on</w:t>
            </w:r>
          </w:p>
        </w:tc>
      </w:tr>
      <w:tr>
        <w:trPr>
          <w:trHeight w:val="230"/>
        </w:trPr>
        <w:tc>
          <w:tcPr>
            <w:tcW w:w="740" w:type="dxa"/>
            <w:vAlign w:val="bottom"/>
          </w:tcPr>
          <w:p>
            <w:pPr>
              <w:spacing w:after="0"/>
              <w:rPr>
                <w:sz w:val="20"/>
                <w:szCs w:val="20"/>
                <w:color w:val="auto"/>
              </w:rPr>
            </w:pPr>
          </w:p>
        </w:tc>
        <w:tc>
          <w:tcPr>
            <w:tcW w:w="5380" w:type="dxa"/>
            <w:vAlign w:val="bottom"/>
          </w:tcPr>
          <w:p>
            <w:pPr>
              <w:spacing w:after="0"/>
              <w:rPr>
                <w:sz w:val="20"/>
                <w:szCs w:val="20"/>
                <w:color w:val="auto"/>
              </w:rPr>
            </w:pPr>
          </w:p>
        </w:tc>
        <w:tc>
          <w:tcPr>
            <w:tcW w:w="5300" w:type="dxa"/>
            <w:vAlign w:val="bottom"/>
          </w:tcPr>
          <w:p>
            <w:pPr>
              <w:ind w:left="80"/>
              <w:spacing w:after="0"/>
              <w:rPr>
                <w:sz w:val="20"/>
                <w:szCs w:val="20"/>
                <w:color w:val="auto"/>
              </w:rPr>
            </w:pPr>
            <w:r>
              <w:rPr>
                <w:rFonts w:ascii="Arial" w:cs="Arial" w:eastAsia="Arial" w:hAnsi="Arial"/>
                <w:sz w:val="18"/>
                <w:szCs w:val="18"/>
                <w:color w:val="auto"/>
              </w:rPr>
              <w:t>November 18, 2011, Exhibit 10.2</w:t>
            </w:r>
          </w:p>
        </w:tc>
      </w:tr>
      <w:tr>
        <w:trPr>
          <w:trHeight w:val="377"/>
        </w:trPr>
        <w:tc>
          <w:tcPr>
            <w:tcW w:w="740" w:type="dxa"/>
            <w:vAlign w:val="bottom"/>
          </w:tcPr>
          <w:p>
            <w:pPr>
              <w:jc w:val="right"/>
              <w:ind w:right="110"/>
              <w:spacing w:after="0"/>
              <w:rPr>
                <w:sz w:val="20"/>
                <w:szCs w:val="20"/>
                <w:color w:val="auto"/>
              </w:rPr>
            </w:pPr>
            <w:r>
              <w:rPr>
                <w:rFonts w:ascii="Arial" w:cs="Arial" w:eastAsia="Arial" w:hAnsi="Arial"/>
                <w:sz w:val="18"/>
                <w:szCs w:val="18"/>
                <w:color w:val="auto"/>
                <w:w w:val="99"/>
              </w:rPr>
              <w:t>10.43*</w:t>
            </w:r>
          </w:p>
        </w:tc>
        <w:tc>
          <w:tcPr>
            <w:tcW w:w="5380" w:type="dxa"/>
            <w:vAlign w:val="bottom"/>
          </w:tcPr>
          <w:p>
            <w:pPr>
              <w:ind w:left="220"/>
              <w:spacing w:after="0"/>
              <w:rPr>
                <w:sz w:val="20"/>
                <w:szCs w:val="20"/>
                <w:color w:val="auto"/>
              </w:rPr>
            </w:pPr>
            <w:r>
              <w:rPr>
                <w:rFonts w:ascii="Arial" w:cs="Arial" w:eastAsia="Arial" w:hAnsi="Arial"/>
                <w:sz w:val="18"/>
                <w:szCs w:val="18"/>
                <w:color w:val="auto"/>
              </w:rPr>
              <w:t>Form of 2013 Performance Share Unit Award Agreement</w:t>
            </w:r>
          </w:p>
        </w:tc>
        <w:tc>
          <w:tcPr>
            <w:tcW w:w="5300" w:type="dxa"/>
            <w:vAlign w:val="bottom"/>
          </w:tcPr>
          <w:p>
            <w:pPr>
              <w:ind w:left="80"/>
              <w:spacing w:after="0"/>
              <w:rPr>
                <w:sz w:val="20"/>
                <w:szCs w:val="20"/>
                <w:color w:val="auto"/>
              </w:rPr>
            </w:pPr>
            <w:r>
              <w:rPr>
                <w:rFonts w:ascii="Arial" w:cs="Arial" w:eastAsia="Arial" w:hAnsi="Arial"/>
                <w:sz w:val="18"/>
                <w:szCs w:val="18"/>
                <w:color w:val="auto"/>
                <w:w w:val="99"/>
              </w:rPr>
              <w:t>Incorporated by reference from the Registrant’s Form 8-K filed on</w:t>
            </w:r>
          </w:p>
        </w:tc>
      </w:tr>
      <w:tr>
        <w:trPr>
          <w:trHeight w:val="230"/>
        </w:trPr>
        <w:tc>
          <w:tcPr>
            <w:tcW w:w="740" w:type="dxa"/>
            <w:vAlign w:val="bottom"/>
          </w:tcPr>
          <w:p>
            <w:pPr>
              <w:spacing w:after="0"/>
              <w:rPr>
                <w:sz w:val="20"/>
                <w:szCs w:val="20"/>
                <w:color w:val="auto"/>
              </w:rPr>
            </w:pPr>
          </w:p>
        </w:tc>
        <w:tc>
          <w:tcPr>
            <w:tcW w:w="5380" w:type="dxa"/>
            <w:vAlign w:val="bottom"/>
          </w:tcPr>
          <w:p>
            <w:pPr>
              <w:spacing w:after="0"/>
              <w:rPr>
                <w:sz w:val="20"/>
                <w:szCs w:val="20"/>
                <w:color w:val="auto"/>
              </w:rPr>
            </w:pPr>
          </w:p>
        </w:tc>
        <w:tc>
          <w:tcPr>
            <w:tcW w:w="5300" w:type="dxa"/>
            <w:vAlign w:val="bottom"/>
          </w:tcPr>
          <w:p>
            <w:pPr>
              <w:ind w:left="80"/>
              <w:spacing w:after="0"/>
              <w:rPr>
                <w:sz w:val="20"/>
                <w:szCs w:val="20"/>
                <w:color w:val="auto"/>
              </w:rPr>
            </w:pPr>
            <w:r>
              <w:rPr>
                <w:rFonts w:ascii="Arial" w:cs="Arial" w:eastAsia="Arial" w:hAnsi="Arial"/>
                <w:sz w:val="18"/>
                <w:szCs w:val="18"/>
                <w:color w:val="auto"/>
              </w:rPr>
              <w:t>November 14, 2012, Exhibit 10.2</w:t>
            </w:r>
          </w:p>
        </w:tc>
      </w:tr>
      <w:tr>
        <w:trPr>
          <w:trHeight w:val="377"/>
        </w:trPr>
        <w:tc>
          <w:tcPr>
            <w:tcW w:w="740" w:type="dxa"/>
            <w:vAlign w:val="bottom"/>
          </w:tcPr>
          <w:p>
            <w:pPr>
              <w:jc w:val="right"/>
              <w:ind w:right="110"/>
              <w:spacing w:after="0"/>
              <w:rPr>
                <w:sz w:val="20"/>
                <w:szCs w:val="20"/>
                <w:color w:val="auto"/>
              </w:rPr>
            </w:pPr>
            <w:r>
              <w:rPr>
                <w:rFonts w:ascii="Arial" w:cs="Arial" w:eastAsia="Arial" w:hAnsi="Arial"/>
                <w:sz w:val="18"/>
                <w:szCs w:val="18"/>
                <w:color w:val="auto"/>
                <w:w w:val="99"/>
              </w:rPr>
              <w:t>10.44*</w:t>
            </w:r>
          </w:p>
        </w:tc>
        <w:tc>
          <w:tcPr>
            <w:tcW w:w="5380" w:type="dxa"/>
            <w:vAlign w:val="bottom"/>
          </w:tcPr>
          <w:p>
            <w:pPr>
              <w:ind w:left="220"/>
              <w:spacing w:after="0"/>
              <w:rPr>
                <w:sz w:val="20"/>
                <w:szCs w:val="20"/>
                <w:color w:val="auto"/>
              </w:rPr>
            </w:pPr>
            <w:r>
              <w:rPr>
                <w:rFonts w:ascii="Arial" w:cs="Arial" w:eastAsia="Arial" w:hAnsi="Arial"/>
                <w:sz w:val="18"/>
                <w:szCs w:val="18"/>
                <w:color w:val="auto"/>
              </w:rPr>
              <w:t>Form of 2014 Performance Share Unit Award Agreement</w:t>
            </w:r>
          </w:p>
        </w:tc>
        <w:tc>
          <w:tcPr>
            <w:tcW w:w="5300" w:type="dxa"/>
            <w:vAlign w:val="bottom"/>
          </w:tcPr>
          <w:p>
            <w:pPr>
              <w:ind w:left="80"/>
              <w:spacing w:after="0"/>
              <w:rPr>
                <w:sz w:val="20"/>
                <w:szCs w:val="20"/>
                <w:color w:val="auto"/>
              </w:rPr>
            </w:pPr>
            <w:r>
              <w:rPr>
                <w:rFonts w:ascii="Arial" w:cs="Arial" w:eastAsia="Arial" w:hAnsi="Arial"/>
                <w:sz w:val="18"/>
                <w:szCs w:val="18"/>
                <w:color w:val="auto"/>
                <w:w w:val="99"/>
              </w:rPr>
              <w:t>Incorporated by reference from the Registrant’s Form 8-K filed on</w:t>
            </w:r>
          </w:p>
        </w:tc>
      </w:tr>
      <w:tr>
        <w:trPr>
          <w:trHeight w:val="230"/>
        </w:trPr>
        <w:tc>
          <w:tcPr>
            <w:tcW w:w="740" w:type="dxa"/>
            <w:vAlign w:val="bottom"/>
          </w:tcPr>
          <w:p>
            <w:pPr>
              <w:spacing w:after="0"/>
              <w:rPr>
                <w:sz w:val="20"/>
                <w:szCs w:val="20"/>
                <w:color w:val="auto"/>
              </w:rPr>
            </w:pPr>
          </w:p>
        </w:tc>
        <w:tc>
          <w:tcPr>
            <w:tcW w:w="5380" w:type="dxa"/>
            <w:vAlign w:val="bottom"/>
          </w:tcPr>
          <w:p>
            <w:pPr>
              <w:spacing w:after="0"/>
              <w:rPr>
                <w:sz w:val="20"/>
                <w:szCs w:val="20"/>
                <w:color w:val="auto"/>
              </w:rPr>
            </w:pPr>
          </w:p>
        </w:tc>
        <w:tc>
          <w:tcPr>
            <w:tcW w:w="5300" w:type="dxa"/>
            <w:vAlign w:val="bottom"/>
          </w:tcPr>
          <w:p>
            <w:pPr>
              <w:ind w:left="80"/>
              <w:spacing w:after="0"/>
              <w:rPr>
                <w:sz w:val="20"/>
                <w:szCs w:val="20"/>
                <w:color w:val="auto"/>
              </w:rPr>
            </w:pPr>
            <w:r>
              <w:rPr>
                <w:rFonts w:ascii="Arial" w:cs="Arial" w:eastAsia="Arial" w:hAnsi="Arial"/>
                <w:sz w:val="18"/>
                <w:szCs w:val="18"/>
                <w:color w:val="auto"/>
              </w:rPr>
              <w:t>March 4, 2014, Exhibit 10.3</w:t>
            </w:r>
          </w:p>
        </w:tc>
      </w:tr>
      <w:tr>
        <w:trPr>
          <w:trHeight w:val="377"/>
        </w:trPr>
        <w:tc>
          <w:tcPr>
            <w:tcW w:w="740" w:type="dxa"/>
            <w:vAlign w:val="bottom"/>
          </w:tcPr>
          <w:p>
            <w:pPr>
              <w:jc w:val="right"/>
              <w:ind w:right="110"/>
              <w:spacing w:after="0"/>
              <w:rPr>
                <w:sz w:val="20"/>
                <w:szCs w:val="20"/>
                <w:color w:val="auto"/>
              </w:rPr>
            </w:pPr>
            <w:r>
              <w:rPr>
                <w:rFonts w:ascii="Arial" w:cs="Arial" w:eastAsia="Arial" w:hAnsi="Arial"/>
                <w:sz w:val="18"/>
                <w:szCs w:val="18"/>
                <w:color w:val="auto"/>
                <w:w w:val="99"/>
              </w:rPr>
              <w:t>10.45*</w:t>
            </w:r>
          </w:p>
        </w:tc>
        <w:tc>
          <w:tcPr>
            <w:tcW w:w="5380" w:type="dxa"/>
            <w:vAlign w:val="bottom"/>
          </w:tcPr>
          <w:p>
            <w:pPr>
              <w:ind w:left="220"/>
              <w:spacing w:after="0"/>
              <w:rPr>
                <w:sz w:val="20"/>
                <w:szCs w:val="20"/>
                <w:color w:val="auto"/>
              </w:rPr>
            </w:pPr>
            <w:r>
              <w:rPr>
                <w:rFonts w:ascii="Arial" w:cs="Arial" w:eastAsia="Arial" w:hAnsi="Arial"/>
                <w:sz w:val="18"/>
                <w:szCs w:val="18"/>
                <w:color w:val="auto"/>
              </w:rPr>
              <w:t>Form of the 2015 Performance Share Unit Award Agreement</w:t>
            </w:r>
          </w:p>
        </w:tc>
        <w:tc>
          <w:tcPr>
            <w:tcW w:w="5300" w:type="dxa"/>
            <w:vAlign w:val="bottom"/>
          </w:tcPr>
          <w:p>
            <w:pPr>
              <w:ind w:left="80"/>
              <w:spacing w:after="0"/>
              <w:rPr>
                <w:sz w:val="20"/>
                <w:szCs w:val="20"/>
                <w:color w:val="auto"/>
              </w:rPr>
            </w:pPr>
            <w:r>
              <w:rPr>
                <w:rFonts w:ascii="Arial" w:cs="Arial" w:eastAsia="Arial" w:hAnsi="Arial"/>
                <w:sz w:val="18"/>
                <w:szCs w:val="18"/>
                <w:color w:val="auto"/>
                <w:w w:val="99"/>
              </w:rPr>
              <w:t>Incorporated by reference from the Registrant’s Form 8-K filed on</w:t>
            </w:r>
          </w:p>
        </w:tc>
      </w:tr>
      <w:tr>
        <w:trPr>
          <w:trHeight w:val="230"/>
        </w:trPr>
        <w:tc>
          <w:tcPr>
            <w:tcW w:w="740" w:type="dxa"/>
            <w:vAlign w:val="bottom"/>
          </w:tcPr>
          <w:p>
            <w:pPr>
              <w:spacing w:after="0"/>
              <w:rPr>
                <w:sz w:val="20"/>
                <w:szCs w:val="20"/>
                <w:color w:val="auto"/>
              </w:rPr>
            </w:pPr>
          </w:p>
        </w:tc>
        <w:tc>
          <w:tcPr>
            <w:tcW w:w="5380" w:type="dxa"/>
            <w:vAlign w:val="bottom"/>
          </w:tcPr>
          <w:p>
            <w:pPr>
              <w:spacing w:after="0"/>
              <w:rPr>
                <w:sz w:val="20"/>
                <w:szCs w:val="20"/>
                <w:color w:val="auto"/>
              </w:rPr>
            </w:pPr>
          </w:p>
        </w:tc>
        <w:tc>
          <w:tcPr>
            <w:tcW w:w="5300" w:type="dxa"/>
            <w:vAlign w:val="bottom"/>
          </w:tcPr>
          <w:p>
            <w:pPr>
              <w:ind w:left="80"/>
              <w:spacing w:after="0"/>
              <w:rPr>
                <w:sz w:val="20"/>
                <w:szCs w:val="20"/>
                <w:color w:val="auto"/>
              </w:rPr>
            </w:pPr>
            <w:r>
              <w:rPr>
                <w:rFonts w:ascii="Arial" w:cs="Arial" w:eastAsia="Arial" w:hAnsi="Arial"/>
                <w:sz w:val="18"/>
                <w:szCs w:val="18"/>
                <w:color w:val="auto"/>
              </w:rPr>
              <w:t>February 19, 2015, Exhibit 10.3</w:t>
            </w:r>
          </w:p>
        </w:tc>
      </w:tr>
      <w:tr>
        <w:trPr>
          <w:trHeight w:val="377"/>
        </w:trPr>
        <w:tc>
          <w:tcPr>
            <w:tcW w:w="740" w:type="dxa"/>
            <w:vAlign w:val="bottom"/>
          </w:tcPr>
          <w:p>
            <w:pPr>
              <w:jc w:val="right"/>
              <w:ind w:right="110"/>
              <w:spacing w:after="0"/>
              <w:rPr>
                <w:sz w:val="20"/>
                <w:szCs w:val="20"/>
                <w:color w:val="auto"/>
              </w:rPr>
            </w:pPr>
            <w:r>
              <w:rPr>
                <w:rFonts w:ascii="Arial" w:cs="Arial" w:eastAsia="Arial" w:hAnsi="Arial"/>
                <w:sz w:val="18"/>
                <w:szCs w:val="18"/>
                <w:color w:val="auto"/>
                <w:w w:val="99"/>
              </w:rPr>
              <w:t>10.46*</w:t>
            </w:r>
          </w:p>
        </w:tc>
        <w:tc>
          <w:tcPr>
            <w:tcW w:w="5380" w:type="dxa"/>
            <w:vAlign w:val="bottom"/>
          </w:tcPr>
          <w:p>
            <w:pPr>
              <w:ind w:left="220"/>
              <w:spacing w:after="0"/>
              <w:rPr>
                <w:sz w:val="20"/>
                <w:szCs w:val="20"/>
                <w:color w:val="auto"/>
              </w:rPr>
            </w:pPr>
            <w:r>
              <w:rPr>
                <w:rFonts w:ascii="Arial" w:cs="Arial" w:eastAsia="Arial" w:hAnsi="Arial"/>
                <w:sz w:val="18"/>
                <w:szCs w:val="18"/>
                <w:color w:val="auto"/>
              </w:rPr>
              <w:t>Form of the 2016 Performance Share Unit Award Agreement</w:t>
            </w:r>
          </w:p>
        </w:tc>
        <w:tc>
          <w:tcPr>
            <w:tcW w:w="5300" w:type="dxa"/>
            <w:vAlign w:val="bottom"/>
          </w:tcPr>
          <w:p>
            <w:pPr>
              <w:ind w:left="80"/>
              <w:spacing w:after="0"/>
              <w:rPr>
                <w:sz w:val="20"/>
                <w:szCs w:val="20"/>
                <w:color w:val="auto"/>
              </w:rPr>
            </w:pPr>
            <w:r>
              <w:rPr>
                <w:rFonts w:ascii="Arial" w:cs="Arial" w:eastAsia="Arial" w:hAnsi="Arial"/>
                <w:sz w:val="18"/>
                <w:szCs w:val="18"/>
                <w:color w:val="auto"/>
                <w:w w:val="99"/>
              </w:rPr>
              <w:t>Incorporated by reference from the Registrant’s Form 8-K filed on</w:t>
            </w:r>
          </w:p>
        </w:tc>
      </w:tr>
      <w:tr>
        <w:trPr>
          <w:trHeight w:val="230"/>
        </w:trPr>
        <w:tc>
          <w:tcPr>
            <w:tcW w:w="740" w:type="dxa"/>
            <w:vAlign w:val="bottom"/>
          </w:tcPr>
          <w:p>
            <w:pPr>
              <w:spacing w:after="0"/>
              <w:rPr>
                <w:sz w:val="20"/>
                <w:szCs w:val="20"/>
                <w:color w:val="auto"/>
              </w:rPr>
            </w:pPr>
          </w:p>
        </w:tc>
        <w:tc>
          <w:tcPr>
            <w:tcW w:w="5380" w:type="dxa"/>
            <w:vAlign w:val="bottom"/>
          </w:tcPr>
          <w:p>
            <w:pPr>
              <w:spacing w:after="0"/>
              <w:rPr>
                <w:sz w:val="20"/>
                <w:szCs w:val="20"/>
                <w:color w:val="auto"/>
              </w:rPr>
            </w:pPr>
          </w:p>
        </w:tc>
        <w:tc>
          <w:tcPr>
            <w:tcW w:w="5300" w:type="dxa"/>
            <w:vAlign w:val="bottom"/>
          </w:tcPr>
          <w:p>
            <w:pPr>
              <w:ind w:left="80"/>
              <w:spacing w:after="0"/>
              <w:rPr>
                <w:sz w:val="20"/>
                <w:szCs w:val="20"/>
                <w:color w:val="auto"/>
              </w:rPr>
            </w:pPr>
            <w:r>
              <w:rPr>
                <w:rFonts w:ascii="Arial" w:cs="Arial" w:eastAsia="Arial" w:hAnsi="Arial"/>
                <w:sz w:val="18"/>
                <w:szCs w:val="18"/>
                <w:color w:val="auto"/>
              </w:rPr>
              <w:t>March 1, 2016, Exhibit 10.3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9" w:lineRule="exact"/>
        <w:rPr>
          <w:sz w:val="20"/>
          <w:szCs w:val="20"/>
          <w:color w:val="auto"/>
        </w:rPr>
      </w:pPr>
    </w:p>
    <w:p>
      <w:pPr>
        <w:ind w:left="40"/>
        <w:spacing w:after="0"/>
        <w:rPr>
          <w:sz w:val="20"/>
          <w:szCs w:val="20"/>
          <w:color w:val="auto"/>
        </w:rPr>
      </w:pPr>
      <w:r>
        <w:rPr>
          <w:rFonts w:ascii="Arial" w:cs="Arial" w:eastAsia="Arial" w:hAnsi="Arial"/>
          <w:sz w:val="14"/>
          <w:szCs w:val="14"/>
          <w:color w:val="auto"/>
        </w:rPr>
        <w:t>*This exhibit is a management contract, compensatory plan or arrangement</w:t>
      </w:r>
    </w:p>
    <w:p>
      <w:pPr>
        <w:sectPr>
          <w:pgSz w:w="11900" w:h="16838" w:orient="portrait"/>
          <w:cols w:equalWidth="0" w:num="1">
            <w:col w:w="11420"/>
          </w:cols>
          <w:pgMar w:left="240" w:top="126" w:right="239" w:bottom="807" w:gutter="0" w:footer="0" w:header="0"/>
        </w:sect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6"/>
          <w:szCs w:val="16"/>
          <w:color w:val="auto"/>
        </w:rPr>
        <w:t>72</w:t>
      </w:r>
    </w:p>
    <w:p>
      <w:pPr>
        <w:sectPr>
          <w:pgSz w:w="11900" w:h="16838" w:orient="portrait"/>
          <w:cols w:equalWidth="0" w:num="1">
            <w:col w:w="11420"/>
          </w:cols>
          <w:pgMar w:left="240" w:top="126" w:right="239" w:bottom="807" w:gutter="0" w:footer="0" w:header="0"/>
          <w:type w:val="continuous"/>
        </w:sectPr>
      </w:pPr>
    </w:p>
    <w:bookmarkStart w:id="73" w:name="page74"/>
    <w:bookmarkEnd w:id="73"/>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0" w:type="dxa"/>
            <w:vAlign w:val="bottom"/>
          </w:tcPr>
          <w:p>
            <w:pPr>
              <w:spacing w:after="0"/>
              <w:rPr>
                <w:sz w:val="20"/>
                <w:szCs w:val="20"/>
                <w:color w:val="auto"/>
              </w:rPr>
            </w:pPr>
          </w:p>
        </w:tc>
        <w:tc>
          <w:tcPr>
            <w:tcW w:w="5380" w:type="dxa"/>
            <w:vAlign w:val="bottom"/>
          </w:tcPr>
          <w:p>
            <w:pPr>
              <w:ind w:left="2480"/>
              <w:spacing w:after="0"/>
              <w:rPr>
                <w:sz w:val="20"/>
                <w:szCs w:val="20"/>
                <w:color w:val="auto"/>
              </w:rPr>
            </w:pPr>
            <w:r>
              <w:rPr>
                <w:rFonts w:ascii="Arial" w:cs="Arial" w:eastAsia="Arial" w:hAnsi="Arial"/>
                <w:sz w:val="18"/>
                <w:szCs w:val="18"/>
                <w:b w:val="1"/>
                <w:bCs w:val="1"/>
                <w:color w:val="auto"/>
              </w:rPr>
              <w:t>Exhibit</w:t>
            </w:r>
          </w:p>
        </w:tc>
        <w:tc>
          <w:tcPr>
            <w:tcW w:w="5300" w:type="dxa"/>
            <w:vAlign w:val="bottom"/>
          </w:tcPr>
          <w:p>
            <w:pPr>
              <w:ind w:left="2040"/>
              <w:spacing w:after="0"/>
              <w:rPr>
                <w:sz w:val="20"/>
                <w:szCs w:val="20"/>
                <w:color w:val="auto"/>
              </w:rPr>
            </w:pPr>
            <w:r>
              <w:rPr>
                <w:rFonts w:ascii="Arial" w:cs="Arial" w:eastAsia="Arial" w:hAnsi="Arial"/>
                <w:sz w:val="18"/>
                <w:szCs w:val="18"/>
                <w:b w:val="1"/>
                <w:bCs w:val="1"/>
                <w:color w:val="auto"/>
              </w:rPr>
              <w:t>Method of Filing</w:t>
            </w:r>
          </w:p>
        </w:tc>
      </w:tr>
      <w:tr>
        <w:trPr>
          <w:trHeight w:val="27"/>
        </w:trPr>
        <w:tc>
          <w:tcPr>
            <w:tcW w:w="740" w:type="dxa"/>
            <w:vAlign w:val="bottom"/>
            <w:tcBorders>
              <w:bottom w:val="single" w:sz="8" w:color="auto"/>
            </w:tcBorders>
          </w:tcPr>
          <w:p>
            <w:pPr>
              <w:spacing w:after="0"/>
              <w:rPr>
                <w:sz w:val="2"/>
                <w:szCs w:val="2"/>
                <w:color w:val="auto"/>
              </w:rPr>
            </w:pPr>
          </w:p>
        </w:tc>
        <w:tc>
          <w:tcPr>
            <w:tcW w:w="5380" w:type="dxa"/>
            <w:vAlign w:val="bottom"/>
            <w:tcBorders>
              <w:bottom w:val="single" w:sz="8" w:color="auto"/>
            </w:tcBorders>
          </w:tcPr>
          <w:p>
            <w:pPr>
              <w:spacing w:after="0"/>
              <w:rPr>
                <w:sz w:val="2"/>
                <w:szCs w:val="2"/>
                <w:color w:val="auto"/>
              </w:rPr>
            </w:pPr>
          </w:p>
        </w:tc>
        <w:tc>
          <w:tcPr>
            <w:tcW w:w="5300" w:type="dxa"/>
            <w:vAlign w:val="bottom"/>
            <w:tcBorders>
              <w:bottom w:val="single" w:sz="8" w:color="auto"/>
            </w:tcBorders>
          </w:tcPr>
          <w:p>
            <w:pPr>
              <w:spacing w:after="0"/>
              <w:rPr>
                <w:sz w:val="2"/>
                <w:szCs w:val="2"/>
                <w:color w:val="auto"/>
              </w:rPr>
            </w:pPr>
          </w:p>
        </w:tc>
      </w:tr>
      <w:tr>
        <w:trPr>
          <w:trHeight w:val="222"/>
        </w:trPr>
        <w:tc>
          <w:tcPr>
            <w:tcW w:w="740" w:type="dxa"/>
            <w:vAlign w:val="bottom"/>
          </w:tcPr>
          <w:p>
            <w:pPr>
              <w:ind w:left="40"/>
              <w:spacing w:after="0"/>
              <w:rPr>
                <w:sz w:val="20"/>
                <w:szCs w:val="20"/>
                <w:color w:val="auto"/>
              </w:rPr>
            </w:pPr>
            <w:r>
              <w:rPr>
                <w:rFonts w:ascii="Arial" w:cs="Arial" w:eastAsia="Arial" w:hAnsi="Arial"/>
                <w:sz w:val="18"/>
                <w:szCs w:val="18"/>
                <w:color w:val="auto"/>
              </w:rPr>
              <w:t>10.47*</w:t>
            </w:r>
          </w:p>
        </w:tc>
        <w:tc>
          <w:tcPr>
            <w:tcW w:w="5380" w:type="dxa"/>
            <w:vAlign w:val="bottom"/>
          </w:tcPr>
          <w:p>
            <w:pPr>
              <w:ind w:left="220"/>
              <w:spacing w:after="0"/>
              <w:rPr>
                <w:sz w:val="20"/>
                <w:szCs w:val="20"/>
                <w:color w:val="auto"/>
              </w:rPr>
            </w:pPr>
            <w:r>
              <w:rPr>
                <w:rFonts w:ascii="Arial" w:cs="Arial" w:eastAsia="Arial" w:hAnsi="Arial"/>
                <w:sz w:val="18"/>
                <w:szCs w:val="18"/>
                <w:color w:val="auto"/>
              </w:rPr>
              <w:t>Form of the 2017 Performance Share Unit Notice and Award</w:t>
            </w:r>
          </w:p>
        </w:tc>
        <w:tc>
          <w:tcPr>
            <w:tcW w:w="5300" w:type="dxa"/>
            <w:vAlign w:val="bottom"/>
          </w:tcPr>
          <w:p>
            <w:pPr>
              <w:ind w:left="80"/>
              <w:spacing w:after="0"/>
              <w:rPr>
                <w:sz w:val="20"/>
                <w:szCs w:val="20"/>
                <w:color w:val="auto"/>
              </w:rPr>
            </w:pPr>
            <w:r>
              <w:rPr>
                <w:rFonts w:ascii="Arial" w:cs="Arial" w:eastAsia="Arial" w:hAnsi="Arial"/>
                <w:sz w:val="18"/>
                <w:szCs w:val="18"/>
                <w:color w:val="auto"/>
                <w:w w:val="99"/>
              </w:rPr>
              <w:t>Incorporated by reference from the Registrant’s Form 8-K filed on</w:t>
            </w:r>
          </w:p>
        </w:tc>
      </w:tr>
      <w:tr>
        <w:trPr>
          <w:trHeight w:val="230"/>
        </w:trPr>
        <w:tc>
          <w:tcPr>
            <w:tcW w:w="740" w:type="dxa"/>
            <w:vAlign w:val="bottom"/>
          </w:tcPr>
          <w:p>
            <w:pPr>
              <w:spacing w:after="0"/>
              <w:rPr>
                <w:sz w:val="20"/>
                <w:szCs w:val="20"/>
                <w:color w:val="auto"/>
              </w:rPr>
            </w:pPr>
          </w:p>
        </w:tc>
        <w:tc>
          <w:tcPr>
            <w:tcW w:w="5380" w:type="dxa"/>
            <w:vAlign w:val="bottom"/>
          </w:tcPr>
          <w:p>
            <w:pPr>
              <w:ind w:left="220"/>
              <w:spacing w:after="0"/>
              <w:rPr>
                <w:sz w:val="20"/>
                <w:szCs w:val="20"/>
                <w:color w:val="auto"/>
              </w:rPr>
            </w:pPr>
            <w:r>
              <w:rPr>
                <w:rFonts w:ascii="Arial" w:cs="Arial" w:eastAsia="Arial" w:hAnsi="Arial"/>
                <w:sz w:val="18"/>
                <w:szCs w:val="18"/>
                <w:color w:val="auto"/>
              </w:rPr>
              <w:t>Agreement</w:t>
            </w:r>
          </w:p>
        </w:tc>
        <w:tc>
          <w:tcPr>
            <w:tcW w:w="5300" w:type="dxa"/>
            <w:vAlign w:val="bottom"/>
          </w:tcPr>
          <w:p>
            <w:pPr>
              <w:ind w:left="80"/>
              <w:spacing w:after="0"/>
              <w:rPr>
                <w:sz w:val="20"/>
                <w:szCs w:val="20"/>
                <w:color w:val="auto"/>
              </w:rPr>
            </w:pPr>
            <w:r>
              <w:rPr>
                <w:rFonts w:ascii="Arial" w:cs="Arial" w:eastAsia="Arial" w:hAnsi="Arial"/>
                <w:sz w:val="18"/>
                <w:szCs w:val="18"/>
                <w:color w:val="auto"/>
              </w:rPr>
              <w:t>February 23, 2017, Exhibit 10.3</w:t>
            </w:r>
          </w:p>
        </w:tc>
      </w:tr>
      <w:tr>
        <w:trPr>
          <w:trHeight w:val="377"/>
        </w:trPr>
        <w:tc>
          <w:tcPr>
            <w:tcW w:w="740" w:type="dxa"/>
            <w:vAlign w:val="bottom"/>
          </w:tcPr>
          <w:p>
            <w:pPr>
              <w:ind w:left="40"/>
              <w:spacing w:after="0"/>
              <w:rPr>
                <w:sz w:val="20"/>
                <w:szCs w:val="20"/>
                <w:color w:val="auto"/>
              </w:rPr>
            </w:pPr>
            <w:r>
              <w:rPr>
                <w:rFonts w:ascii="Arial" w:cs="Arial" w:eastAsia="Arial" w:hAnsi="Arial"/>
                <w:sz w:val="18"/>
                <w:szCs w:val="18"/>
                <w:color w:val="auto"/>
              </w:rPr>
              <w:t>10.48*</w:t>
            </w:r>
          </w:p>
        </w:tc>
        <w:tc>
          <w:tcPr>
            <w:tcW w:w="5380" w:type="dxa"/>
            <w:vAlign w:val="bottom"/>
          </w:tcPr>
          <w:p>
            <w:pPr>
              <w:ind w:left="220"/>
              <w:spacing w:after="0"/>
              <w:rPr>
                <w:sz w:val="20"/>
                <w:szCs w:val="20"/>
                <w:color w:val="auto"/>
              </w:rPr>
            </w:pPr>
            <w:r>
              <w:rPr>
                <w:rFonts w:ascii="Arial" w:cs="Arial" w:eastAsia="Arial" w:hAnsi="Arial"/>
                <w:sz w:val="18"/>
                <w:szCs w:val="18"/>
                <w:color w:val="auto"/>
              </w:rPr>
              <w:t>Nordstrom Supplemental Executive Retirement Plan (2008)</w:t>
            </w:r>
          </w:p>
        </w:tc>
        <w:tc>
          <w:tcPr>
            <w:tcW w:w="5300" w:type="dxa"/>
            <w:vAlign w:val="bottom"/>
          </w:tcPr>
          <w:p>
            <w:pPr>
              <w:ind w:left="80"/>
              <w:spacing w:after="0"/>
              <w:rPr>
                <w:sz w:val="20"/>
                <w:szCs w:val="20"/>
                <w:color w:val="auto"/>
              </w:rPr>
            </w:pPr>
            <w:r>
              <w:rPr>
                <w:rFonts w:ascii="Arial" w:cs="Arial" w:eastAsia="Arial" w:hAnsi="Arial"/>
                <w:sz w:val="18"/>
                <w:szCs w:val="18"/>
                <w:color w:val="auto"/>
                <w:w w:val="99"/>
              </w:rPr>
              <w:t>Incorporated by reference from the Registrant’s Form 8-K filed on</w:t>
            </w:r>
          </w:p>
        </w:tc>
      </w:tr>
      <w:tr>
        <w:trPr>
          <w:trHeight w:val="230"/>
        </w:trPr>
        <w:tc>
          <w:tcPr>
            <w:tcW w:w="740" w:type="dxa"/>
            <w:vAlign w:val="bottom"/>
          </w:tcPr>
          <w:p>
            <w:pPr>
              <w:spacing w:after="0"/>
              <w:rPr>
                <w:sz w:val="20"/>
                <w:szCs w:val="20"/>
                <w:color w:val="auto"/>
              </w:rPr>
            </w:pPr>
          </w:p>
        </w:tc>
        <w:tc>
          <w:tcPr>
            <w:tcW w:w="5380" w:type="dxa"/>
            <w:vAlign w:val="bottom"/>
          </w:tcPr>
          <w:p>
            <w:pPr>
              <w:spacing w:after="0"/>
              <w:rPr>
                <w:sz w:val="20"/>
                <w:szCs w:val="20"/>
                <w:color w:val="auto"/>
              </w:rPr>
            </w:pPr>
          </w:p>
        </w:tc>
        <w:tc>
          <w:tcPr>
            <w:tcW w:w="5300" w:type="dxa"/>
            <w:vAlign w:val="bottom"/>
          </w:tcPr>
          <w:p>
            <w:pPr>
              <w:ind w:left="80"/>
              <w:spacing w:after="0"/>
              <w:rPr>
                <w:sz w:val="20"/>
                <w:szCs w:val="20"/>
                <w:color w:val="auto"/>
              </w:rPr>
            </w:pPr>
            <w:r>
              <w:rPr>
                <w:rFonts w:ascii="Arial" w:cs="Arial" w:eastAsia="Arial" w:hAnsi="Arial"/>
                <w:sz w:val="18"/>
                <w:szCs w:val="18"/>
                <w:color w:val="auto"/>
              </w:rPr>
              <w:t>November 24, 2008, Exhibit 10.4</w:t>
            </w:r>
          </w:p>
        </w:tc>
      </w:tr>
      <w:tr>
        <w:trPr>
          <w:trHeight w:val="377"/>
        </w:trPr>
        <w:tc>
          <w:tcPr>
            <w:tcW w:w="740" w:type="dxa"/>
            <w:vAlign w:val="bottom"/>
          </w:tcPr>
          <w:p>
            <w:pPr>
              <w:ind w:left="40"/>
              <w:spacing w:after="0"/>
              <w:rPr>
                <w:sz w:val="20"/>
                <w:szCs w:val="20"/>
                <w:color w:val="auto"/>
              </w:rPr>
            </w:pPr>
            <w:r>
              <w:rPr>
                <w:rFonts w:ascii="Arial" w:cs="Arial" w:eastAsia="Arial" w:hAnsi="Arial"/>
                <w:sz w:val="18"/>
                <w:szCs w:val="18"/>
                <w:color w:val="auto"/>
              </w:rPr>
              <w:t>10.49*</w:t>
            </w:r>
          </w:p>
        </w:tc>
        <w:tc>
          <w:tcPr>
            <w:tcW w:w="5380" w:type="dxa"/>
            <w:vAlign w:val="bottom"/>
          </w:tcPr>
          <w:p>
            <w:pPr>
              <w:ind w:left="220"/>
              <w:spacing w:after="0"/>
              <w:rPr>
                <w:sz w:val="20"/>
                <w:szCs w:val="20"/>
                <w:color w:val="auto"/>
              </w:rPr>
            </w:pPr>
            <w:r>
              <w:rPr>
                <w:rFonts w:ascii="Arial" w:cs="Arial" w:eastAsia="Arial" w:hAnsi="Arial"/>
                <w:sz w:val="18"/>
                <w:szCs w:val="18"/>
                <w:color w:val="auto"/>
              </w:rPr>
              <w:t>Amendment 2009-1 to the Nordstrom Supplemental Executive</w:t>
            </w:r>
          </w:p>
        </w:tc>
        <w:tc>
          <w:tcPr>
            <w:tcW w:w="5300" w:type="dxa"/>
            <w:vAlign w:val="bottom"/>
          </w:tcPr>
          <w:p>
            <w:pPr>
              <w:ind w:left="80"/>
              <w:spacing w:after="0"/>
              <w:rPr>
                <w:sz w:val="20"/>
                <w:szCs w:val="20"/>
                <w:color w:val="auto"/>
              </w:rPr>
            </w:pPr>
            <w:r>
              <w:rPr>
                <w:rFonts w:ascii="Arial" w:cs="Arial" w:eastAsia="Arial" w:hAnsi="Arial"/>
                <w:sz w:val="18"/>
                <w:szCs w:val="18"/>
                <w:color w:val="auto"/>
                <w:w w:val="99"/>
              </w:rPr>
              <w:t>Incorporated by reference from the Registrant’s Form 8-K filed on</w:t>
            </w:r>
          </w:p>
        </w:tc>
      </w:tr>
      <w:tr>
        <w:trPr>
          <w:trHeight w:val="230"/>
        </w:trPr>
        <w:tc>
          <w:tcPr>
            <w:tcW w:w="740" w:type="dxa"/>
            <w:vAlign w:val="bottom"/>
          </w:tcPr>
          <w:p>
            <w:pPr>
              <w:spacing w:after="0"/>
              <w:rPr>
                <w:sz w:val="20"/>
                <w:szCs w:val="20"/>
                <w:color w:val="auto"/>
              </w:rPr>
            </w:pPr>
          </w:p>
        </w:tc>
        <w:tc>
          <w:tcPr>
            <w:tcW w:w="5380" w:type="dxa"/>
            <w:vAlign w:val="bottom"/>
          </w:tcPr>
          <w:p>
            <w:pPr>
              <w:ind w:left="220"/>
              <w:spacing w:after="0"/>
              <w:rPr>
                <w:sz w:val="20"/>
                <w:szCs w:val="20"/>
                <w:color w:val="auto"/>
              </w:rPr>
            </w:pPr>
            <w:r>
              <w:rPr>
                <w:rFonts w:ascii="Arial" w:cs="Arial" w:eastAsia="Arial" w:hAnsi="Arial"/>
                <w:sz w:val="18"/>
                <w:szCs w:val="18"/>
                <w:color w:val="auto"/>
              </w:rPr>
              <w:t>Retirement Plan</w:t>
            </w:r>
          </w:p>
        </w:tc>
        <w:tc>
          <w:tcPr>
            <w:tcW w:w="5300" w:type="dxa"/>
            <w:vAlign w:val="bottom"/>
          </w:tcPr>
          <w:p>
            <w:pPr>
              <w:ind w:left="80"/>
              <w:spacing w:after="0"/>
              <w:rPr>
                <w:sz w:val="20"/>
                <w:szCs w:val="20"/>
                <w:color w:val="auto"/>
              </w:rPr>
            </w:pPr>
            <w:r>
              <w:rPr>
                <w:rFonts w:ascii="Arial" w:cs="Arial" w:eastAsia="Arial" w:hAnsi="Arial"/>
                <w:sz w:val="18"/>
                <w:szCs w:val="18"/>
                <w:color w:val="auto"/>
              </w:rPr>
              <w:t>March 3, 2009, Exhibit 10.4</w:t>
            </w:r>
          </w:p>
        </w:tc>
      </w:tr>
      <w:tr>
        <w:trPr>
          <w:trHeight w:val="377"/>
        </w:trPr>
        <w:tc>
          <w:tcPr>
            <w:tcW w:w="740" w:type="dxa"/>
            <w:vAlign w:val="bottom"/>
          </w:tcPr>
          <w:p>
            <w:pPr>
              <w:ind w:left="40"/>
              <w:spacing w:after="0"/>
              <w:rPr>
                <w:sz w:val="20"/>
                <w:szCs w:val="20"/>
                <w:color w:val="auto"/>
              </w:rPr>
            </w:pPr>
            <w:r>
              <w:rPr>
                <w:rFonts w:ascii="Arial" w:cs="Arial" w:eastAsia="Arial" w:hAnsi="Arial"/>
                <w:sz w:val="18"/>
                <w:szCs w:val="18"/>
                <w:color w:val="auto"/>
              </w:rPr>
              <w:t>10.50*</w:t>
            </w:r>
          </w:p>
        </w:tc>
        <w:tc>
          <w:tcPr>
            <w:tcW w:w="5380" w:type="dxa"/>
            <w:vAlign w:val="bottom"/>
          </w:tcPr>
          <w:p>
            <w:pPr>
              <w:ind w:left="220"/>
              <w:spacing w:after="0"/>
              <w:rPr>
                <w:sz w:val="20"/>
                <w:szCs w:val="20"/>
                <w:color w:val="auto"/>
              </w:rPr>
            </w:pPr>
            <w:r>
              <w:rPr>
                <w:rFonts w:ascii="Arial" w:cs="Arial" w:eastAsia="Arial" w:hAnsi="Arial"/>
                <w:sz w:val="18"/>
                <w:szCs w:val="18"/>
                <w:color w:val="auto"/>
              </w:rPr>
              <w:t>Amendment 2014-1 to the Nordstrom Supplemental Executive</w:t>
            </w:r>
          </w:p>
        </w:tc>
        <w:tc>
          <w:tcPr>
            <w:tcW w:w="5300" w:type="dxa"/>
            <w:vAlign w:val="bottom"/>
          </w:tcPr>
          <w:p>
            <w:pPr>
              <w:ind w:left="80"/>
              <w:spacing w:after="0"/>
              <w:rPr>
                <w:sz w:val="20"/>
                <w:szCs w:val="20"/>
                <w:color w:val="auto"/>
              </w:rPr>
            </w:pPr>
            <w:r>
              <w:rPr>
                <w:rFonts w:ascii="Arial" w:cs="Arial" w:eastAsia="Arial" w:hAnsi="Arial"/>
                <w:sz w:val="18"/>
                <w:szCs w:val="18"/>
                <w:color w:val="auto"/>
                <w:w w:val="99"/>
              </w:rPr>
              <w:t>Incorporated by reference from the Registrant’s Form 8-K filed on</w:t>
            </w:r>
          </w:p>
        </w:tc>
      </w:tr>
      <w:tr>
        <w:trPr>
          <w:trHeight w:val="230"/>
        </w:trPr>
        <w:tc>
          <w:tcPr>
            <w:tcW w:w="740" w:type="dxa"/>
            <w:vAlign w:val="bottom"/>
          </w:tcPr>
          <w:p>
            <w:pPr>
              <w:spacing w:after="0"/>
              <w:rPr>
                <w:sz w:val="20"/>
                <w:szCs w:val="20"/>
                <w:color w:val="auto"/>
              </w:rPr>
            </w:pPr>
          </w:p>
        </w:tc>
        <w:tc>
          <w:tcPr>
            <w:tcW w:w="5380" w:type="dxa"/>
            <w:vAlign w:val="bottom"/>
          </w:tcPr>
          <w:p>
            <w:pPr>
              <w:ind w:left="220"/>
              <w:spacing w:after="0"/>
              <w:rPr>
                <w:sz w:val="20"/>
                <w:szCs w:val="20"/>
                <w:color w:val="auto"/>
              </w:rPr>
            </w:pPr>
            <w:r>
              <w:rPr>
                <w:rFonts w:ascii="Arial" w:cs="Arial" w:eastAsia="Arial" w:hAnsi="Arial"/>
                <w:sz w:val="18"/>
                <w:szCs w:val="18"/>
                <w:color w:val="auto"/>
              </w:rPr>
              <w:t>Retirement Plan</w:t>
            </w:r>
          </w:p>
        </w:tc>
        <w:tc>
          <w:tcPr>
            <w:tcW w:w="5300" w:type="dxa"/>
            <w:vAlign w:val="bottom"/>
          </w:tcPr>
          <w:p>
            <w:pPr>
              <w:ind w:left="80"/>
              <w:spacing w:after="0"/>
              <w:rPr>
                <w:sz w:val="20"/>
                <w:szCs w:val="20"/>
                <w:color w:val="auto"/>
              </w:rPr>
            </w:pPr>
            <w:r>
              <w:rPr>
                <w:rFonts w:ascii="Arial" w:cs="Arial" w:eastAsia="Arial" w:hAnsi="Arial"/>
                <w:sz w:val="18"/>
                <w:szCs w:val="18"/>
                <w:color w:val="auto"/>
              </w:rPr>
              <w:t>August 25, 2014, Exhibit 10.1</w:t>
            </w:r>
          </w:p>
        </w:tc>
      </w:tr>
      <w:tr>
        <w:trPr>
          <w:trHeight w:val="377"/>
        </w:trPr>
        <w:tc>
          <w:tcPr>
            <w:tcW w:w="740" w:type="dxa"/>
            <w:vAlign w:val="bottom"/>
          </w:tcPr>
          <w:p>
            <w:pPr>
              <w:ind w:left="40"/>
              <w:spacing w:after="0"/>
              <w:rPr>
                <w:sz w:val="20"/>
                <w:szCs w:val="20"/>
                <w:color w:val="auto"/>
              </w:rPr>
            </w:pPr>
            <w:r>
              <w:rPr>
                <w:rFonts w:ascii="Arial" w:cs="Arial" w:eastAsia="Arial" w:hAnsi="Arial"/>
                <w:sz w:val="18"/>
                <w:szCs w:val="18"/>
                <w:color w:val="auto"/>
              </w:rPr>
              <w:t>10.51*</w:t>
            </w:r>
          </w:p>
        </w:tc>
        <w:tc>
          <w:tcPr>
            <w:tcW w:w="5380" w:type="dxa"/>
            <w:vAlign w:val="bottom"/>
          </w:tcPr>
          <w:p>
            <w:pPr>
              <w:ind w:left="220"/>
              <w:spacing w:after="0"/>
              <w:rPr>
                <w:sz w:val="20"/>
                <w:szCs w:val="20"/>
                <w:color w:val="auto"/>
              </w:rPr>
            </w:pPr>
            <w:r>
              <w:rPr>
                <w:rFonts w:ascii="Arial" w:cs="Arial" w:eastAsia="Arial" w:hAnsi="Arial"/>
                <w:sz w:val="18"/>
                <w:szCs w:val="18"/>
                <w:color w:val="auto"/>
              </w:rPr>
              <w:t>Amendment 2014-2 to the Nordstrom Supplemental Executive</w:t>
            </w:r>
          </w:p>
        </w:tc>
        <w:tc>
          <w:tcPr>
            <w:tcW w:w="5300" w:type="dxa"/>
            <w:vAlign w:val="bottom"/>
          </w:tcPr>
          <w:p>
            <w:pPr>
              <w:ind w:left="80"/>
              <w:spacing w:after="0"/>
              <w:rPr>
                <w:sz w:val="20"/>
                <w:szCs w:val="20"/>
                <w:color w:val="auto"/>
              </w:rPr>
            </w:pPr>
            <w:r>
              <w:rPr>
                <w:rFonts w:ascii="Arial" w:cs="Arial" w:eastAsia="Arial" w:hAnsi="Arial"/>
                <w:sz w:val="18"/>
                <w:szCs w:val="18"/>
                <w:color w:val="auto"/>
                <w:w w:val="99"/>
              </w:rPr>
              <w:t>Incorporated by reference from the Registrant’s Form 8-K filed on</w:t>
            </w:r>
          </w:p>
        </w:tc>
      </w:tr>
      <w:tr>
        <w:trPr>
          <w:trHeight w:val="230"/>
        </w:trPr>
        <w:tc>
          <w:tcPr>
            <w:tcW w:w="740" w:type="dxa"/>
            <w:vAlign w:val="bottom"/>
          </w:tcPr>
          <w:p>
            <w:pPr>
              <w:spacing w:after="0"/>
              <w:rPr>
                <w:sz w:val="20"/>
                <w:szCs w:val="20"/>
                <w:color w:val="auto"/>
              </w:rPr>
            </w:pPr>
          </w:p>
        </w:tc>
        <w:tc>
          <w:tcPr>
            <w:tcW w:w="5380" w:type="dxa"/>
            <w:vAlign w:val="bottom"/>
          </w:tcPr>
          <w:p>
            <w:pPr>
              <w:ind w:left="220"/>
              <w:spacing w:after="0"/>
              <w:rPr>
                <w:sz w:val="20"/>
                <w:szCs w:val="20"/>
                <w:color w:val="auto"/>
              </w:rPr>
            </w:pPr>
            <w:r>
              <w:rPr>
                <w:rFonts w:ascii="Arial" w:cs="Arial" w:eastAsia="Arial" w:hAnsi="Arial"/>
                <w:sz w:val="18"/>
                <w:szCs w:val="18"/>
                <w:color w:val="auto"/>
              </w:rPr>
              <w:t>Retirement Plan</w:t>
            </w:r>
          </w:p>
        </w:tc>
        <w:tc>
          <w:tcPr>
            <w:tcW w:w="5300" w:type="dxa"/>
            <w:vAlign w:val="bottom"/>
          </w:tcPr>
          <w:p>
            <w:pPr>
              <w:ind w:left="80"/>
              <w:spacing w:after="0"/>
              <w:rPr>
                <w:sz w:val="20"/>
                <w:szCs w:val="20"/>
                <w:color w:val="auto"/>
              </w:rPr>
            </w:pPr>
            <w:r>
              <w:rPr>
                <w:rFonts w:ascii="Arial" w:cs="Arial" w:eastAsia="Arial" w:hAnsi="Arial"/>
                <w:sz w:val="18"/>
                <w:szCs w:val="18"/>
                <w:color w:val="auto"/>
              </w:rPr>
              <w:t>August 25, 2014, Exhibit 10.2</w:t>
            </w:r>
          </w:p>
        </w:tc>
      </w:tr>
      <w:tr>
        <w:trPr>
          <w:trHeight w:val="377"/>
        </w:trPr>
        <w:tc>
          <w:tcPr>
            <w:tcW w:w="740" w:type="dxa"/>
            <w:vAlign w:val="bottom"/>
          </w:tcPr>
          <w:p>
            <w:pPr>
              <w:ind w:left="40"/>
              <w:spacing w:after="0"/>
              <w:rPr>
                <w:sz w:val="20"/>
                <w:szCs w:val="20"/>
                <w:color w:val="auto"/>
              </w:rPr>
            </w:pPr>
            <w:r>
              <w:rPr>
                <w:rFonts w:ascii="Arial" w:cs="Arial" w:eastAsia="Arial" w:hAnsi="Arial"/>
                <w:sz w:val="18"/>
                <w:szCs w:val="18"/>
                <w:color w:val="auto"/>
              </w:rPr>
              <w:t>10.52</w:t>
            </w:r>
          </w:p>
        </w:tc>
        <w:tc>
          <w:tcPr>
            <w:tcW w:w="5380" w:type="dxa"/>
            <w:vAlign w:val="bottom"/>
          </w:tcPr>
          <w:p>
            <w:pPr>
              <w:ind w:left="220"/>
              <w:spacing w:after="0"/>
              <w:rPr>
                <w:sz w:val="20"/>
                <w:szCs w:val="20"/>
                <w:color w:val="auto"/>
              </w:rPr>
            </w:pPr>
            <w:r>
              <w:rPr>
                <w:rFonts w:ascii="Arial" w:cs="Arial" w:eastAsia="Arial" w:hAnsi="Arial"/>
                <w:sz w:val="18"/>
                <w:szCs w:val="18"/>
                <w:color w:val="auto"/>
                <w:w w:val="91"/>
              </w:rPr>
              <w:t>Nordstrom Directors Deferred Compensation Plan (2002 Restatement)</w:t>
            </w:r>
          </w:p>
        </w:tc>
        <w:tc>
          <w:tcPr>
            <w:tcW w:w="5300" w:type="dxa"/>
            <w:vAlign w:val="bottom"/>
          </w:tcPr>
          <w:p>
            <w:pPr>
              <w:ind w:left="80"/>
              <w:spacing w:after="0"/>
              <w:rPr>
                <w:sz w:val="20"/>
                <w:szCs w:val="20"/>
                <w:color w:val="auto"/>
              </w:rPr>
            </w:pPr>
            <w:r>
              <w:rPr>
                <w:rFonts w:ascii="Arial" w:cs="Arial" w:eastAsia="Arial" w:hAnsi="Arial"/>
                <w:sz w:val="18"/>
                <w:szCs w:val="18"/>
                <w:color w:val="auto"/>
                <w:w w:val="99"/>
              </w:rPr>
              <w:t>Incorporated by reference from the Registrant’s Annual Report on</w:t>
            </w:r>
          </w:p>
        </w:tc>
      </w:tr>
      <w:tr>
        <w:trPr>
          <w:trHeight w:val="230"/>
        </w:trPr>
        <w:tc>
          <w:tcPr>
            <w:tcW w:w="740" w:type="dxa"/>
            <w:vAlign w:val="bottom"/>
          </w:tcPr>
          <w:p>
            <w:pPr>
              <w:spacing w:after="0"/>
              <w:rPr>
                <w:sz w:val="20"/>
                <w:szCs w:val="20"/>
                <w:color w:val="auto"/>
              </w:rPr>
            </w:pPr>
          </w:p>
        </w:tc>
        <w:tc>
          <w:tcPr>
            <w:tcW w:w="5380" w:type="dxa"/>
            <w:vAlign w:val="bottom"/>
          </w:tcPr>
          <w:p>
            <w:pPr>
              <w:spacing w:after="0"/>
              <w:rPr>
                <w:sz w:val="20"/>
                <w:szCs w:val="20"/>
                <w:color w:val="auto"/>
              </w:rPr>
            </w:pPr>
          </w:p>
        </w:tc>
        <w:tc>
          <w:tcPr>
            <w:tcW w:w="5300" w:type="dxa"/>
            <w:vAlign w:val="bottom"/>
          </w:tcPr>
          <w:p>
            <w:pPr>
              <w:ind w:left="80"/>
              <w:spacing w:after="0"/>
              <w:rPr>
                <w:sz w:val="20"/>
                <w:szCs w:val="20"/>
                <w:color w:val="auto"/>
              </w:rPr>
            </w:pPr>
            <w:r>
              <w:rPr>
                <w:rFonts w:ascii="Arial" w:cs="Arial" w:eastAsia="Arial" w:hAnsi="Arial"/>
                <w:sz w:val="18"/>
                <w:szCs w:val="18"/>
                <w:color w:val="auto"/>
              </w:rPr>
              <w:t>Form 10-K for the year ended January 31, 2004, Exhibit 10.55</w:t>
            </w:r>
          </w:p>
        </w:tc>
      </w:tr>
      <w:tr>
        <w:trPr>
          <w:trHeight w:val="377"/>
        </w:trPr>
        <w:tc>
          <w:tcPr>
            <w:tcW w:w="740" w:type="dxa"/>
            <w:vAlign w:val="bottom"/>
          </w:tcPr>
          <w:p>
            <w:pPr>
              <w:ind w:left="40"/>
              <w:spacing w:after="0"/>
              <w:rPr>
                <w:sz w:val="20"/>
                <w:szCs w:val="20"/>
                <w:color w:val="auto"/>
              </w:rPr>
            </w:pPr>
            <w:r>
              <w:rPr>
                <w:rFonts w:ascii="Arial" w:cs="Arial" w:eastAsia="Arial" w:hAnsi="Arial"/>
                <w:sz w:val="18"/>
                <w:szCs w:val="18"/>
                <w:color w:val="auto"/>
              </w:rPr>
              <w:t>10.53</w:t>
            </w:r>
          </w:p>
        </w:tc>
        <w:tc>
          <w:tcPr>
            <w:tcW w:w="5380" w:type="dxa"/>
            <w:vAlign w:val="bottom"/>
          </w:tcPr>
          <w:p>
            <w:pPr>
              <w:ind w:left="220"/>
              <w:spacing w:after="0"/>
              <w:rPr>
                <w:sz w:val="20"/>
                <w:szCs w:val="20"/>
                <w:color w:val="auto"/>
              </w:rPr>
            </w:pPr>
            <w:r>
              <w:rPr>
                <w:rFonts w:ascii="Arial" w:cs="Arial" w:eastAsia="Arial" w:hAnsi="Arial"/>
                <w:sz w:val="18"/>
                <w:szCs w:val="18"/>
                <w:color w:val="auto"/>
              </w:rPr>
              <w:t>Nordstrom Directors Deferred Compensation Plan (2007)</w:t>
            </w:r>
          </w:p>
        </w:tc>
        <w:tc>
          <w:tcPr>
            <w:tcW w:w="5300" w:type="dxa"/>
            <w:vAlign w:val="bottom"/>
          </w:tcPr>
          <w:p>
            <w:pPr>
              <w:ind w:left="80"/>
              <w:spacing w:after="0"/>
              <w:rPr>
                <w:sz w:val="20"/>
                <w:szCs w:val="20"/>
                <w:color w:val="auto"/>
              </w:rPr>
            </w:pPr>
            <w:r>
              <w:rPr>
                <w:rFonts w:ascii="Arial" w:cs="Arial" w:eastAsia="Arial" w:hAnsi="Arial"/>
                <w:sz w:val="18"/>
                <w:szCs w:val="18"/>
                <w:color w:val="auto"/>
                <w:w w:val="99"/>
              </w:rPr>
              <w:t>Incorporated by reference from the Registrant’s Form 8-K filed on</w:t>
            </w:r>
          </w:p>
        </w:tc>
      </w:tr>
      <w:tr>
        <w:trPr>
          <w:trHeight w:val="230"/>
        </w:trPr>
        <w:tc>
          <w:tcPr>
            <w:tcW w:w="740" w:type="dxa"/>
            <w:vAlign w:val="bottom"/>
          </w:tcPr>
          <w:p>
            <w:pPr>
              <w:spacing w:after="0"/>
              <w:rPr>
                <w:sz w:val="20"/>
                <w:szCs w:val="20"/>
                <w:color w:val="auto"/>
              </w:rPr>
            </w:pPr>
          </w:p>
        </w:tc>
        <w:tc>
          <w:tcPr>
            <w:tcW w:w="5380" w:type="dxa"/>
            <w:vAlign w:val="bottom"/>
          </w:tcPr>
          <w:p>
            <w:pPr>
              <w:spacing w:after="0"/>
              <w:rPr>
                <w:sz w:val="20"/>
                <w:szCs w:val="20"/>
                <w:color w:val="auto"/>
              </w:rPr>
            </w:pPr>
          </w:p>
        </w:tc>
        <w:tc>
          <w:tcPr>
            <w:tcW w:w="5300" w:type="dxa"/>
            <w:vAlign w:val="bottom"/>
          </w:tcPr>
          <w:p>
            <w:pPr>
              <w:ind w:left="80"/>
              <w:spacing w:after="0"/>
              <w:rPr>
                <w:sz w:val="20"/>
                <w:szCs w:val="20"/>
                <w:color w:val="auto"/>
              </w:rPr>
            </w:pPr>
            <w:r>
              <w:rPr>
                <w:rFonts w:ascii="Arial" w:cs="Arial" w:eastAsia="Arial" w:hAnsi="Arial"/>
                <w:sz w:val="18"/>
                <w:szCs w:val="18"/>
                <w:color w:val="auto"/>
              </w:rPr>
              <w:t>November 19, 2007, Exhibit 10.41</w:t>
            </w:r>
          </w:p>
        </w:tc>
      </w:tr>
      <w:tr>
        <w:trPr>
          <w:trHeight w:val="377"/>
        </w:trPr>
        <w:tc>
          <w:tcPr>
            <w:tcW w:w="740" w:type="dxa"/>
            <w:vAlign w:val="bottom"/>
          </w:tcPr>
          <w:p>
            <w:pPr>
              <w:ind w:left="40"/>
              <w:spacing w:after="0"/>
              <w:rPr>
                <w:sz w:val="20"/>
                <w:szCs w:val="20"/>
                <w:color w:val="auto"/>
              </w:rPr>
            </w:pPr>
            <w:r>
              <w:rPr>
                <w:rFonts w:ascii="Arial" w:cs="Arial" w:eastAsia="Arial" w:hAnsi="Arial"/>
                <w:sz w:val="18"/>
                <w:szCs w:val="18"/>
                <w:color w:val="auto"/>
              </w:rPr>
              <w:t>10.54</w:t>
            </w:r>
          </w:p>
        </w:tc>
        <w:tc>
          <w:tcPr>
            <w:tcW w:w="5380" w:type="dxa"/>
            <w:vAlign w:val="bottom"/>
          </w:tcPr>
          <w:p>
            <w:pPr>
              <w:ind w:left="220"/>
              <w:spacing w:after="0"/>
              <w:rPr>
                <w:sz w:val="20"/>
                <w:szCs w:val="20"/>
                <w:color w:val="auto"/>
              </w:rPr>
            </w:pPr>
            <w:r>
              <w:rPr>
                <w:rFonts w:ascii="Arial" w:cs="Arial" w:eastAsia="Arial" w:hAnsi="Arial"/>
                <w:sz w:val="18"/>
                <w:szCs w:val="18"/>
                <w:color w:val="auto"/>
              </w:rPr>
              <w:t>Amendment 2009-1 to the Nordstrom Directors Deferred</w:t>
            </w:r>
          </w:p>
        </w:tc>
        <w:tc>
          <w:tcPr>
            <w:tcW w:w="5300" w:type="dxa"/>
            <w:vAlign w:val="bottom"/>
          </w:tcPr>
          <w:p>
            <w:pPr>
              <w:ind w:left="80"/>
              <w:spacing w:after="0"/>
              <w:rPr>
                <w:sz w:val="20"/>
                <w:szCs w:val="20"/>
                <w:color w:val="auto"/>
              </w:rPr>
            </w:pPr>
            <w:r>
              <w:rPr>
                <w:rFonts w:ascii="Arial" w:cs="Arial" w:eastAsia="Arial" w:hAnsi="Arial"/>
                <w:sz w:val="18"/>
                <w:szCs w:val="18"/>
                <w:color w:val="auto"/>
                <w:w w:val="99"/>
              </w:rPr>
              <w:t>Incorporated by reference from the Registrant’s Form S-8 filed on</w:t>
            </w:r>
          </w:p>
        </w:tc>
      </w:tr>
      <w:tr>
        <w:trPr>
          <w:trHeight w:val="230"/>
        </w:trPr>
        <w:tc>
          <w:tcPr>
            <w:tcW w:w="740" w:type="dxa"/>
            <w:vAlign w:val="bottom"/>
          </w:tcPr>
          <w:p>
            <w:pPr>
              <w:spacing w:after="0"/>
              <w:rPr>
                <w:sz w:val="20"/>
                <w:szCs w:val="20"/>
                <w:color w:val="auto"/>
              </w:rPr>
            </w:pPr>
          </w:p>
        </w:tc>
        <w:tc>
          <w:tcPr>
            <w:tcW w:w="5380" w:type="dxa"/>
            <w:vAlign w:val="bottom"/>
          </w:tcPr>
          <w:p>
            <w:pPr>
              <w:ind w:left="220"/>
              <w:spacing w:after="0"/>
              <w:rPr>
                <w:sz w:val="20"/>
                <w:szCs w:val="20"/>
                <w:color w:val="auto"/>
              </w:rPr>
            </w:pPr>
            <w:r>
              <w:rPr>
                <w:rFonts w:ascii="Arial" w:cs="Arial" w:eastAsia="Arial" w:hAnsi="Arial"/>
                <w:sz w:val="18"/>
                <w:szCs w:val="18"/>
                <w:color w:val="auto"/>
              </w:rPr>
              <w:t>Compensation Plan</w:t>
            </w:r>
          </w:p>
        </w:tc>
        <w:tc>
          <w:tcPr>
            <w:tcW w:w="5300" w:type="dxa"/>
            <w:vAlign w:val="bottom"/>
          </w:tcPr>
          <w:p>
            <w:pPr>
              <w:ind w:left="80"/>
              <w:spacing w:after="0"/>
              <w:rPr>
                <w:sz w:val="20"/>
                <w:szCs w:val="20"/>
                <w:color w:val="auto"/>
              </w:rPr>
            </w:pPr>
            <w:r>
              <w:rPr>
                <w:rFonts w:ascii="Arial" w:cs="Arial" w:eastAsia="Arial" w:hAnsi="Arial"/>
                <w:sz w:val="18"/>
                <w:szCs w:val="18"/>
                <w:color w:val="auto"/>
              </w:rPr>
              <w:t>September 9, 2009, Exhibit 10.5</w:t>
            </w:r>
          </w:p>
        </w:tc>
      </w:tr>
      <w:tr>
        <w:trPr>
          <w:trHeight w:val="377"/>
        </w:trPr>
        <w:tc>
          <w:tcPr>
            <w:tcW w:w="740" w:type="dxa"/>
            <w:vAlign w:val="bottom"/>
          </w:tcPr>
          <w:p>
            <w:pPr>
              <w:ind w:left="40"/>
              <w:spacing w:after="0"/>
              <w:rPr>
                <w:sz w:val="20"/>
                <w:szCs w:val="20"/>
                <w:color w:val="auto"/>
              </w:rPr>
            </w:pPr>
            <w:r>
              <w:rPr>
                <w:rFonts w:ascii="Arial" w:cs="Arial" w:eastAsia="Arial" w:hAnsi="Arial"/>
                <w:sz w:val="18"/>
                <w:szCs w:val="18"/>
                <w:color w:val="auto"/>
              </w:rPr>
              <w:t>10.55</w:t>
            </w:r>
          </w:p>
        </w:tc>
        <w:tc>
          <w:tcPr>
            <w:tcW w:w="5380" w:type="dxa"/>
            <w:vAlign w:val="bottom"/>
          </w:tcPr>
          <w:p>
            <w:pPr>
              <w:ind w:left="220"/>
              <w:spacing w:after="0"/>
              <w:rPr>
                <w:sz w:val="20"/>
                <w:szCs w:val="20"/>
                <w:color w:val="auto"/>
              </w:rPr>
            </w:pPr>
            <w:r>
              <w:rPr>
                <w:rFonts w:ascii="Arial" w:cs="Arial" w:eastAsia="Arial" w:hAnsi="Arial"/>
                <w:sz w:val="18"/>
                <w:szCs w:val="18"/>
                <w:color w:val="auto"/>
              </w:rPr>
              <w:t>2009 Form of Independent Director Indemnification Agreement</w:t>
            </w:r>
          </w:p>
        </w:tc>
        <w:tc>
          <w:tcPr>
            <w:tcW w:w="5300" w:type="dxa"/>
            <w:vAlign w:val="bottom"/>
          </w:tcPr>
          <w:p>
            <w:pPr>
              <w:ind w:left="80"/>
              <w:spacing w:after="0"/>
              <w:rPr>
                <w:sz w:val="20"/>
                <w:szCs w:val="20"/>
                <w:color w:val="auto"/>
              </w:rPr>
            </w:pPr>
            <w:r>
              <w:rPr>
                <w:rFonts w:ascii="Arial" w:cs="Arial" w:eastAsia="Arial" w:hAnsi="Arial"/>
                <w:sz w:val="18"/>
                <w:szCs w:val="18"/>
                <w:color w:val="auto"/>
                <w:w w:val="99"/>
              </w:rPr>
              <w:t>Incorporated by reference from the Registrant’s Form 8-K filed on</w:t>
            </w:r>
          </w:p>
        </w:tc>
      </w:tr>
      <w:tr>
        <w:trPr>
          <w:trHeight w:val="230"/>
        </w:trPr>
        <w:tc>
          <w:tcPr>
            <w:tcW w:w="740" w:type="dxa"/>
            <w:vAlign w:val="bottom"/>
          </w:tcPr>
          <w:p>
            <w:pPr>
              <w:spacing w:after="0"/>
              <w:rPr>
                <w:sz w:val="20"/>
                <w:szCs w:val="20"/>
                <w:color w:val="auto"/>
              </w:rPr>
            </w:pPr>
          </w:p>
        </w:tc>
        <w:tc>
          <w:tcPr>
            <w:tcW w:w="5380" w:type="dxa"/>
            <w:vAlign w:val="bottom"/>
          </w:tcPr>
          <w:p>
            <w:pPr>
              <w:spacing w:after="0"/>
              <w:rPr>
                <w:sz w:val="20"/>
                <w:szCs w:val="20"/>
                <w:color w:val="auto"/>
              </w:rPr>
            </w:pPr>
          </w:p>
        </w:tc>
        <w:tc>
          <w:tcPr>
            <w:tcW w:w="5300" w:type="dxa"/>
            <w:vAlign w:val="bottom"/>
          </w:tcPr>
          <w:p>
            <w:pPr>
              <w:ind w:left="80"/>
              <w:spacing w:after="0"/>
              <w:rPr>
                <w:sz w:val="20"/>
                <w:szCs w:val="20"/>
                <w:color w:val="auto"/>
              </w:rPr>
            </w:pPr>
            <w:r>
              <w:rPr>
                <w:rFonts w:ascii="Arial" w:cs="Arial" w:eastAsia="Arial" w:hAnsi="Arial"/>
                <w:sz w:val="18"/>
                <w:szCs w:val="18"/>
                <w:color w:val="auto"/>
              </w:rPr>
              <w:t>March 3, 2009, Exhibit 10.1</w:t>
            </w:r>
          </w:p>
        </w:tc>
      </w:tr>
      <w:tr>
        <w:trPr>
          <w:trHeight w:val="377"/>
        </w:trPr>
        <w:tc>
          <w:tcPr>
            <w:tcW w:w="740" w:type="dxa"/>
            <w:vAlign w:val="bottom"/>
          </w:tcPr>
          <w:p>
            <w:pPr>
              <w:ind w:left="40"/>
              <w:spacing w:after="0"/>
              <w:rPr>
                <w:sz w:val="20"/>
                <w:szCs w:val="20"/>
                <w:color w:val="auto"/>
              </w:rPr>
            </w:pPr>
            <w:r>
              <w:rPr>
                <w:rFonts w:ascii="Arial" w:cs="Arial" w:eastAsia="Arial" w:hAnsi="Arial"/>
                <w:sz w:val="18"/>
                <w:szCs w:val="18"/>
                <w:color w:val="auto"/>
              </w:rPr>
              <w:t>10.56</w:t>
            </w:r>
          </w:p>
        </w:tc>
        <w:tc>
          <w:tcPr>
            <w:tcW w:w="5380" w:type="dxa"/>
            <w:vAlign w:val="bottom"/>
          </w:tcPr>
          <w:p>
            <w:pPr>
              <w:ind w:left="220"/>
              <w:spacing w:after="0"/>
              <w:rPr>
                <w:sz w:val="20"/>
                <w:szCs w:val="20"/>
                <w:color w:val="auto"/>
              </w:rPr>
            </w:pPr>
            <w:r>
              <w:rPr>
                <w:rFonts w:ascii="Arial" w:cs="Arial" w:eastAsia="Arial" w:hAnsi="Arial"/>
                <w:sz w:val="18"/>
                <w:szCs w:val="18"/>
                <w:color w:val="auto"/>
              </w:rPr>
              <w:t>2010 Form of Independent Director Indemnification Agreement</w:t>
            </w:r>
          </w:p>
        </w:tc>
        <w:tc>
          <w:tcPr>
            <w:tcW w:w="5300" w:type="dxa"/>
            <w:vAlign w:val="bottom"/>
          </w:tcPr>
          <w:p>
            <w:pPr>
              <w:ind w:left="80"/>
              <w:spacing w:after="0"/>
              <w:rPr>
                <w:sz w:val="20"/>
                <w:szCs w:val="20"/>
                <w:color w:val="auto"/>
              </w:rPr>
            </w:pPr>
            <w:r>
              <w:rPr>
                <w:rFonts w:ascii="Arial" w:cs="Arial" w:eastAsia="Arial" w:hAnsi="Arial"/>
                <w:sz w:val="18"/>
                <w:szCs w:val="18"/>
                <w:color w:val="auto"/>
                <w:w w:val="99"/>
              </w:rPr>
              <w:t>Incorporated by reference from the Registrant’s Annual Report on</w:t>
            </w:r>
          </w:p>
        </w:tc>
      </w:tr>
      <w:tr>
        <w:trPr>
          <w:trHeight w:val="230"/>
        </w:trPr>
        <w:tc>
          <w:tcPr>
            <w:tcW w:w="740" w:type="dxa"/>
            <w:vAlign w:val="bottom"/>
          </w:tcPr>
          <w:p>
            <w:pPr>
              <w:spacing w:after="0"/>
              <w:rPr>
                <w:sz w:val="20"/>
                <w:szCs w:val="20"/>
                <w:color w:val="auto"/>
              </w:rPr>
            </w:pPr>
          </w:p>
        </w:tc>
        <w:tc>
          <w:tcPr>
            <w:tcW w:w="5380" w:type="dxa"/>
            <w:vAlign w:val="bottom"/>
          </w:tcPr>
          <w:p>
            <w:pPr>
              <w:spacing w:after="0"/>
              <w:rPr>
                <w:sz w:val="20"/>
                <w:szCs w:val="20"/>
                <w:color w:val="auto"/>
              </w:rPr>
            </w:pPr>
          </w:p>
        </w:tc>
        <w:tc>
          <w:tcPr>
            <w:tcW w:w="5300" w:type="dxa"/>
            <w:vAlign w:val="bottom"/>
          </w:tcPr>
          <w:p>
            <w:pPr>
              <w:ind w:left="80"/>
              <w:spacing w:after="0"/>
              <w:rPr>
                <w:sz w:val="20"/>
                <w:szCs w:val="20"/>
                <w:color w:val="auto"/>
              </w:rPr>
            </w:pPr>
            <w:r>
              <w:rPr>
                <w:rFonts w:ascii="Arial" w:cs="Arial" w:eastAsia="Arial" w:hAnsi="Arial"/>
                <w:sz w:val="18"/>
                <w:szCs w:val="18"/>
                <w:color w:val="auto"/>
              </w:rPr>
              <w:t>Form 10-K for the year ended January 29, 2011, Exhibit 10.78</w:t>
            </w:r>
          </w:p>
        </w:tc>
      </w:tr>
      <w:tr>
        <w:trPr>
          <w:trHeight w:val="377"/>
        </w:trPr>
        <w:tc>
          <w:tcPr>
            <w:tcW w:w="740" w:type="dxa"/>
            <w:vAlign w:val="bottom"/>
          </w:tcPr>
          <w:p>
            <w:pPr>
              <w:ind w:left="40"/>
              <w:spacing w:after="0"/>
              <w:rPr>
                <w:sz w:val="20"/>
                <w:szCs w:val="20"/>
                <w:color w:val="auto"/>
              </w:rPr>
            </w:pPr>
            <w:r>
              <w:rPr>
                <w:rFonts w:ascii="Arial" w:cs="Arial" w:eastAsia="Arial" w:hAnsi="Arial"/>
                <w:sz w:val="18"/>
                <w:szCs w:val="18"/>
                <w:color w:val="auto"/>
              </w:rPr>
              <w:t>10.57</w:t>
            </w:r>
          </w:p>
        </w:tc>
        <w:tc>
          <w:tcPr>
            <w:tcW w:w="5380" w:type="dxa"/>
            <w:vAlign w:val="bottom"/>
          </w:tcPr>
          <w:p>
            <w:pPr>
              <w:ind w:left="220"/>
              <w:spacing w:after="0"/>
              <w:rPr>
                <w:sz w:val="20"/>
                <w:szCs w:val="20"/>
                <w:color w:val="auto"/>
              </w:rPr>
            </w:pPr>
            <w:r>
              <w:rPr>
                <w:rFonts w:ascii="Arial" w:cs="Arial" w:eastAsia="Arial" w:hAnsi="Arial"/>
                <w:sz w:val="18"/>
                <w:szCs w:val="18"/>
                <w:color w:val="auto"/>
              </w:rPr>
              <w:t>The 2002 Nonemployee Director Stock Incentive Plan</w:t>
            </w:r>
          </w:p>
        </w:tc>
        <w:tc>
          <w:tcPr>
            <w:tcW w:w="5300" w:type="dxa"/>
            <w:vAlign w:val="bottom"/>
          </w:tcPr>
          <w:p>
            <w:pPr>
              <w:ind w:left="80"/>
              <w:spacing w:after="0"/>
              <w:rPr>
                <w:sz w:val="20"/>
                <w:szCs w:val="20"/>
                <w:color w:val="auto"/>
              </w:rPr>
            </w:pPr>
            <w:r>
              <w:rPr>
                <w:rFonts w:ascii="Arial" w:cs="Arial" w:eastAsia="Arial" w:hAnsi="Arial"/>
                <w:sz w:val="18"/>
                <w:szCs w:val="18"/>
                <w:color w:val="auto"/>
                <w:w w:val="96"/>
              </w:rPr>
              <w:t>Incorporated by reference from the Registrant’s Quarterly Report on</w:t>
            </w:r>
          </w:p>
        </w:tc>
      </w:tr>
      <w:tr>
        <w:trPr>
          <w:trHeight w:val="230"/>
        </w:trPr>
        <w:tc>
          <w:tcPr>
            <w:tcW w:w="740" w:type="dxa"/>
            <w:vAlign w:val="bottom"/>
          </w:tcPr>
          <w:p>
            <w:pPr>
              <w:spacing w:after="0"/>
              <w:rPr>
                <w:sz w:val="20"/>
                <w:szCs w:val="20"/>
                <w:color w:val="auto"/>
              </w:rPr>
            </w:pPr>
          </w:p>
        </w:tc>
        <w:tc>
          <w:tcPr>
            <w:tcW w:w="5380" w:type="dxa"/>
            <w:vAlign w:val="bottom"/>
          </w:tcPr>
          <w:p>
            <w:pPr>
              <w:spacing w:after="0"/>
              <w:rPr>
                <w:sz w:val="20"/>
                <w:szCs w:val="20"/>
                <w:color w:val="auto"/>
              </w:rPr>
            </w:pPr>
          </w:p>
        </w:tc>
        <w:tc>
          <w:tcPr>
            <w:tcW w:w="5300" w:type="dxa"/>
            <w:vAlign w:val="bottom"/>
          </w:tcPr>
          <w:p>
            <w:pPr>
              <w:ind w:left="80"/>
              <w:spacing w:after="0"/>
              <w:rPr>
                <w:sz w:val="20"/>
                <w:szCs w:val="20"/>
                <w:color w:val="auto"/>
              </w:rPr>
            </w:pPr>
            <w:r>
              <w:rPr>
                <w:rFonts w:ascii="Arial" w:cs="Arial" w:eastAsia="Arial" w:hAnsi="Arial"/>
                <w:sz w:val="18"/>
                <w:szCs w:val="18"/>
                <w:color w:val="auto"/>
              </w:rPr>
              <w:t>Form 10-Q for the quarter ended July 31, 2002, Exhibit 10.1</w:t>
            </w:r>
          </w:p>
        </w:tc>
      </w:tr>
      <w:tr>
        <w:trPr>
          <w:trHeight w:val="377"/>
        </w:trPr>
        <w:tc>
          <w:tcPr>
            <w:tcW w:w="740" w:type="dxa"/>
            <w:vAlign w:val="bottom"/>
          </w:tcPr>
          <w:p>
            <w:pPr>
              <w:ind w:left="40"/>
              <w:spacing w:after="0"/>
              <w:rPr>
                <w:sz w:val="20"/>
                <w:szCs w:val="20"/>
                <w:color w:val="auto"/>
              </w:rPr>
            </w:pPr>
            <w:r>
              <w:rPr>
                <w:rFonts w:ascii="Arial" w:cs="Arial" w:eastAsia="Arial" w:hAnsi="Arial"/>
                <w:sz w:val="18"/>
                <w:szCs w:val="18"/>
                <w:color w:val="auto"/>
              </w:rPr>
              <w:t>10.58</w:t>
            </w:r>
          </w:p>
        </w:tc>
        <w:tc>
          <w:tcPr>
            <w:tcW w:w="5380" w:type="dxa"/>
            <w:vAlign w:val="bottom"/>
          </w:tcPr>
          <w:p>
            <w:pPr>
              <w:ind w:left="220"/>
              <w:spacing w:after="0"/>
              <w:rPr>
                <w:sz w:val="20"/>
                <w:szCs w:val="20"/>
                <w:color w:val="auto"/>
              </w:rPr>
            </w:pPr>
            <w:r>
              <w:rPr>
                <w:rFonts w:ascii="Arial" w:cs="Arial" w:eastAsia="Arial" w:hAnsi="Arial"/>
                <w:sz w:val="18"/>
                <w:szCs w:val="18"/>
                <w:color w:val="auto"/>
                <w:w w:val="98"/>
              </w:rPr>
              <w:t>Nordstrom, Inc. 2002 Nonemployee Director Stock Incentive Plan</w:t>
            </w:r>
          </w:p>
        </w:tc>
        <w:tc>
          <w:tcPr>
            <w:tcW w:w="5300" w:type="dxa"/>
            <w:vAlign w:val="bottom"/>
          </w:tcPr>
          <w:p>
            <w:pPr>
              <w:ind w:left="80"/>
              <w:spacing w:after="0"/>
              <w:rPr>
                <w:sz w:val="20"/>
                <w:szCs w:val="20"/>
                <w:color w:val="auto"/>
              </w:rPr>
            </w:pPr>
            <w:r>
              <w:rPr>
                <w:rFonts w:ascii="Arial" w:cs="Arial" w:eastAsia="Arial" w:hAnsi="Arial"/>
                <w:sz w:val="18"/>
                <w:szCs w:val="18"/>
                <w:color w:val="auto"/>
                <w:w w:val="99"/>
              </w:rPr>
              <w:t>Incorporated by reference from the Registrant’s Form 8-K filed on</w:t>
            </w:r>
          </w:p>
        </w:tc>
      </w:tr>
      <w:tr>
        <w:trPr>
          <w:trHeight w:val="230"/>
        </w:trPr>
        <w:tc>
          <w:tcPr>
            <w:tcW w:w="740" w:type="dxa"/>
            <w:vAlign w:val="bottom"/>
          </w:tcPr>
          <w:p>
            <w:pPr>
              <w:spacing w:after="0"/>
              <w:rPr>
                <w:sz w:val="20"/>
                <w:szCs w:val="20"/>
                <w:color w:val="auto"/>
              </w:rPr>
            </w:pPr>
          </w:p>
        </w:tc>
        <w:tc>
          <w:tcPr>
            <w:tcW w:w="5380" w:type="dxa"/>
            <w:vAlign w:val="bottom"/>
          </w:tcPr>
          <w:p>
            <w:pPr>
              <w:ind w:left="220"/>
              <w:spacing w:after="0"/>
              <w:rPr>
                <w:sz w:val="20"/>
                <w:szCs w:val="20"/>
                <w:color w:val="auto"/>
              </w:rPr>
            </w:pPr>
            <w:r>
              <w:rPr>
                <w:rFonts w:ascii="Arial" w:cs="Arial" w:eastAsia="Arial" w:hAnsi="Arial"/>
                <w:sz w:val="18"/>
                <w:szCs w:val="18"/>
                <w:color w:val="auto"/>
              </w:rPr>
              <w:t>(2007 Amendment)</w:t>
            </w:r>
          </w:p>
        </w:tc>
        <w:tc>
          <w:tcPr>
            <w:tcW w:w="5300" w:type="dxa"/>
            <w:vAlign w:val="bottom"/>
          </w:tcPr>
          <w:p>
            <w:pPr>
              <w:ind w:left="80"/>
              <w:spacing w:after="0"/>
              <w:rPr>
                <w:sz w:val="20"/>
                <w:szCs w:val="20"/>
                <w:color w:val="auto"/>
              </w:rPr>
            </w:pPr>
            <w:r>
              <w:rPr>
                <w:rFonts w:ascii="Arial" w:cs="Arial" w:eastAsia="Arial" w:hAnsi="Arial"/>
                <w:sz w:val="18"/>
                <w:szCs w:val="18"/>
                <w:color w:val="auto"/>
              </w:rPr>
              <w:t>November 19, 2007, Exhibit 10.39</w:t>
            </w:r>
          </w:p>
        </w:tc>
      </w:tr>
      <w:tr>
        <w:trPr>
          <w:trHeight w:val="377"/>
        </w:trPr>
        <w:tc>
          <w:tcPr>
            <w:tcW w:w="740" w:type="dxa"/>
            <w:vAlign w:val="bottom"/>
          </w:tcPr>
          <w:p>
            <w:pPr>
              <w:ind w:left="40"/>
              <w:spacing w:after="0"/>
              <w:rPr>
                <w:sz w:val="20"/>
                <w:szCs w:val="20"/>
                <w:color w:val="auto"/>
              </w:rPr>
            </w:pPr>
            <w:r>
              <w:rPr>
                <w:rFonts w:ascii="Arial" w:cs="Arial" w:eastAsia="Arial" w:hAnsi="Arial"/>
                <w:sz w:val="18"/>
                <w:szCs w:val="18"/>
                <w:color w:val="auto"/>
              </w:rPr>
              <w:t>10.59</w:t>
            </w:r>
          </w:p>
        </w:tc>
        <w:tc>
          <w:tcPr>
            <w:tcW w:w="5380" w:type="dxa"/>
            <w:vAlign w:val="bottom"/>
          </w:tcPr>
          <w:p>
            <w:pPr>
              <w:ind w:left="220"/>
              <w:spacing w:after="0"/>
              <w:rPr>
                <w:sz w:val="20"/>
                <w:szCs w:val="20"/>
                <w:color w:val="auto"/>
              </w:rPr>
            </w:pPr>
            <w:r>
              <w:rPr>
                <w:rFonts w:ascii="Arial" w:cs="Arial" w:eastAsia="Arial" w:hAnsi="Arial"/>
                <w:sz w:val="18"/>
                <w:szCs w:val="18"/>
                <w:color w:val="auto"/>
              </w:rPr>
              <w:t>Form of Restricted Stock Award under the 2002 Nonemployee</w:t>
            </w:r>
          </w:p>
        </w:tc>
        <w:tc>
          <w:tcPr>
            <w:tcW w:w="5300" w:type="dxa"/>
            <w:vAlign w:val="bottom"/>
          </w:tcPr>
          <w:p>
            <w:pPr>
              <w:ind w:left="80"/>
              <w:spacing w:after="0"/>
              <w:rPr>
                <w:sz w:val="20"/>
                <w:szCs w:val="20"/>
                <w:color w:val="auto"/>
              </w:rPr>
            </w:pPr>
            <w:r>
              <w:rPr>
                <w:rFonts w:ascii="Arial" w:cs="Arial" w:eastAsia="Arial" w:hAnsi="Arial"/>
                <w:sz w:val="18"/>
                <w:szCs w:val="18"/>
                <w:color w:val="auto"/>
                <w:w w:val="96"/>
              </w:rPr>
              <w:t>Incorporated by reference from the Registrant’s Quarterly Report on</w:t>
            </w:r>
          </w:p>
        </w:tc>
      </w:tr>
      <w:tr>
        <w:trPr>
          <w:trHeight w:val="230"/>
        </w:trPr>
        <w:tc>
          <w:tcPr>
            <w:tcW w:w="740" w:type="dxa"/>
            <w:vAlign w:val="bottom"/>
          </w:tcPr>
          <w:p>
            <w:pPr>
              <w:spacing w:after="0"/>
              <w:rPr>
                <w:sz w:val="20"/>
                <w:szCs w:val="20"/>
                <w:color w:val="auto"/>
              </w:rPr>
            </w:pPr>
          </w:p>
        </w:tc>
        <w:tc>
          <w:tcPr>
            <w:tcW w:w="5380" w:type="dxa"/>
            <w:vAlign w:val="bottom"/>
          </w:tcPr>
          <w:p>
            <w:pPr>
              <w:ind w:left="220"/>
              <w:spacing w:after="0"/>
              <w:rPr>
                <w:sz w:val="20"/>
                <w:szCs w:val="20"/>
                <w:color w:val="auto"/>
              </w:rPr>
            </w:pPr>
            <w:r>
              <w:rPr>
                <w:rFonts w:ascii="Arial" w:cs="Arial" w:eastAsia="Arial" w:hAnsi="Arial"/>
                <w:sz w:val="18"/>
                <w:szCs w:val="18"/>
                <w:color w:val="auto"/>
              </w:rPr>
              <w:t>Director Stock Incentive Plan</w:t>
            </w:r>
          </w:p>
        </w:tc>
        <w:tc>
          <w:tcPr>
            <w:tcW w:w="5300" w:type="dxa"/>
            <w:vAlign w:val="bottom"/>
          </w:tcPr>
          <w:p>
            <w:pPr>
              <w:ind w:left="80"/>
              <w:spacing w:after="0"/>
              <w:rPr>
                <w:sz w:val="20"/>
                <w:szCs w:val="20"/>
                <w:color w:val="auto"/>
              </w:rPr>
            </w:pPr>
            <w:r>
              <w:rPr>
                <w:rFonts w:ascii="Arial" w:cs="Arial" w:eastAsia="Arial" w:hAnsi="Arial"/>
                <w:sz w:val="18"/>
                <w:szCs w:val="18"/>
                <w:color w:val="auto"/>
              </w:rPr>
              <w:t>Form 10-Q for the quarter ended November 3, 2007, Exhibit 10.1</w:t>
            </w:r>
          </w:p>
        </w:tc>
      </w:tr>
      <w:tr>
        <w:trPr>
          <w:trHeight w:val="377"/>
        </w:trPr>
        <w:tc>
          <w:tcPr>
            <w:tcW w:w="740" w:type="dxa"/>
            <w:vAlign w:val="bottom"/>
          </w:tcPr>
          <w:p>
            <w:pPr>
              <w:ind w:left="40"/>
              <w:spacing w:after="0"/>
              <w:rPr>
                <w:sz w:val="20"/>
                <w:szCs w:val="20"/>
                <w:color w:val="auto"/>
              </w:rPr>
            </w:pPr>
            <w:r>
              <w:rPr>
                <w:rFonts w:ascii="Arial" w:cs="Arial" w:eastAsia="Arial" w:hAnsi="Arial"/>
                <w:sz w:val="18"/>
                <w:szCs w:val="18"/>
                <w:color w:val="auto"/>
              </w:rPr>
              <w:t>10.60</w:t>
            </w:r>
          </w:p>
        </w:tc>
        <w:tc>
          <w:tcPr>
            <w:tcW w:w="5380" w:type="dxa"/>
            <w:vAlign w:val="bottom"/>
          </w:tcPr>
          <w:p>
            <w:pPr>
              <w:ind w:left="220"/>
              <w:spacing w:after="0"/>
              <w:rPr>
                <w:sz w:val="20"/>
                <w:szCs w:val="20"/>
                <w:color w:val="auto"/>
              </w:rPr>
            </w:pPr>
            <w:r>
              <w:rPr>
                <w:rFonts w:ascii="Arial" w:cs="Arial" w:eastAsia="Arial" w:hAnsi="Arial"/>
                <w:sz w:val="18"/>
                <w:szCs w:val="18"/>
                <w:color w:val="auto"/>
              </w:rPr>
              <w:t>Form of 2012 Restricted Stock Unit Agreement</w:t>
            </w:r>
          </w:p>
        </w:tc>
        <w:tc>
          <w:tcPr>
            <w:tcW w:w="5300" w:type="dxa"/>
            <w:vAlign w:val="bottom"/>
          </w:tcPr>
          <w:p>
            <w:pPr>
              <w:ind w:left="80"/>
              <w:spacing w:after="0"/>
              <w:rPr>
                <w:sz w:val="20"/>
                <w:szCs w:val="20"/>
                <w:color w:val="auto"/>
              </w:rPr>
            </w:pPr>
            <w:r>
              <w:rPr>
                <w:rFonts w:ascii="Arial" w:cs="Arial" w:eastAsia="Arial" w:hAnsi="Arial"/>
                <w:sz w:val="18"/>
                <w:szCs w:val="18"/>
                <w:color w:val="auto"/>
                <w:w w:val="99"/>
              </w:rPr>
              <w:t>Incorporated by reference from the Registrant’s Form 8-K filed on</w:t>
            </w:r>
          </w:p>
        </w:tc>
      </w:tr>
      <w:tr>
        <w:trPr>
          <w:trHeight w:val="230"/>
        </w:trPr>
        <w:tc>
          <w:tcPr>
            <w:tcW w:w="740" w:type="dxa"/>
            <w:vAlign w:val="bottom"/>
          </w:tcPr>
          <w:p>
            <w:pPr>
              <w:spacing w:after="0"/>
              <w:rPr>
                <w:sz w:val="20"/>
                <w:szCs w:val="20"/>
                <w:color w:val="auto"/>
              </w:rPr>
            </w:pPr>
          </w:p>
        </w:tc>
        <w:tc>
          <w:tcPr>
            <w:tcW w:w="5380" w:type="dxa"/>
            <w:vAlign w:val="bottom"/>
          </w:tcPr>
          <w:p>
            <w:pPr>
              <w:spacing w:after="0"/>
              <w:rPr>
                <w:sz w:val="20"/>
                <w:szCs w:val="20"/>
                <w:color w:val="auto"/>
              </w:rPr>
            </w:pPr>
          </w:p>
        </w:tc>
        <w:tc>
          <w:tcPr>
            <w:tcW w:w="5300" w:type="dxa"/>
            <w:vAlign w:val="bottom"/>
          </w:tcPr>
          <w:p>
            <w:pPr>
              <w:ind w:left="80"/>
              <w:spacing w:after="0"/>
              <w:rPr>
                <w:sz w:val="20"/>
                <w:szCs w:val="20"/>
                <w:color w:val="auto"/>
              </w:rPr>
            </w:pPr>
            <w:r>
              <w:rPr>
                <w:rFonts w:ascii="Arial" w:cs="Arial" w:eastAsia="Arial" w:hAnsi="Arial"/>
                <w:sz w:val="18"/>
                <w:szCs w:val="18"/>
                <w:color w:val="auto"/>
              </w:rPr>
              <w:t>November 18, 2011, Exhibit 10.3</w:t>
            </w:r>
          </w:p>
        </w:tc>
      </w:tr>
      <w:tr>
        <w:trPr>
          <w:trHeight w:val="377"/>
        </w:trPr>
        <w:tc>
          <w:tcPr>
            <w:tcW w:w="740" w:type="dxa"/>
            <w:vAlign w:val="bottom"/>
          </w:tcPr>
          <w:p>
            <w:pPr>
              <w:ind w:left="40"/>
              <w:spacing w:after="0"/>
              <w:rPr>
                <w:sz w:val="20"/>
                <w:szCs w:val="20"/>
                <w:color w:val="auto"/>
              </w:rPr>
            </w:pPr>
            <w:r>
              <w:rPr>
                <w:rFonts w:ascii="Arial" w:cs="Arial" w:eastAsia="Arial" w:hAnsi="Arial"/>
                <w:sz w:val="18"/>
                <w:szCs w:val="18"/>
                <w:color w:val="auto"/>
              </w:rPr>
              <w:t>10.61</w:t>
            </w:r>
          </w:p>
        </w:tc>
        <w:tc>
          <w:tcPr>
            <w:tcW w:w="5380" w:type="dxa"/>
            <w:vAlign w:val="bottom"/>
          </w:tcPr>
          <w:p>
            <w:pPr>
              <w:ind w:left="220"/>
              <w:spacing w:after="0"/>
              <w:rPr>
                <w:sz w:val="20"/>
                <w:szCs w:val="20"/>
                <w:color w:val="auto"/>
              </w:rPr>
            </w:pPr>
            <w:r>
              <w:rPr>
                <w:rFonts w:ascii="Arial" w:cs="Arial" w:eastAsia="Arial" w:hAnsi="Arial"/>
                <w:sz w:val="18"/>
                <w:szCs w:val="18"/>
                <w:color w:val="auto"/>
              </w:rPr>
              <w:t>Form of 2013 Restricted Stock Unit Award Agreement</w:t>
            </w:r>
          </w:p>
        </w:tc>
        <w:tc>
          <w:tcPr>
            <w:tcW w:w="5300" w:type="dxa"/>
            <w:vAlign w:val="bottom"/>
          </w:tcPr>
          <w:p>
            <w:pPr>
              <w:ind w:left="80"/>
              <w:spacing w:after="0"/>
              <w:rPr>
                <w:sz w:val="20"/>
                <w:szCs w:val="20"/>
                <w:color w:val="auto"/>
              </w:rPr>
            </w:pPr>
            <w:r>
              <w:rPr>
                <w:rFonts w:ascii="Arial" w:cs="Arial" w:eastAsia="Arial" w:hAnsi="Arial"/>
                <w:sz w:val="18"/>
                <w:szCs w:val="18"/>
                <w:color w:val="auto"/>
                <w:w w:val="99"/>
              </w:rPr>
              <w:t>Incorporated by reference from the Registrant’s Form 8-K filed on</w:t>
            </w:r>
          </w:p>
        </w:tc>
      </w:tr>
      <w:tr>
        <w:trPr>
          <w:trHeight w:val="230"/>
        </w:trPr>
        <w:tc>
          <w:tcPr>
            <w:tcW w:w="740" w:type="dxa"/>
            <w:vAlign w:val="bottom"/>
          </w:tcPr>
          <w:p>
            <w:pPr>
              <w:spacing w:after="0"/>
              <w:rPr>
                <w:sz w:val="20"/>
                <w:szCs w:val="20"/>
                <w:color w:val="auto"/>
              </w:rPr>
            </w:pPr>
          </w:p>
        </w:tc>
        <w:tc>
          <w:tcPr>
            <w:tcW w:w="5380" w:type="dxa"/>
            <w:vAlign w:val="bottom"/>
          </w:tcPr>
          <w:p>
            <w:pPr>
              <w:spacing w:after="0"/>
              <w:rPr>
                <w:sz w:val="20"/>
                <w:szCs w:val="20"/>
                <w:color w:val="auto"/>
              </w:rPr>
            </w:pPr>
          </w:p>
        </w:tc>
        <w:tc>
          <w:tcPr>
            <w:tcW w:w="5300" w:type="dxa"/>
            <w:vAlign w:val="bottom"/>
          </w:tcPr>
          <w:p>
            <w:pPr>
              <w:ind w:left="80"/>
              <w:spacing w:after="0"/>
              <w:rPr>
                <w:sz w:val="20"/>
                <w:szCs w:val="20"/>
                <w:color w:val="auto"/>
              </w:rPr>
            </w:pPr>
            <w:r>
              <w:rPr>
                <w:rFonts w:ascii="Arial" w:cs="Arial" w:eastAsia="Arial" w:hAnsi="Arial"/>
                <w:sz w:val="18"/>
                <w:szCs w:val="18"/>
                <w:color w:val="auto"/>
              </w:rPr>
              <w:t>November 14, 2012, Exhibit 10.3</w:t>
            </w:r>
          </w:p>
        </w:tc>
      </w:tr>
      <w:tr>
        <w:trPr>
          <w:trHeight w:val="377"/>
        </w:trPr>
        <w:tc>
          <w:tcPr>
            <w:tcW w:w="740" w:type="dxa"/>
            <w:vAlign w:val="bottom"/>
          </w:tcPr>
          <w:p>
            <w:pPr>
              <w:ind w:left="40"/>
              <w:spacing w:after="0"/>
              <w:rPr>
                <w:sz w:val="20"/>
                <w:szCs w:val="20"/>
                <w:color w:val="auto"/>
              </w:rPr>
            </w:pPr>
            <w:r>
              <w:rPr>
                <w:rFonts w:ascii="Arial" w:cs="Arial" w:eastAsia="Arial" w:hAnsi="Arial"/>
                <w:sz w:val="18"/>
                <w:szCs w:val="18"/>
                <w:color w:val="auto"/>
              </w:rPr>
              <w:t>10.62</w:t>
            </w:r>
          </w:p>
        </w:tc>
        <w:tc>
          <w:tcPr>
            <w:tcW w:w="5380" w:type="dxa"/>
            <w:vAlign w:val="bottom"/>
          </w:tcPr>
          <w:p>
            <w:pPr>
              <w:ind w:left="220"/>
              <w:spacing w:after="0"/>
              <w:rPr>
                <w:sz w:val="20"/>
                <w:szCs w:val="20"/>
                <w:color w:val="auto"/>
              </w:rPr>
            </w:pPr>
            <w:r>
              <w:rPr>
                <w:rFonts w:ascii="Arial" w:cs="Arial" w:eastAsia="Arial" w:hAnsi="Arial"/>
                <w:sz w:val="18"/>
                <w:szCs w:val="18"/>
                <w:color w:val="auto"/>
              </w:rPr>
              <w:t>Form of 2014 Restricted Stock Unit Award Agreement</w:t>
            </w:r>
          </w:p>
        </w:tc>
        <w:tc>
          <w:tcPr>
            <w:tcW w:w="5300" w:type="dxa"/>
            <w:vAlign w:val="bottom"/>
          </w:tcPr>
          <w:p>
            <w:pPr>
              <w:ind w:left="80"/>
              <w:spacing w:after="0"/>
              <w:rPr>
                <w:sz w:val="20"/>
                <w:szCs w:val="20"/>
                <w:color w:val="auto"/>
              </w:rPr>
            </w:pPr>
            <w:r>
              <w:rPr>
                <w:rFonts w:ascii="Arial" w:cs="Arial" w:eastAsia="Arial" w:hAnsi="Arial"/>
                <w:sz w:val="18"/>
                <w:szCs w:val="18"/>
                <w:color w:val="auto"/>
                <w:w w:val="99"/>
              </w:rPr>
              <w:t>Incorporated by reference from the Registrant’s Form 8-K filed on</w:t>
            </w:r>
          </w:p>
        </w:tc>
      </w:tr>
      <w:tr>
        <w:trPr>
          <w:trHeight w:val="230"/>
        </w:trPr>
        <w:tc>
          <w:tcPr>
            <w:tcW w:w="740" w:type="dxa"/>
            <w:vAlign w:val="bottom"/>
          </w:tcPr>
          <w:p>
            <w:pPr>
              <w:spacing w:after="0"/>
              <w:rPr>
                <w:sz w:val="20"/>
                <w:szCs w:val="20"/>
                <w:color w:val="auto"/>
              </w:rPr>
            </w:pPr>
          </w:p>
        </w:tc>
        <w:tc>
          <w:tcPr>
            <w:tcW w:w="5380" w:type="dxa"/>
            <w:vAlign w:val="bottom"/>
          </w:tcPr>
          <w:p>
            <w:pPr>
              <w:spacing w:after="0"/>
              <w:rPr>
                <w:sz w:val="20"/>
                <w:szCs w:val="20"/>
                <w:color w:val="auto"/>
              </w:rPr>
            </w:pPr>
          </w:p>
        </w:tc>
        <w:tc>
          <w:tcPr>
            <w:tcW w:w="5300" w:type="dxa"/>
            <w:vAlign w:val="bottom"/>
          </w:tcPr>
          <w:p>
            <w:pPr>
              <w:ind w:left="80"/>
              <w:spacing w:after="0"/>
              <w:rPr>
                <w:sz w:val="20"/>
                <w:szCs w:val="20"/>
                <w:color w:val="auto"/>
              </w:rPr>
            </w:pPr>
            <w:r>
              <w:rPr>
                <w:rFonts w:ascii="Arial" w:cs="Arial" w:eastAsia="Arial" w:hAnsi="Arial"/>
                <w:sz w:val="18"/>
                <w:szCs w:val="18"/>
                <w:color w:val="auto"/>
              </w:rPr>
              <w:t>March 4, 2014, Exhibit 10.2</w:t>
            </w:r>
          </w:p>
        </w:tc>
      </w:tr>
      <w:tr>
        <w:trPr>
          <w:trHeight w:val="377"/>
        </w:trPr>
        <w:tc>
          <w:tcPr>
            <w:tcW w:w="740" w:type="dxa"/>
            <w:vAlign w:val="bottom"/>
          </w:tcPr>
          <w:p>
            <w:pPr>
              <w:ind w:left="40"/>
              <w:spacing w:after="0"/>
              <w:rPr>
                <w:sz w:val="20"/>
                <w:szCs w:val="20"/>
                <w:color w:val="auto"/>
              </w:rPr>
            </w:pPr>
            <w:r>
              <w:rPr>
                <w:rFonts w:ascii="Arial" w:cs="Arial" w:eastAsia="Arial" w:hAnsi="Arial"/>
                <w:sz w:val="18"/>
                <w:szCs w:val="18"/>
                <w:color w:val="auto"/>
              </w:rPr>
              <w:t>10.63</w:t>
            </w:r>
          </w:p>
        </w:tc>
        <w:tc>
          <w:tcPr>
            <w:tcW w:w="5380" w:type="dxa"/>
            <w:vAlign w:val="bottom"/>
          </w:tcPr>
          <w:p>
            <w:pPr>
              <w:ind w:left="220"/>
              <w:spacing w:after="0"/>
              <w:rPr>
                <w:sz w:val="20"/>
                <w:szCs w:val="20"/>
                <w:color w:val="auto"/>
              </w:rPr>
            </w:pPr>
            <w:r>
              <w:rPr>
                <w:rFonts w:ascii="Arial" w:cs="Arial" w:eastAsia="Arial" w:hAnsi="Arial"/>
                <w:sz w:val="18"/>
                <w:szCs w:val="18"/>
                <w:color w:val="auto"/>
              </w:rPr>
              <w:t>Form of the 2015 Restricted Stock Unit Award Agreement</w:t>
            </w:r>
          </w:p>
        </w:tc>
        <w:tc>
          <w:tcPr>
            <w:tcW w:w="5300" w:type="dxa"/>
            <w:vAlign w:val="bottom"/>
          </w:tcPr>
          <w:p>
            <w:pPr>
              <w:ind w:left="80"/>
              <w:spacing w:after="0"/>
              <w:rPr>
                <w:sz w:val="20"/>
                <w:szCs w:val="20"/>
                <w:color w:val="auto"/>
              </w:rPr>
            </w:pPr>
            <w:r>
              <w:rPr>
                <w:rFonts w:ascii="Arial" w:cs="Arial" w:eastAsia="Arial" w:hAnsi="Arial"/>
                <w:sz w:val="18"/>
                <w:szCs w:val="18"/>
                <w:color w:val="auto"/>
                <w:w w:val="99"/>
              </w:rPr>
              <w:t>Incorporated by reference from the Registrant’s Form 8-K filed on</w:t>
            </w:r>
          </w:p>
        </w:tc>
      </w:tr>
      <w:tr>
        <w:trPr>
          <w:trHeight w:val="230"/>
        </w:trPr>
        <w:tc>
          <w:tcPr>
            <w:tcW w:w="740" w:type="dxa"/>
            <w:vAlign w:val="bottom"/>
          </w:tcPr>
          <w:p>
            <w:pPr>
              <w:spacing w:after="0"/>
              <w:rPr>
                <w:sz w:val="20"/>
                <w:szCs w:val="20"/>
                <w:color w:val="auto"/>
              </w:rPr>
            </w:pPr>
          </w:p>
        </w:tc>
        <w:tc>
          <w:tcPr>
            <w:tcW w:w="5380" w:type="dxa"/>
            <w:vAlign w:val="bottom"/>
          </w:tcPr>
          <w:p>
            <w:pPr>
              <w:spacing w:after="0"/>
              <w:rPr>
                <w:sz w:val="20"/>
                <w:szCs w:val="20"/>
                <w:color w:val="auto"/>
              </w:rPr>
            </w:pPr>
          </w:p>
        </w:tc>
        <w:tc>
          <w:tcPr>
            <w:tcW w:w="5300" w:type="dxa"/>
            <w:vAlign w:val="bottom"/>
          </w:tcPr>
          <w:p>
            <w:pPr>
              <w:ind w:left="80"/>
              <w:spacing w:after="0"/>
              <w:rPr>
                <w:sz w:val="20"/>
                <w:szCs w:val="20"/>
                <w:color w:val="auto"/>
              </w:rPr>
            </w:pPr>
            <w:r>
              <w:rPr>
                <w:rFonts w:ascii="Arial" w:cs="Arial" w:eastAsia="Arial" w:hAnsi="Arial"/>
                <w:sz w:val="18"/>
                <w:szCs w:val="18"/>
                <w:color w:val="auto"/>
              </w:rPr>
              <w:t>February 19, 2015, Exhibit 10.2</w:t>
            </w:r>
          </w:p>
        </w:tc>
      </w:tr>
      <w:tr>
        <w:trPr>
          <w:trHeight w:val="377"/>
        </w:trPr>
        <w:tc>
          <w:tcPr>
            <w:tcW w:w="740" w:type="dxa"/>
            <w:vAlign w:val="bottom"/>
          </w:tcPr>
          <w:p>
            <w:pPr>
              <w:ind w:left="40"/>
              <w:spacing w:after="0"/>
              <w:rPr>
                <w:sz w:val="20"/>
                <w:szCs w:val="20"/>
                <w:color w:val="auto"/>
              </w:rPr>
            </w:pPr>
            <w:r>
              <w:rPr>
                <w:rFonts w:ascii="Arial" w:cs="Arial" w:eastAsia="Arial" w:hAnsi="Arial"/>
                <w:sz w:val="18"/>
                <w:szCs w:val="18"/>
                <w:color w:val="auto"/>
              </w:rPr>
              <w:t>10.64</w:t>
            </w:r>
          </w:p>
        </w:tc>
        <w:tc>
          <w:tcPr>
            <w:tcW w:w="5380" w:type="dxa"/>
            <w:vAlign w:val="bottom"/>
          </w:tcPr>
          <w:p>
            <w:pPr>
              <w:ind w:left="220"/>
              <w:spacing w:after="0"/>
              <w:rPr>
                <w:sz w:val="20"/>
                <w:szCs w:val="20"/>
                <w:color w:val="auto"/>
              </w:rPr>
            </w:pPr>
            <w:r>
              <w:rPr>
                <w:rFonts w:ascii="Arial" w:cs="Arial" w:eastAsia="Arial" w:hAnsi="Arial"/>
                <w:sz w:val="18"/>
                <w:szCs w:val="18"/>
                <w:color w:val="auto"/>
              </w:rPr>
              <w:t>Form of the 2016 Restricted Stock Unit Award Agreement</w:t>
            </w:r>
          </w:p>
        </w:tc>
        <w:tc>
          <w:tcPr>
            <w:tcW w:w="5300" w:type="dxa"/>
            <w:vAlign w:val="bottom"/>
          </w:tcPr>
          <w:p>
            <w:pPr>
              <w:ind w:left="80"/>
              <w:spacing w:after="0"/>
              <w:rPr>
                <w:sz w:val="20"/>
                <w:szCs w:val="20"/>
                <w:color w:val="auto"/>
              </w:rPr>
            </w:pPr>
            <w:r>
              <w:rPr>
                <w:rFonts w:ascii="Arial" w:cs="Arial" w:eastAsia="Arial" w:hAnsi="Arial"/>
                <w:sz w:val="18"/>
                <w:szCs w:val="18"/>
                <w:color w:val="auto"/>
                <w:w w:val="99"/>
              </w:rPr>
              <w:t>Incorporated by reference from the Registrant’s Form 8-K filed on</w:t>
            </w:r>
          </w:p>
        </w:tc>
      </w:tr>
      <w:tr>
        <w:trPr>
          <w:trHeight w:val="230"/>
        </w:trPr>
        <w:tc>
          <w:tcPr>
            <w:tcW w:w="740" w:type="dxa"/>
            <w:vAlign w:val="bottom"/>
          </w:tcPr>
          <w:p>
            <w:pPr>
              <w:spacing w:after="0"/>
              <w:rPr>
                <w:sz w:val="20"/>
                <w:szCs w:val="20"/>
                <w:color w:val="auto"/>
              </w:rPr>
            </w:pPr>
          </w:p>
        </w:tc>
        <w:tc>
          <w:tcPr>
            <w:tcW w:w="5380" w:type="dxa"/>
            <w:vAlign w:val="bottom"/>
          </w:tcPr>
          <w:p>
            <w:pPr>
              <w:spacing w:after="0"/>
              <w:rPr>
                <w:sz w:val="20"/>
                <w:szCs w:val="20"/>
                <w:color w:val="auto"/>
              </w:rPr>
            </w:pPr>
          </w:p>
        </w:tc>
        <w:tc>
          <w:tcPr>
            <w:tcW w:w="5300" w:type="dxa"/>
            <w:vAlign w:val="bottom"/>
          </w:tcPr>
          <w:p>
            <w:pPr>
              <w:ind w:left="80"/>
              <w:spacing w:after="0"/>
              <w:rPr>
                <w:sz w:val="20"/>
                <w:szCs w:val="20"/>
                <w:color w:val="auto"/>
              </w:rPr>
            </w:pPr>
            <w:r>
              <w:rPr>
                <w:rFonts w:ascii="Arial" w:cs="Arial" w:eastAsia="Arial" w:hAnsi="Arial"/>
                <w:sz w:val="18"/>
                <w:szCs w:val="18"/>
                <w:color w:val="auto"/>
              </w:rPr>
              <w:t>March 1, 2016, Exhibit 10.2</w:t>
            </w:r>
          </w:p>
        </w:tc>
      </w:tr>
      <w:tr>
        <w:trPr>
          <w:trHeight w:val="377"/>
        </w:trPr>
        <w:tc>
          <w:tcPr>
            <w:tcW w:w="740" w:type="dxa"/>
            <w:vAlign w:val="bottom"/>
          </w:tcPr>
          <w:p>
            <w:pPr>
              <w:ind w:left="40"/>
              <w:spacing w:after="0"/>
              <w:rPr>
                <w:sz w:val="20"/>
                <w:szCs w:val="20"/>
                <w:color w:val="auto"/>
              </w:rPr>
            </w:pPr>
            <w:r>
              <w:rPr>
                <w:rFonts w:ascii="Arial" w:cs="Arial" w:eastAsia="Arial" w:hAnsi="Arial"/>
                <w:sz w:val="18"/>
                <w:szCs w:val="18"/>
                <w:color w:val="auto"/>
              </w:rPr>
              <w:t>10.65</w:t>
            </w:r>
          </w:p>
        </w:tc>
        <w:tc>
          <w:tcPr>
            <w:tcW w:w="5380" w:type="dxa"/>
            <w:vAlign w:val="bottom"/>
          </w:tcPr>
          <w:p>
            <w:pPr>
              <w:ind w:left="220"/>
              <w:spacing w:after="0"/>
              <w:rPr>
                <w:sz w:val="20"/>
                <w:szCs w:val="20"/>
                <w:color w:val="auto"/>
              </w:rPr>
            </w:pPr>
            <w:r>
              <w:rPr>
                <w:rFonts w:ascii="Arial" w:cs="Arial" w:eastAsia="Arial" w:hAnsi="Arial"/>
                <w:sz w:val="18"/>
                <w:szCs w:val="18"/>
                <w:color w:val="auto"/>
                <w:w w:val="93"/>
              </w:rPr>
              <w:t>Form of 2016 Restricted Stock Unit Award Agreement, Supplemental</w:t>
            </w:r>
          </w:p>
        </w:tc>
        <w:tc>
          <w:tcPr>
            <w:tcW w:w="5300" w:type="dxa"/>
            <w:vAlign w:val="bottom"/>
          </w:tcPr>
          <w:p>
            <w:pPr>
              <w:ind w:left="80"/>
              <w:spacing w:after="0"/>
              <w:rPr>
                <w:sz w:val="20"/>
                <w:szCs w:val="20"/>
                <w:color w:val="auto"/>
              </w:rPr>
            </w:pPr>
            <w:r>
              <w:rPr>
                <w:rFonts w:ascii="Arial" w:cs="Arial" w:eastAsia="Arial" w:hAnsi="Arial"/>
                <w:sz w:val="18"/>
                <w:szCs w:val="18"/>
                <w:color w:val="auto"/>
                <w:w w:val="96"/>
              </w:rPr>
              <w:t>Incorporated by reference from the Registrant’s Quarterly Report on</w:t>
            </w:r>
          </w:p>
        </w:tc>
      </w:tr>
      <w:tr>
        <w:trPr>
          <w:trHeight w:val="230"/>
        </w:trPr>
        <w:tc>
          <w:tcPr>
            <w:tcW w:w="740" w:type="dxa"/>
            <w:vAlign w:val="bottom"/>
          </w:tcPr>
          <w:p>
            <w:pPr>
              <w:spacing w:after="0"/>
              <w:rPr>
                <w:sz w:val="20"/>
                <w:szCs w:val="20"/>
                <w:color w:val="auto"/>
              </w:rPr>
            </w:pPr>
          </w:p>
        </w:tc>
        <w:tc>
          <w:tcPr>
            <w:tcW w:w="5380" w:type="dxa"/>
            <w:vAlign w:val="bottom"/>
          </w:tcPr>
          <w:p>
            <w:pPr>
              <w:ind w:left="220"/>
              <w:spacing w:after="0"/>
              <w:rPr>
                <w:sz w:val="20"/>
                <w:szCs w:val="20"/>
                <w:color w:val="auto"/>
              </w:rPr>
            </w:pPr>
            <w:r>
              <w:rPr>
                <w:rFonts w:ascii="Arial" w:cs="Arial" w:eastAsia="Arial" w:hAnsi="Arial"/>
                <w:sz w:val="18"/>
                <w:szCs w:val="18"/>
                <w:color w:val="auto"/>
              </w:rPr>
              <w:t>Award</w:t>
            </w:r>
          </w:p>
        </w:tc>
        <w:tc>
          <w:tcPr>
            <w:tcW w:w="5300" w:type="dxa"/>
            <w:vAlign w:val="bottom"/>
          </w:tcPr>
          <w:p>
            <w:pPr>
              <w:ind w:left="80"/>
              <w:spacing w:after="0"/>
              <w:rPr>
                <w:sz w:val="20"/>
                <w:szCs w:val="20"/>
                <w:color w:val="auto"/>
              </w:rPr>
            </w:pPr>
            <w:r>
              <w:rPr>
                <w:rFonts w:ascii="Arial" w:cs="Arial" w:eastAsia="Arial" w:hAnsi="Arial"/>
                <w:sz w:val="18"/>
                <w:szCs w:val="18"/>
                <w:color w:val="auto"/>
              </w:rPr>
              <w:t>Form 10-Q for the quarter ended July 30, 2016, Exhibit 10.3</w:t>
            </w:r>
          </w:p>
        </w:tc>
      </w:tr>
      <w:tr>
        <w:trPr>
          <w:trHeight w:val="377"/>
        </w:trPr>
        <w:tc>
          <w:tcPr>
            <w:tcW w:w="740" w:type="dxa"/>
            <w:vAlign w:val="bottom"/>
          </w:tcPr>
          <w:p>
            <w:pPr>
              <w:ind w:left="40"/>
              <w:spacing w:after="0"/>
              <w:rPr>
                <w:sz w:val="20"/>
                <w:szCs w:val="20"/>
                <w:color w:val="auto"/>
              </w:rPr>
            </w:pPr>
            <w:r>
              <w:rPr>
                <w:rFonts w:ascii="Arial" w:cs="Arial" w:eastAsia="Arial" w:hAnsi="Arial"/>
                <w:sz w:val="18"/>
                <w:szCs w:val="18"/>
                <w:color w:val="auto"/>
              </w:rPr>
              <w:t>10.66</w:t>
            </w:r>
          </w:p>
        </w:tc>
        <w:tc>
          <w:tcPr>
            <w:tcW w:w="5380" w:type="dxa"/>
            <w:vAlign w:val="bottom"/>
          </w:tcPr>
          <w:p>
            <w:pPr>
              <w:ind w:left="220"/>
              <w:spacing w:after="0"/>
              <w:rPr>
                <w:sz w:val="20"/>
                <w:szCs w:val="20"/>
                <w:color w:val="auto"/>
              </w:rPr>
            </w:pPr>
            <w:r>
              <w:rPr>
                <w:rFonts w:ascii="Arial" w:cs="Arial" w:eastAsia="Arial" w:hAnsi="Arial"/>
                <w:sz w:val="18"/>
                <w:szCs w:val="18"/>
                <w:color w:val="auto"/>
              </w:rPr>
              <w:t>Form of the 2017 Restricted Stock Unit Award Agreement</w:t>
            </w:r>
          </w:p>
        </w:tc>
        <w:tc>
          <w:tcPr>
            <w:tcW w:w="5300" w:type="dxa"/>
            <w:vAlign w:val="bottom"/>
          </w:tcPr>
          <w:p>
            <w:pPr>
              <w:ind w:left="80"/>
              <w:spacing w:after="0"/>
              <w:rPr>
                <w:sz w:val="20"/>
                <w:szCs w:val="20"/>
                <w:color w:val="auto"/>
              </w:rPr>
            </w:pPr>
            <w:r>
              <w:rPr>
                <w:rFonts w:ascii="Arial" w:cs="Arial" w:eastAsia="Arial" w:hAnsi="Arial"/>
                <w:sz w:val="18"/>
                <w:szCs w:val="18"/>
                <w:color w:val="auto"/>
                <w:w w:val="99"/>
              </w:rPr>
              <w:t>Incorporated by reference from the Registrant’s Form 8-K filed on</w:t>
            </w:r>
          </w:p>
        </w:tc>
      </w:tr>
      <w:tr>
        <w:trPr>
          <w:trHeight w:val="230"/>
        </w:trPr>
        <w:tc>
          <w:tcPr>
            <w:tcW w:w="740" w:type="dxa"/>
            <w:vAlign w:val="bottom"/>
          </w:tcPr>
          <w:p>
            <w:pPr>
              <w:spacing w:after="0"/>
              <w:rPr>
                <w:sz w:val="20"/>
                <w:szCs w:val="20"/>
                <w:color w:val="auto"/>
              </w:rPr>
            </w:pPr>
          </w:p>
        </w:tc>
        <w:tc>
          <w:tcPr>
            <w:tcW w:w="5380" w:type="dxa"/>
            <w:vAlign w:val="bottom"/>
          </w:tcPr>
          <w:p>
            <w:pPr>
              <w:spacing w:after="0"/>
              <w:rPr>
                <w:sz w:val="20"/>
                <w:szCs w:val="20"/>
                <w:color w:val="auto"/>
              </w:rPr>
            </w:pPr>
          </w:p>
        </w:tc>
        <w:tc>
          <w:tcPr>
            <w:tcW w:w="5300" w:type="dxa"/>
            <w:vAlign w:val="bottom"/>
          </w:tcPr>
          <w:p>
            <w:pPr>
              <w:ind w:left="80"/>
              <w:spacing w:after="0"/>
              <w:rPr>
                <w:sz w:val="20"/>
                <w:szCs w:val="20"/>
                <w:color w:val="auto"/>
              </w:rPr>
            </w:pPr>
            <w:r>
              <w:rPr>
                <w:rFonts w:ascii="Arial" w:cs="Arial" w:eastAsia="Arial" w:hAnsi="Arial"/>
                <w:sz w:val="18"/>
                <w:szCs w:val="18"/>
                <w:color w:val="auto"/>
              </w:rPr>
              <w:t>February 23, 2017, Exhibit 10.2</w:t>
            </w:r>
          </w:p>
        </w:tc>
      </w:tr>
      <w:tr>
        <w:trPr>
          <w:trHeight w:val="391"/>
        </w:trPr>
        <w:tc>
          <w:tcPr>
            <w:tcW w:w="740" w:type="dxa"/>
            <w:vAlign w:val="bottom"/>
          </w:tcPr>
          <w:p>
            <w:pPr>
              <w:ind w:left="40"/>
              <w:spacing w:after="0"/>
              <w:rPr>
                <w:sz w:val="20"/>
                <w:szCs w:val="20"/>
                <w:color w:val="auto"/>
              </w:rPr>
            </w:pPr>
            <w:r>
              <w:rPr>
                <w:rFonts w:ascii="Arial" w:cs="Arial" w:eastAsia="Arial" w:hAnsi="Arial"/>
                <w:sz w:val="18"/>
                <w:szCs w:val="18"/>
                <w:color w:val="auto"/>
              </w:rPr>
              <w:t>10.67</w:t>
            </w:r>
          </w:p>
        </w:tc>
        <w:tc>
          <w:tcPr>
            <w:tcW w:w="5380" w:type="dxa"/>
            <w:vAlign w:val="bottom"/>
          </w:tcPr>
          <w:p>
            <w:pPr>
              <w:ind w:left="220"/>
              <w:spacing w:after="0"/>
              <w:rPr>
                <w:sz w:val="20"/>
                <w:szCs w:val="20"/>
                <w:color w:val="auto"/>
              </w:rPr>
            </w:pPr>
            <w:r>
              <w:rPr>
                <w:rFonts w:ascii="Arial" w:cs="Arial" w:eastAsia="Arial" w:hAnsi="Arial"/>
                <w:sz w:val="18"/>
                <w:szCs w:val="18"/>
                <w:color w:val="auto"/>
                <w:w w:val="93"/>
              </w:rPr>
              <w:t>Form of 2017 Restricted Stock Unit Award Agreement, Supplemental</w:t>
            </w:r>
          </w:p>
        </w:tc>
        <w:tc>
          <w:tcPr>
            <w:tcW w:w="5300" w:type="dxa"/>
            <w:vAlign w:val="bottom"/>
          </w:tcPr>
          <w:p>
            <w:pPr>
              <w:ind w:left="80"/>
              <w:spacing w:after="0"/>
              <w:rPr>
                <w:sz w:val="20"/>
                <w:szCs w:val="20"/>
                <w:color w:val="auto"/>
              </w:rPr>
            </w:pPr>
            <w:r>
              <w:rPr>
                <w:rFonts w:ascii="Arial" w:cs="Arial" w:eastAsia="Arial" w:hAnsi="Arial"/>
                <w:sz w:val="18"/>
                <w:szCs w:val="18"/>
                <w:color w:val="auto"/>
              </w:rPr>
              <w:t>Filed herewith electronically</w:t>
            </w:r>
          </w:p>
        </w:tc>
      </w:tr>
      <w:tr>
        <w:trPr>
          <w:trHeight w:val="230"/>
        </w:trPr>
        <w:tc>
          <w:tcPr>
            <w:tcW w:w="740" w:type="dxa"/>
            <w:vAlign w:val="bottom"/>
          </w:tcPr>
          <w:p>
            <w:pPr>
              <w:spacing w:after="0"/>
              <w:rPr>
                <w:sz w:val="20"/>
                <w:szCs w:val="20"/>
                <w:color w:val="auto"/>
              </w:rPr>
            </w:pPr>
          </w:p>
        </w:tc>
        <w:tc>
          <w:tcPr>
            <w:tcW w:w="5380" w:type="dxa"/>
            <w:vAlign w:val="bottom"/>
          </w:tcPr>
          <w:p>
            <w:pPr>
              <w:ind w:left="220"/>
              <w:spacing w:after="0"/>
              <w:rPr>
                <w:sz w:val="20"/>
                <w:szCs w:val="20"/>
                <w:color w:val="auto"/>
              </w:rPr>
            </w:pPr>
            <w:r>
              <w:rPr>
                <w:rFonts w:ascii="Arial" w:cs="Arial" w:eastAsia="Arial" w:hAnsi="Arial"/>
                <w:sz w:val="18"/>
                <w:szCs w:val="18"/>
                <w:color w:val="auto"/>
              </w:rPr>
              <w:t>Award</w:t>
            </w:r>
          </w:p>
        </w:tc>
        <w:tc>
          <w:tcPr>
            <w:tcW w:w="53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9" w:lineRule="exact"/>
        <w:rPr>
          <w:sz w:val="20"/>
          <w:szCs w:val="20"/>
          <w:color w:val="auto"/>
        </w:rPr>
      </w:pPr>
    </w:p>
    <w:p>
      <w:pPr>
        <w:ind w:left="40"/>
        <w:spacing w:after="0"/>
        <w:rPr>
          <w:sz w:val="20"/>
          <w:szCs w:val="20"/>
          <w:color w:val="auto"/>
        </w:rPr>
      </w:pPr>
      <w:r>
        <w:rPr>
          <w:rFonts w:ascii="Arial" w:cs="Arial" w:eastAsia="Arial" w:hAnsi="Arial"/>
          <w:sz w:val="14"/>
          <w:szCs w:val="14"/>
          <w:color w:val="auto"/>
        </w:rPr>
        <w:t>*This exhibit is a management contract, compensatory plan or arrangement</w:t>
      </w:r>
    </w:p>
    <w:p>
      <w:pPr>
        <w:sectPr>
          <w:pgSz w:w="11900" w:h="16838" w:orient="portrait"/>
          <w:cols w:equalWidth="0" w:num="1">
            <w:col w:w="11420"/>
          </w:cols>
          <w:pgMar w:left="240" w:top="126" w:right="239" w:bottom="1440" w:gutter="0" w:footer="0" w:header="0"/>
        </w:sectPr>
      </w:pPr>
    </w:p>
    <w:p>
      <w:pPr>
        <w:spacing w:after="0" w:line="200" w:lineRule="exact"/>
        <w:rPr>
          <w:sz w:val="20"/>
          <w:szCs w:val="20"/>
          <w:color w:val="auto"/>
        </w:rPr>
      </w:pPr>
    </w:p>
    <w:p>
      <w:pPr>
        <w:spacing w:after="0" w:line="229" w:lineRule="exact"/>
        <w:rPr>
          <w:sz w:val="20"/>
          <w:szCs w:val="20"/>
          <w:color w:val="auto"/>
        </w:rPr>
      </w:pPr>
    </w:p>
    <w:p>
      <w:pPr>
        <w:ind w:left="9580"/>
        <w:spacing w:after="0"/>
        <w:rPr>
          <w:sz w:val="20"/>
          <w:szCs w:val="20"/>
          <w:color w:val="auto"/>
        </w:rPr>
      </w:pPr>
      <w:r>
        <w:rPr>
          <w:rFonts w:ascii="Arial" w:cs="Arial" w:eastAsia="Arial" w:hAnsi="Arial"/>
          <w:sz w:val="11"/>
          <w:szCs w:val="11"/>
          <w:color w:val="auto"/>
        </w:rPr>
        <w:t xml:space="preserve">Nordstrom, Inc. and subsidiaries </w:t>
      </w:r>
      <w:r>
        <w:rPr>
          <w:rFonts w:ascii="Arial" w:cs="Arial" w:eastAsia="Arial" w:hAnsi="Arial"/>
          <w:sz w:val="14"/>
          <w:szCs w:val="14"/>
          <w:color w:val="auto"/>
        </w:rPr>
        <w:t>73</w:t>
      </w:r>
    </w:p>
    <w:p>
      <w:pPr>
        <w:sectPr>
          <w:pgSz w:w="11900" w:h="16838" w:orient="portrait"/>
          <w:cols w:equalWidth="0" w:num="1">
            <w:col w:w="11420"/>
          </w:cols>
          <w:pgMar w:left="240" w:top="126" w:right="239" w:bottom="1440" w:gutter="0" w:footer="0" w:header="0"/>
          <w:type w:val="continuous"/>
        </w:sectPr>
      </w:pPr>
    </w:p>
    <w:bookmarkStart w:id="74" w:name="page75"/>
    <w:bookmarkEnd w:id="74"/>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ind w:left="3220"/>
        <w:spacing w:after="0"/>
        <w:tabs>
          <w:tab w:leader="none" w:pos="8140" w:val="left"/>
        </w:tabs>
        <w:rPr>
          <w:sz w:val="20"/>
          <w:szCs w:val="20"/>
          <w:color w:val="auto"/>
        </w:rPr>
      </w:pPr>
      <w:r>
        <w:rPr>
          <w:rFonts w:ascii="Arial" w:cs="Arial" w:eastAsia="Arial" w:hAnsi="Arial"/>
          <w:sz w:val="18"/>
          <w:szCs w:val="18"/>
          <w:b w:val="1"/>
          <w:bCs w:val="1"/>
          <w:color w:val="auto"/>
        </w:rPr>
        <w:t>Exhibit</w:t>
      </w:r>
      <w:r>
        <w:rPr>
          <w:sz w:val="20"/>
          <w:szCs w:val="20"/>
          <w:color w:val="auto"/>
        </w:rPr>
        <w:tab/>
      </w:r>
      <w:r>
        <w:rPr>
          <w:rFonts w:ascii="Arial" w:cs="Arial" w:eastAsia="Arial" w:hAnsi="Arial"/>
          <w:sz w:val="18"/>
          <w:szCs w:val="18"/>
          <w:b w:val="1"/>
          <w:bCs w:val="1"/>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126" w:right="299" w:bottom="1440" w:gutter="0" w:footer="0" w:header="0"/>
        </w:sectPr>
      </w:pPr>
    </w:p>
    <w:p>
      <w:pPr>
        <w:spacing w:after="0" w:line="81" w:lineRule="exact"/>
        <w:rPr>
          <w:sz w:val="20"/>
          <w:szCs w:val="20"/>
          <w:color w:val="auto"/>
        </w:rPr>
      </w:pPr>
    </w:p>
    <w:p>
      <w:pPr>
        <w:ind w:left="40"/>
        <w:spacing w:after="0"/>
        <w:tabs>
          <w:tab w:leader="none" w:pos="940" w:val="left"/>
        </w:tabs>
        <w:rPr>
          <w:sz w:val="20"/>
          <w:szCs w:val="20"/>
          <w:color w:val="auto"/>
        </w:rPr>
      </w:pPr>
      <w:r>
        <w:rPr>
          <w:rFonts w:ascii="Arial" w:cs="Arial" w:eastAsia="Arial" w:hAnsi="Arial"/>
          <w:sz w:val="18"/>
          <w:szCs w:val="18"/>
          <w:color w:val="auto"/>
        </w:rPr>
        <w:t>10.68</w:t>
      </w:r>
      <w:r>
        <w:rPr>
          <w:sz w:val="20"/>
          <w:szCs w:val="20"/>
          <w:color w:val="auto"/>
        </w:rPr>
        <w:tab/>
      </w:r>
      <w:r>
        <w:rPr>
          <w:rFonts w:ascii="Arial" w:cs="Arial" w:eastAsia="Arial" w:hAnsi="Arial"/>
          <w:sz w:val="16"/>
          <w:szCs w:val="16"/>
          <w:color w:val="auto"/>
        </w:rPr>
        <w:t>Commitment of Nordstrom, Inc. to Nordstrom fsb dated June 17,</w:t>
      </w:r>
    </w:p>
    <w:p>
      <w:pPr>
        <w:spacing w:after="0" w:line="23" w:lineRule="exact"/>
        <w:rPr>
          <w:sz w:val="20"/>
          <w:szCs w:val="20"/>
          <w:color w:val="auto"/>
        </w:rPr>
      </w:pPr>
    </w:p>
    <w:p>
      <w:pPr>
        <w:ind w:left="960"/>
        <w:spacing w:after="0"/>
        <w:rPr>
          <w:sz w:val="20"/>
          <w:szCs w:val="20"/>
          <w:color w:val="auto"/>
        </w:rPr>
      </w:pPr>
      <w:r>
        <w:rPr>
          <w:rFonts w:ascii="Arial" w:cs="Arial" w:eastAsia="Arial" w:hAnsi="Arial"/>
          <w:sz w:val="18"/>
          <w:szCs w:val="18"/>
          <w:color w:val="auto"/>
        </w:rPr>
        <w:t>2004</w:t>
      </w:r>
    </w:p>
    <w:p>
      <w:pPr>
        <w:spacing w:after="0" w:line="170" w:lineRule="exact"/>
        <w:rPr>
          <w:sz w:val="20"/>
          <w:szCs w:val="20"/>
          <w:color w:val="auto"/>
        </w:rPr>
      </w:pPr>
    </w:p>
    <w:p>
      <w:pPr>
        <w:ind w:left="960" w:right="120" w:hanging="917"/>
        <w:spacing w:after="0" w:line="264" w:lineRule="auto"/>
        <w:tabs>
          <w:tab w:leader="none" w:pos="940" w:val="left"/>
        </w:tabs>
        <w:rPr>
          <w:sz w:val="20"/>
          <w:szCs w:val="20"/>
          <w:color w:val="auto"/>
        </w:rPr>
      </w:pPr>
      <w:r>
        <w:rPr>
          <w:rFonts w:ascii="Arial" w:cs="Arial" w:eastAsia="Arial" w:hAnsi="Arial"/>
          <w:sz w:val="18"/>
          <w:szCs w:val="18"/>
          <w:color w:val="auto"/>
        </w:rPr>
        <w:t>10.69</w:t>
      </w:r>
      <w:r>
        <w:rPr>
          <w:sz w:val="20"/>
          <w:szCs w:val="20"/>
          <w:color w:val="auto"/>
        </w:rPr>
        <w:tab/>
      </w:r>
      <w:r>
        <w:rPr>
          <w:rFonts w:ascii="Arial" w:cs="Arial" w:eastAsia="Arial" w:hAnsi="Arial"/>
          <w:sz w:val="18"/>
          <w:szCs w:val="18"/>
          <w:color w:val="auto"/>
        </w:rPr>
        <w:t>Nordstrom fsb Segregated Earmarked Deposit Agreement and Security Agreement by and between Nordstrom fsb and Nordstrom, Inc. dated July 1, 2004</w:t>
      </w:r>
    </w:p>
    <w:p>
      <w:pPr>
        <w:spacing w:after="0" w:line="141" w:lineRule="exact"/>
        <w:rPr>
          <w:sz w:val="20"/>
          <w:szCs w:val="20"/>
          <w:color w:val="auto"/>
        </w:rPr>
      </w:pPr>
    </w:p>
    <w:p>
      <w:pPr>
        <w:ind w:left="960" w:hanging="917"/>
        <w:spacing w:after="0" w:line="297" w:lineRule="auto"/>
        <w:tabs>
          <w:tab w:leader="none" w:pos="940" w:val="left"/>
        </w:tabs>
        <w:rPr>
          <w:sz w:val="20"/>
          <w:szCs w:val="20"/>
          <w:color w:val="auto"/>
        </w:rPr>
      </w:pPr>
      <w:r>
        <w:rPr>
          <w:rFonts w:ascii="Arial" w:cs="Arial" w:eastAsia="Arial" w:hAnsi="Arial"/>
          <w:sz w:val="18"/>
          <w:szCs w:val="18"/>
          <w:color w:val="auto"/>
        </w:rPr>
        <w:t>10.70</w:t>
      </w:r>
      <w:r>
        <w:rPr>
          <w:sz w:val="20"/>
          <w:szCs w:val="20"/>
          <w:color w:val="auto"/>
        </w:rPr>
        <w:tab/>
      </w:r>
      <w:r>
        <w:rPr>
          <w:rFonts w:ascii="Arial" w:cs="Arial" w:eastAsia="Arial" w:hAnsi="Arial"/>
          <w:sz w:val="16"/>
          <w:szCs w:val="16"/>
          <w:color w:val="auto"/>
        </w:rPr>
        <w:t>Revolving Credit Agreement dated April 1, 2015, between Registrant and each of the initial lenders named therein as lenders; Bank of America, N.A. as administrative agent; Wells Fargo Bank, National Association and U.S. Bank, National Association as co-syndication agents; and Fifth Third Bank as managing agent.</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Incorporated by reference from the Registrant’s Quarterly Report on Form 10-Q for the quarter ended July 31, 2004, Exhibit 10.4</w:t>
      </w:r>
    </w:p>
    <w:p>
      <w:pPr>
        <w:spacing w:after="0" w:line="106"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Incorporated by reference from the Registrant’s Quarterly Report on Form 10-Q for the quarter ended July 31, 2004, Exhibit 10.5</w:t>
      </w:r>
    </w:p>
    <w:p>
      <w:pPr>
        <w:spacing w:after="0" w:line="322"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Incorporated by reference from the Registrant’s Form 8-K filed on April 6, 2015, Exhibit 10.1</w:t>
      </w:r>
    </w:p>
    <w:p>
      <w:pPr>
        <w:spacing w:after="0" w:line="778" w:lineRule="exact"/>
        <w:rPr>
          <w:sz w:val="20"/>
          <w:szCs w:val="20"/>
          <w:color w:val="auto"/>
        </w:rPr>
      </w:pPr>
    </w:p>
    <w:p>
      <w:pPr>
        <w:sectPr>
          <w:pgSz w:w="11900" w:h="16838" w:orient="portrait"/>
          <w:cols w:equalWidth="0" w:num="2">
            <w:col w:w="5960" w:space="240"/>
            <w:col w:w="5160"/>
          </w:cols>
          <w:pgMar w:left="240" w:top="126" w:right="299" w:bottom="1440" w:gutter="0" w:footer="0" w:header="0"/>
          <w:type w:val="continuous"/>
        </w:sectPr>
      </w:pPr>
    </w:p>
    <w:p>
      <w:pPr>
        <w:jc w:val="both"/>
        <w:ind w:left="960" w:right="220" w:hanging="917"/>
        <w:spacing w:after="0" w:line="264" w:lineRule="auto"/>
        <w:tabs>
          <w:tab w:leader="none" w:pos="940" w:val="left"/>
        </w:tabs>
        <w:rPr>
          <w:sz w:val="20"/>
          <w:szCs w:val="20"/>
          <w:color w:val="auto"/>
        </w:rPr>
      </w:pPr>
      <w:r>
        <w:rPr>
          <w:rFonts w:ascii="Arial" w:cs="Arial" w:eastAsia="Arial" w:hAnsi="Arial"/>
          <w:sz w:val="18"/>
          <w:szCs w:val="18"/>
          <w:color w:val="auto"/>
        </w:rPr>
        <w:t>10.71</w:t>
      </w:r>
      <w:r>
        <w:rPr>
          <w:sz w:val="20"/>
          <w:szCs w:val="20"/>
          <w:color w:val="auto"/>
        </w:rPr>
        <w:tab/>
      </w:r>
      <w:r>
        <w:rPr>
          <w:rFonts w:ascii="Arial" w:cs="Arial" w:eastAsia="Arial" w:hAnsi="Arial"/>
          <w:sz w:val="18"/>
          <w:szCs w:val="18"/>
          <w:color w:val="auto"/>
        </w:rPr>
        <w:t>First Amendment to Revolving Credit Agreement dated March 31, 2016, between Registrant, Bank of America, N.A. as Agent and the Lenders party thereto</w:t>
      </w:r>
    </w:p>
    <w:p>
      <w:pPr>
        <w:spacing w:after="0" w:line="141" w:lineRule="exact"/>
        <w:rPr>
          <w:sz w:val="20"/>
          <w:szCs w:val="20"/>
          <w:color w:val="auto"/>
        </w:rPr>
      </w:pPr>
    </w:p>
    <w:p>
      <w:pPr>
        <w:ind w:left="960" w:right="760" w:hanging="917"/>
        <w:spacing w:after="0" w:line="277" w:lineRule="auto"/>
        <w:tabs>
          <w:tab w:leader="none" w:pos="940" w:val="left"/>
        </w:tabs>
        <w:rPr>
          <w:sz w:val="20"/>
          <w:szCs w:val="20"/>
          <w:color w:val="auto"/>
        </w:rPr>
      </w:pPr>
      <w:r>
        <w:rPr>
          <w:rFonts w:ascii="Arial" w:cs="Arial" w:eastAsia="Arial" w:hAnsi="Arial"/>
          <w:sz w:val="18"/>
          <w:szCs w:val="18"/>
          <w:color w:val="auto"/>
        </w:rPr>
        <w:t>10.72</w:t>
      </w:r>
      <w:r>
        <w:rPr>
          <w:sz w:val="20"/>
          <w:szCs w:val="20"/>
          <w:color w:val="auto"/>
        </w:rPr>
        <w:tab/>
      </w:r>
      <w:r>
        <w:rPr>
          <w:rFonts w:ascii="Arial" w:cs="Arial" w:eastAsia="Arial" w:hAnsi="Arial"/>
          <w:sz w:val="18"/>
          <w:szCs w:val="18"/>
          <w:color w:val="auto"/>
        </w:rPr>
        <w:t>Performance Undertaking dated December 4, 2001 between Registrant and Bank One, N.A.</w:t>
      </w:r>
    </w:p>
    <w:p>
      <w:pPr>
        <w:spacing w:after="0" w:line="130" w:lineRule="exact"/>
        <w:rPr>
          <w:sz w:val="20"/>
          <w:szCs w:val="20"/>
          <w:color w:val="auto"/>
        </w:rPr>
      </w:pPr>
    </w:p>
    <w:p>
      <w:pPr>
        <w:ind w:left="960" w:right="480" w:hanging="917"/>
        <w:spacing w:after="0" w:line="277" w:lineRule="auto"/>
        <w:tabs>
          <w:tab w:leader="none" w:pos="940" w:val="left"/>
        </w:tabs>
        <w:rPr>
          <w:sz w:val="20"/>
          <w:szCs w:val="20"/>
          <w:color w:val="auto"/>
        </w:rPr>
      </w:pPr>
      <w:r>
        <w:rPr>
          <w:rFonts w:ascii="Arial" w:cs="Arial" w:eastAsia="Arial" w:hAnsi="Arial"/>
          <w:sz w:val="18"/>
          <w:szCs w:val="18"/>
          <w:color w:val="auto"/>
        </w:rPr>
        <w:t>10.73</w:t>
      </w:r>
      <w:r>
        <w:rPr>
          <w:sz w:val="20"/>
          <w:szCs w:val="20"/>
          <w:color w:val="auto"/>
        </w:rPr>
        <w:tab/>
      </w:r>
      <w:r>
        <w:rPr>
          <w:rFonts w:ascii="Arial" w:cs="Arial" w:eastAsia="Arial" w:hAnsi="Arial"/>
          <w:sz w:val="18"/>
          <w:szCs w:val="18"/>
          <w:color w:val="auto"/>
        </w:rPr>
        <w:t>Servicing Agreement, dated as of May 1, 2007, by and between Nordstrom fsb, and Nordstrom Credit, Inc.</w:t>
      </w:r>
    </w:p>
    <w:p>
      <w:pPr>
        <w:spacing w:after="0" w:line="130" w:lineRule="exact"/>
        <w:rPr>
          <w:sz w:val="20"/>
          <w:szCs w:val="20"/>
          <w:color w:val="auto"/>
        </w:rPr>
      </w:pPr>
    </w:p>
    <w:p>
      <w:pPr>
        <w:ind w:left="960" w:hanging="917"/>
        <w:spacing w:after="0" w:line="276" w:lineRule="auto"/>
        <w:tabs>
          <w:tab w:leader="none" w:pos="940" w:val="left"/>
        </w:tabs>
        <w:rPr>
          <w:sz w:val="20"/>
          <w:szCs w:val="20"/>
          <w:color w:val="auto"/>
        </w:rPr>
      </w:pPr>
      <w:r>
        <w:rPr>
          <w:rFonts w:ascii="Arial" w:cs="Arial" w:eastAsia="Arial" w:hAnsi="Arial"/>
          <w:sz w:val="18"/>
          <w:szCs w:val="18"/>
          <w:color w:val="auto"/>
        </w:rPr>
        <w:t>10.74</w:t>
      </w:r>
      <w:r>
        <w:rPr>
          <w:sz w:val="20"/>
          <w:szCs w:val="20"/>
          <w:color w:val="auto"/>
        </w:rPr>
        <w:tab/>
      </w:r>
      <w:r>
        <w:rPr>
          <w:rFonts w:ascii="Arial" w:cs="Arial" w:eastAsia="Arial" w:hAnsi="Arial"/>
          <w:sz w:val="17"/>
          <w:szCs w:val="17"/>
          <w:color w:val="auto"/>
        </w:rPr>
        <w:t>Amended and Restated Transfer and Servicing Agreement, dated as of May 1, 2007, by and between Nordstrom Credit Card Receivables II LLC, as transferor, Nordstrom fsb, as servicer, Wells Fargo Bank, National Association, as indenture trustee, and Nordstrom Credit Card Master Note Trust II, as issuer</w:t>
      </w:r>
    </w:p>
    <w:p>
      <w:pPr>
        <w:spacing w:after="0" w:line="20" w:lineRule="exact"/>
        <w:rPr>
          <w:sz w:val="20"/>
          <w:szCs w:val="20"/>
          <w:color w:val="auto"/>
        </w:rPr>
      </w:pPr>
      <w:r>
        <w:rPr>
          <w:sz w:val="20"/>
          <w:szCs w:val="20"/>
          <w:color w:val="auto"/>
        </w:rPr>
        <w:br w:type="column"/>
      </w:r>
    </w:p>
    <w:p>
      <w:pPr>
        <w:ind w:right="360"/>
        <w:spacing w:after="0" w:line="277" w:lineRule="auto"/>
        <w:rPr>
          <w:sz w:val="20"/>
          <w:szCs w:val="20"/>
          <w:color w:val="auto"/>
        </w:rPr>
      </w:pPr>
      <w:r>
        <w:rPr>
          <w:rFonts w:ascii="Arial" w:cs="Arial" w:eastAsia="Arial" w:hAnsi="Arial"/>
          <w:sz w:val="18"/>
          <w:szCs w:val="18"/>
          <w:color w:val="auto"/>
        </w:rPr>
        <w:t>Incorporated by reference from the Registrant’s Form 8-K filed on April 6, 2016, Exhibit 10.1</w:t>
      </w:r>
    </w:p>
    <w:p>
      <w:pPr>
        <w:spacing w:after="0" w:line="346"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color w:val="auto"/>
        </w:rPr>
        <w:t>Incorporated by reference from the Registrant’s Annual Report on Form 10-K for the year ended January 31, 2002, Exhibit 10.38</w:t>
      </w:r>
    </w:p>
    <w:p>
      <w:pPr>
        <w:spacing w:after="0" w:line="8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Incorporated by reference from the Registrant’s Form 8-K filed on May 8, 2007, Exhibit 99.2</w:t>
      </w:r>
    </w:p>
    <w:p>
      <w:pPr>
        <w:spacing w:after="0" w:line="13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Incorporated by reference from the Registrant’s Form 8-K filed on May 8, 2007, Exhibit 99.4</w:t>
      </w:r>
    </w:p>
    <w:p>
      <w:pPr>
        <w:spacing w:after="0" w:line="778" w:lineRule="exact"/>
        <w:rPr>
          <w:sz w:val="20"/>
          <w:szCs w:val="20"/>
          <w:color w:val="auto"/>
        </w:rPr>
      </w:pPr>
    </w:p>
    <w:p>
      <w:pPr>
        <w:sectPr>
          <w:pgSz w:w="11900" w:h="16838" w:orient="portrait"/>
          <w:cols w:equalWidth="0" w:num="2">
            <w:col w:w="6020" w:space="180"/>
            <w:col w:w="5160"/>
          </w:cols>
          <w:pgMar w:left="240" w:top="126" w:right="299" w:bottom="1440" w:gutter="0" w:footer="0" w:header="0"/>
          <w:type w:val="continuous"/>
        </w:sectPr>
      </w:pPr>
    </w:p>
    <w:p>
      <w:pPr>
        <w:jc w:val="both"/>
        <w:ind w:left="960" w:right="60" w:hanging="917"/>
        <w:spacing w:after="0" w:line="312" w:lineRule="auto"/>
        <w:tabs>
          <w:tab w:leader="none" w:pos="940" w:val="left"/>
        </w:tabs>
        <w:rPr>
          <w:sz w:val="20"/>
          <w:szCs w:val="20"/>
          <w:color w:val="auto"/>
        </w:rPr>
      </w:pPr>
      <w:r>
        <w:rPr>
          <w:rFonts w:ascii="Arial" w:cs="Arial" w:eastAsia="Arial" w:hAnsi="Arial"/>
          <w:sz w:val="18"/>
          <w:szCs w:val="18"/>
          <w:color w:val="auto"/>
        </w:rPr>
        <w:t>10.75</w:t>
      </w:r>
      <w:r>
        <w:rPr>
          <w:sz w:val="20"/>
          <w:szCs w:val="20"/>
          <w:color w:val="auto"/>
        </w:rPr>
        <w:tab/>
      </w:r>
      <w:r>
        <w:rPr>
          <w:rFonts w:ascii="Arial" w:cs="Arial" w:eastAsia="Arial" w:hAnsi="Arial"/>
          <w:sz w:val="16"/>
          <w:szCs w:val="16"/>
          <w:color w:val="auto"/>
        </w:rPr>
        <w:t>Second Amended and Restated Trust Agreement, dated as of May 1, 2007, by and between Nordstrom Credit Card Receivables II LLC, as transferor, and Wilmington Trust Company, as owner trustee</w:t>
      </w:r>
    </w:p>
    <w:p>
      <w:pPr>
        <w:spacing w:after="0" w:line="106" w:lineRule="exact"/>
        <w:rPr>
          <w:sz w:val="20"/>
          <w:szCs w:val="20"/>
          <w:color w:val="auto"/>
        </w:rPr>
      </w:pPr>
    </w:p>
    <w:p>
      <w:pPr>
        <w:jc w:val="both"/>
        <w:ind w:left="960" w:hanging="917"/>
        <w:spacing w:after="0" w:line="264" w:lineRule="auto"/>
        <w:tabs>
          <w:tab w:leader="none" w:pos="940" w:val="left"/>
        </w:tabs>
        <w:rPr>
          <w:sz w:val="20"/>
          <w:szCs w:val="20"/>
          <w:color w:val="auto"/>
        </w:rPr>
      </w:pPr>
      <w:r>
        <w:rPr>
          <w:rFonts w:ascii="Arial" w:cs="Arial" w:eastAsia="Arial" w:hAnsi="Arial"/>
          <w:sz w:val="18"/>
          <w:szCs w:val="18"/>
          <w:color w:val="auto"/>
        </w:rPr>
        <w:t>10.76</w:t>
      </w:r>
      <w:r>
        <w:rPr>
          <w:sz w:val="20"/>
          <w:szCs w:val="20"/>
          <w:color w:val="auto"/>
        </w:rPr>
        <w:tab/>
      </w:r>
      <w:r>
        <w:rPr>
          <w:rFonts w:ascii="Arial" w:cs="Arial" w:eastAsia="Arial" w:hAnsi="Arial"/>
          <w:sz w:val="18"/>
          <w:szCs w:val="18"/>
          <w:color w:val="auto"/>
        </w:rPr>
        <w:t>Amended and Restated Administration Agreement, dated as of May 1, 2007, by and between Nordstrom Credit Card Master Note Trust II, as issuer, and Nordstrom fsb, as administrator</w:t>
      </w:r>
    </w:p>
    <w:p>
      <w:pPr>
        <w:spacing w:after="0" w:line="141" w:lineRule="exact"/>
        <w:rPr>
          <w:sz w:val="20"/>
          <w:szCs w:val="20"/>
          <w:color w:val="auto"/>
        </w:rPr>
      </w:pPr>
    </w:p>
    <w:p>
      <w:pPr>
        <w:ind w:left="960" w:right="80" w:hanging="917"/>
        <w:spacing w:after="0" w:line="312" w:lineRule="auto"/>
        <w:tabs>
          <w:tab w:leader="none" w:pos="940" w:val="left"/>
        </w:tabs>
        <w:rPr>
          <w:sz w:val="20"/>
          <w:szCs w:val="20"/>
          <w:color w:val="auto"/>
        </w:rPr>
      </w:pPr>
      <w:r>
        <w:rPr>
          <w:rFonts w:ascii="Arial" w:cs="Arial" w:eastAsia="Arial" w:hAnsi="Arial"/>
          <w:sz w:val="18"/>
          <w:szCs w:val="18"/>
          <w:color w:val="auto"/>
        </w:rPr>
        <w:t>10.77</w:t>
      </w:r>
      <w:r>
        <w:rPr>
          <w:sz w:val="20"/>
          <w:szCs w:val="20"/>
          <w:color w:val="auto"/>
        </w:rPr>
        <w:tab/>
      </w:r>
      <w:r>
        <w:rPr>
          <w:rFonts w:ascii="Arial" w:cs="Arial" w:eastAsia="Arial" w:hAnsi="Arial"/>
          <w:sz w:val="16"/>
          <w:szCs w:val="16"/>
          <w:color w:val="auto"/>
        </w:rPr>
        <w:t>Amended and Restated Receivables Purchase Agreement, dated as of May 1, 2007, by and between Nordstrom Credit, Inc., as seller and Nordstrom Credit Card Receivables II LLC, as purchaser</w:t>
      </w:r>
    </w:p>
    <w:p>
      <w:pPr>
        <w:spacing w:after="0" w:line="106" w:lineRule="exact"/>
        <w:rPr>
          <w:sz w:val="20"/>
          <w:szCs w:val="20"/>
          <w:color w:val="auto"/>
        </w:rPr>
      </w:pPr>
    </w:p>
    <w:p>
      <w:pPr>
        <w:ind w:left="960" w:right="260" w:hanging="917"/>
        <w:spacing w:after="0" w:line="342" w:lineRule="auto"/>
        <w:tabs>
          <w:tab w:leader="none" w:pos="940" w:val="left"/>
        </w:tabs>
        <w:rPr>
          <w:sz w:val="20"/>
          <w:szCs w:val="20"/>
          <w:color w:val="auto"/>
        </w:rPr>
      </w:pPr>
      <w:r>
        <w:rPr>
          <w:rFonts w:ascii="Arial" w:cs="Arial" w:eastAsia="Arial" w:hAnsi="Arial"/>
          <w:sz w:val="18"/>
          <w:szCs w:val="18"/>
          <w:color w:val="auto"/>
        </w:rPr>
        <w:t>10.78</w:t>
      </w:r>
      <w:r>
        <w:rPr>
          <w:sz w:val="20"/>
          <w:szCs w:val="20"/>
          <w:color w:val="auto"/>
        </w:rPr>
        <w:tab/>
      </w:r>
      <w:r>
        <w:rPr>
          <w:rFonts w:ascii="Arial" w:cs="Arial" w:eastAsia="Arial" w:hAnsi="Arial"/>
          <w:sz w:val="16"/>
          <w:szCs w:val="16"/>
          <w:color w:val="auto"/>
        </w:rPr>
        <w:t>Participation Agreement, dated as of May 1, 2007, by and between Nordstrom fsb, as seller and Nordstrom Credit, Inc., as purchaser</w:t>
      </w:r>
    </w:p>
    <w:p>
      <w:pPr>
        <w:spacing w:after="0" w:line="83" w:lineRule="exact"/>
        <w:rPr>
          <w:sz w:val="20"/>
          <w:szCs w:val="20"/>
          <w:color w:val="auto"/>
        </w:rPr>
      </w:pPr>
    </w:p>
    <w:p>
      <w:pPr>
        <w:ind w:left="960" w:right="60" w:hanging="917"/>
        <w:spacing w:after="0" w:line="308" w:lineRule="auto"/>
        <w:tabs>
          <w:tab w:leader="none" w:pos="940" w:val="left"/>
        </w:tabs>
        <w:rPr>
          <w:sz w:val="20"/>
          <w:szCs w:val="20"/>
          <w:color w:val="auto"/>
        </w:rPr>
      </w:pPr>
      <w:r>
        <w:rPr>
          <w:rFonts w:ascii="Arial" w:cs="Arial" w:eastAsia="Arial" w:hAnsi="Arial"/>
          <w:sz w:val="18"/>
          <w:szCs w:val="18"/>
          <w:color w:val="auto"/>
        </w:rPr>
        <w:t>10.79</w:t>
      </w:r>
      <w:r>
        <w:rPr>
          <w:sz w:val="20"/>
          <w:szCs w:val="20"/>
          <w:color w:val="auto"/>
        </w:rPr>
        <w:tab/>
      </w:r>
      <w:r>
        <w:rPr>
          <w:rFonts w:ascii="Arial" w:cs="Arial" w:eastAsia="Arial" w:hAnsi="Arial"/>
          <w:sz w:val="17"/>
          <w:szCs w:val="17"/>
          <w:color w:val="auto"/>
        </w:rPr>
        <w:t>Confirmation of transaction between The Royal Bank of Scotland plc and Nordstrom Inc., dated as of December 22, 2009</w:t>
      </w:r>
    </w:p>
    <w:p>
      <w:pPr>
        <w:spacing w:after="0" w:line="106" w:lineRule="exact"/>
        <w:rPr>
          <w:sz w:val="20"/>
          <w:szCs w:val="20"/>
          <w:color w:val="auto"/>
        </w:rPr>
      </w:pPr>
    </w:p>
    <w:p>
      <w:pPr>
        <w:ind w:left="960" w:right="540" w:hanging="917"/>
        <w:spacing w:after="0" w:line="308" w:lineRule="auto"/>
        <w:tabs>
          <w:tab w:leader="none" w:pos="940" w:val="left"/>
        </w:tabs>
        <w:rPr>
          <w:sz w:val="20"/>
          <w:szCs w:val="20"/>
          <w:color w:val="auto"/>
        </w:rPr>
      </w:pPr>
      <w:r>
        <w:rPr>
          <w:rFonts w:ascii="Arial" w:cs="Arial" w:eastAsia="Arial" w:hAnsi="Arial"/>
          <w:sz w:val="18"/>
          <w:szCs w:val="18"/>
          <w:color w:val="auto"/>
        </w:rPr>
        <w:t>10.80</w:t>
      </w:r>
      <w:r>
        <w:rPr>
          <w:sz w:val="20"/>
          <w:szCs w:val="20"/>
          <w:color w:val="auto"/>
        </w:rPr>
        <w:tab/>
      </w:r>
      <w:r>
        <w:rPr>
          <w:rFonts w:ascii="Arial" w:cs="Arial" w:eastAsia="Arial" w:hAnsi="Arial"/>
          <w:sz w:val="17"/>
          <w:szCs w:val="17"/>
          <w:color w:val="auto"/>
        </w:rPr>
        <w:t>Confirmation of transaction between Wachovia Bank N.A. and Nordstrom Inc., dated as of December 22, 2009</w:t>
      </w:r>
    </w:p>
    <w:p>
      <w:pPr>
        <w:spacing w:after="0" w:line="106" w:lineRule="exact"/>
        <w:rPr>
          <w:sz w:val="20"/>
          <w:szCs w:val="20"/>
          <w:color w:val="auto"/>
        </w:rPr>
      </w:pPr>
    </w:p>
    <w:p>
      <w:pPr>
        <w:ind w:left="960" w:right="240" w:hanging="917"/>
        <w:spacing w:after="0" w:line="342" w:lineRule="auto"/>
        <w:tabs>
          <w:tab w:leader="none" w:pos="940" w:val="left"/>
        </w:tabs>
        <w:rPr>
          <w:sz w:val="20"/>
          <w:szCs w:val="20"/>
          <w:color w:val="auto"/>
        </w:rPr>
      </w:pPr>
      <w:r>
        <w:rPr>
          <w:rFonts w:ascii="Arial" w:cs="Arial" w:eastAsia="Arial" w:hAnsi="Arial"/>
          <w:sz w:val="18"/>
          <w:szCs w:val="18"/>
          <w:color w:val="auto"/>
        </w:rPr>
        <w:t>10.81</w:t>
      </w:r>
      <w:r>
        <w:rPr>
          <w:sz w:val="20"/>
          <w:szCs w:val="20"/>
          <w:color w:val="auto"/>
        </w:rPr>
        <w:tab/>
      </w:r>
      <w:r>
        <w:rPr>
          <w:rFonts w:ascii="Arial" w:cs="Arial" w:eastAsia="Arial" w:hAnsi="Arial"/>
          <w:sz w:val="16"/>
          <w:szCs w:val="16"/>
          <w:color w:val="auto"/>
        </w:rPr>
        <w:t>Press release dated February 27, 2013 announcing that its Board of Directors authorized an $800 million share repurchase program</w:t>
      </w:r>
    </w:p>
    <w:p>
      <w:pPr>
        <w:spacing w:after="0" w:line="83" w:lineRule="exact"/>
        <w:rPr>
          <w:sz w:val="20"/>
          <w:szCs w:val="20"/>
          <w:color w:val="auto"/>
        </w:rPr>
      </w:pPr>
    </w:p>
    <w:p>
      <w:pPr>
        <w:ind w:left="960" w:right="220" w:hanging="917"/>
        <w:spacing w:after="0" w:line="342" w:lineRule="auto"/>
        <w:tabs>
          <w:tab w:leader="none" w:pos="940" w:val="left"/>
        </w:tabs>
        <w:rPr>
          <w:sz w:val="20"/>
          <w:szCs w:val="20"/>
          <w:color w:val="auto"/>
        </w:rPr>
      </w:pPr>
      <w:r>
        <w:rPr>
          <w:rFonts w:ascii="Arial" w:cs="Arial" w:eastAsia="Arial" w:hAnsi="Arial"/>
          <w:sz w:val="18"/>
          <w:szCs w:val="18"/>
          <w:color w:val="auto"/>
        </w:rPr>
        <w:t>10.82</w:t>
      </w:r>
      <w:r>
        <w:rPr>
          <w:sz w:val="20"/>
          <w:szCs w:val="20"/>
          <w:color w:val="auto"/>
        </w:rPr>
        <w:tab/>
      </w:r>
      <w:r>
        <w:rPr>
          <w:rFonts w:ascii="Arial" w:cs="Arial" w:eastAsia="Arial" w:hAnsi="Arial"/>
          <w:sz w:val="16"/>
          <w:szCs w:val="16"/>
          <w:color w:val="auto"/>
        </w:rPr>
        <w:t>Press release dated September 4, 2014 announcing that its Board of Directors authorized a $1,000 million share repurchase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77" w:lineRule="auto"/>
        <w:rPr>
          <w:sz w:val="20"/>
          <w:szCs w:val="20"/>
          <w:color w:val="auto"/>
        </w:rPr>
      </w:pPr>
      <w:r>
        <w:rPr>
          <w:rFonts w:ascii="Arial" w:cs="Arial" w:eastAsia="Arial" w:hAnsi="Arial"/>
          <w:sz w:val="18"/>
          <w:szCs w:val="18"/>
          <w:color w:val="auto"/>
        </w:rPr>
        <w:t>Incorporated by reference from the Registrant’s Form 8-K filed on May 8, 2007, Exhibit 99.5</w:t>
      </w:r>
    </w:p>
    <w:p>
      <w:pPr>
        <w:spacing w:after="0" w:line="34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Incorporated by reference from the Registrant’s Form 8-K filed on May 8, 2007, Exhibit 99.6</w:t>
      </w:r>
    </w:p>
    <w:p>
      <w:pPr>
        <w:spacing w:after="0" w:line="34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Incorporated by reference from the Registrant’s Form 8-K filed on May 8, 2007, Exhibit 99.3</w:t>
      </w:r>
    </w:p>
    <w:p>
      <w:pPr>
        <w:spacing w:after="0" w:line="34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Incorporated by reference from the Registrant’s Form 8-K filed on May 8, 2007, Exhibit 99.1</w:t>
      </w:r>
    </w:p>
    <w:p>
      <w:pPr>
        <w:spacing w:after="0" w:line="13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Incorporated by reference from the Registrant’s Form 8-K filed on December 23, 2009, Exhibit 10.1</w:t>
      </w:r>
    </w:p>
    <w:p>
      <w:pPr>
        <w:spacing w:after="0" w:line="13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Incorporated by reference from the Registrant’s Form 8-K filed on December 23, 2009, Exhibit 10.2</w:t>
      </w:r>
    </w:p>
    <w:p>
      <w:pPr>
        <w:spacing w:after="0" w:line="13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Incorporated by reference from the Registrant’s Form 8-K filed on February 28, 2013, Exhibit 99.1</w:t>
      </w:r>
    </w:p>
    <w:p>
      <w:pPr>
        <w:spacing w:after="0" w:line="13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Incorporated by reference from the Registrant’s Form 8-K filed on September 4, 2014, Exhibit 99.1</w:t>
      </w:r>
    </w:p>
    <w:p>
      <w:pPr>
        <w:spacing w:after="0" w:line="246" w:lineRule="exact"/>
        <w:rPr>
          <w:sz w:val="20"/>
          <w:szCs w:val="20"/>
          <w:color w:val="auto"/>
        </w:rPr>
      </w:pPr>
    </w:p>
    <w:p>
      <w:pPr>
        <w:sectPr>
          <w:pgSz w:w="11900" w:h="16838" w:orient="portrait"/>
          <w:cols w:equalWidth="0" w:num="2">
            <w:col w:w="6020" w:space="180"/>
            <w:col w:w="5160"/>
          </w:cols>
          <w:pgMar w:left="240" w:top="126" w:right="299" w:bottom="1440" w:gutter="0" w:footer="0" w:header="0"/>
          <w:type w:val="continuous"/>
        </w:sect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color w:val="auto"/>
        </w:rPr>
        <w:t>74</w:t>
      </w:r>
    </w:p>
    <w:p>
      <w:pPr>
        <w:sectPr>
          <w:pgSz w:w="11900" w:h="16838" w:orient="portrait"/>
          <w:cols w:equalWidth="0" w:num="1">
            <w:col w:w="11360"/>
          </w:cols>
          <w:pgMar w:left="240" w:top="126" w:right="299" w:bottom="1440" w:gutter="0" w:footer="0" w:header="0"/>
          <w:type w:val="continuous"/>
        </w:sectPr>
      </w:pPr>
    </w:p>
    <w:bookmarkStart w:id="75" w:name="page76"/>
    <w:bookmarkEnd w:id="75"/>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ind w:left="3220"/>
        <w:spacing w:after="0"/>
        <w:tabs>
          <w:tab w:leader="none" w:pos="8140" w:val="left"/>
        </w:tabs>
        <w:rPr>
          <w:sz w:val="20"/>
          <w:szCs w:val="20"/>
          <w:color w:val="auto"/>
        </w:rPr>
      </w:pPr>
      <w:r>
        <w:rPr>
          <w:rFonts w:ascii="Arial" w:cs="Arial" w:eastAsia="Arial" w:hAnsi="Arial"/>
          <w:sz w:val="18"/>
          <w:szCs w:val="18"/>
          <w:b w:val="1"/>
          <w:bCs w:val="1"/>
          <w:color w:val="auto"/>
        </w:rPr>
        <w:t>Exhibit</w:t>
      </w:r>
      <w:r>
        <w:rPr>
          <w:sz w:val="20"/>
          <w:szCs w:val="20"/>
          <w:color w:val="auto"/>
        </w:rPr>
        <w:tab/>
      </w:r>
      <w:r>
        <w:rPr>
          <w:rFonts w:ascii="Arial" w:cs="Arial" w:eastAsia="Arial" w:hAnsi="Arial"/>
          <w:sz w:val="18"/>
          <w:szCs w:val="18"/>
          <w:b w:val="1"/>
          <w:bCs w:val="1"/>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p>
      <w:pPr>
        <w:spacing w:after="0" w:line="8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10.83</w:t>
            </w:r>
          </w:p>
        </w:tc>
        <w:tc>
          <w:tcPr>
            <w:tcW w:w="5320" w:type="dxa"/>
            <w:vAlign w:val="bottom"/>
          </w:tcPr>
          <w:p>
            <w:pPr>
              <w:ind w:left="260"/>
              <w:spacing w:after="0"/>
              <w:rPr>
                <w:sz w:val="20"/>
                <w:szCs w:val="20"/>
                <w:color w:val="auto"/>
              </w:rPr>
            </w:pPr>
            <w:r>
              <w:rPr>
                <w:rFonts w:ascii="Arial" w:cs="Arial" w:eastAsia="Arial" w:hAnsi="Arial"/>
                <w:sz w:val="18"/>
                <w:szCs w:val="18"/>
                <w:color w:val="auto"/>
                <w:w w:val="96"/>
              </w:rPr>
              <w:t>Press release dated October 1, 2015 announcing that its Board of</w:t>
            </w:r>
          </w:p>
        </w:tc>
      </w:tr>
      <w:tr>
        <w:trPr>
          <w:trHeight w:val="230"/>
        </w:trPr>
        <w:tc>
          <w:tcPr>
            <w:tcW w:w="660" w:type="dxa"/>
            <w:vAlign w:val="bottom"/>
          </w:tcPr>
          <w:p>
            <w:pPr>
              <w:spacing w:after="0"/>
              <w:rPr>
                <w:sz w:val="20"/>
                <w:szCs w:val="20"/>
                <w:color w:val="auto"/>
              </w:rPr>
            </w:pPr>
          </w:p>
        </w:tc>
        <w:tc>
          <w:tcPr>
            <w:tcW w:w="5320" w:type="dxa"/>
            <w:vAlign w:val="bottom"/>
          </w:tcPr>
          <w:p>
            <w:pPr>
              <w:ind w:left="260"/>
              <w:spacing w:after="0"/>
              <w:rPr>
                <w:sz w:val="20"/>
                <w:szCs w:val="20"/>
                <w:color w:val="auto"/>
              </w:rPr>
            </w:pPr>
            <w:r>
              <w:rPr>
                <w:rFonts w:ascii="Arial" w:cs="Arial" w:eastAsia="Arial" w:hAnsi="Arial"/>
                <w:sz w:val="18"/>
                <w:szCs w:val="18"/>
                <w:color w:val="auto"/>
                <w:w w:val="98"/>
              </w:rPr>
              <w:t>Directors authorized a $1,000 million share repurchase program</w:t>
            </w:r>
          </w:p>
        </w:tc>
      </w:tr>
      <w:tr>
        <w:trPr>
          <w:trHeight w:val="377"/>
        </w:trPr>
        <w:tc>
          <w:tcPr>
            <w:tcW w:w="660" w:type="dxa"/>
            <w:vAlign w:val="bottom"/>
          </w:tcPr>
          <w:p>
            <w:pPr>
              <w:spacing w:after="0"/>
              <w:rPr>
                <w:sz w:val="20"/>
                <w:szCs w:val="20"/>
                <w:color w:val="auto"/>
              </w:rPr>
            </w:pPr>
            <w:r>
              <w:rPr>
                <w:rFonts w:ascii="Arial" w:cs="Arial" w:eastAsia="Arial" w:hAnsi="Arial"/>
                <w:sz w:val="18"/>
                <w:szCs w:val="18"/>
                <w:color w:val="auto"/>
              </w:rPr>
              <w:t>10.84</w:t>
            </w:r>
          </w:p>
        </w:tc>
        <w:tc>
          <w:tcPr>
            <w:tcW w:w="5320" w:type="dxa"/>
            <w:vAlign w:val="bottom"/>
          </w:tcPr>
          <w:p>
            <w:pPr>
              <w:ind w:left="260"/>
              <w:spacing w:after="0"/>
              <w:rPr>
                <w:sz w:val="20"/>
                <w:szCs w:val="20"/>
                <w:color w:val="auto"/>
              </w:rPr>
            </w:pPr>
            <w:r>
              <w:rPr>
                <w:rFonts w:ascii="Arial" w:cs="Arial" w:eastAsia="Arial" w:hAnsi="Arial"/>
                <w:sz w:val="18"/>
                <w:szCs w:val="18"/>
                <w:color w:val="auto"/>
                <w:w w:val="93"/>
              </w:rPr>
              <w:t>Press release dated February 17, 2017 announcing that its Board of</w:t>
            </w:r>
          </w:p>
        </w:tc>
      </w:tr>
      <w:tr>
        <w:trPr>
          <w:trHeight w:val="216"/>
        </w:trPr>
        <w:tc>
          <w:tcPr>
            <w:tcW w:w="660" w:type="dxa"/>
            <w:vAlign w:val="bottom"/>
          </w:tcPr>
          <w:p>
            <w:pPr>
              <w:spacing w:after="0"/>
              <w:rPr>
                <w:sz w:val="18"/>
                <w:szCs w:val="18"/>
                <w:color w:val="auto"/>
              </w:rPr>
            </w:pPr>
          </w:p>
        </w:tc>
        <w:tc>
          <w:tcPr>
            <w:tcW w:w="5320" w:type="dxa"/>
            <w:vAlign w:val="bottom"/>
          </w:tcPr>
          <w:p>
            <w:pPr>
              <w:ind w:left="260"/>
              <w:spacing w:after="0"/>
              <w:rPr>
                <w:sz w:val="20"/>
                <w:szCs w:val="20"/>
                <w:color w:val="auto"/>
              </w:rPr>
            </w:pPr>
            <w:r>
              <w:rPr>
                <w:rFonts w:ascii="Arial" w:cs="Arial" w:eastAsia="Arial" w:hAnsi="Arial"/>
                <w:sz w:val="18"/>
                <w:szCs w:val="18"/>
                <w:color w:val="auto"/>
                <w:w w:val="95"/>
              </w:rPr>
              <w:t>Directors authorized a $500 million share repurchase program and</w:t>
            </w:r>
          </w:p>
        </w:tc>
      </w:tr>
      <w:tr>
        <w:trPr>
          <w:trHeight w:val="230"/>
        </w:trPr>
        <w:tc>
          <w:tcPr>
            <w:tcW w:w="660" w:type="dxa"/>
            <w:vAlign w:val="bottom"/>
          </w:tcPr>
          <w:p>
            <w:pPr>
              <w:spacing w:after="0"/>
              <w:rPr>
                <w:sz w:val="20"/>
                <w:szCs w:val="20"/>
                <w:color w:val="auto"/>
              </w:rPr>
            </w:pPr>
          </w:p>
        </w:tc>
        <w:tc>
          <w:tcPr>
            <w:tcW w:w="5320" w:type="dxa"/>
            <w:vAlign w:val="bottom"/>
          </w:tcPr>
          <w:p>
            <w:pPr>
              <w:ind w:left="260"/>
              <w:spacing w:after="0"/>
              <w:rPr>
                <w:sz w:val="20"/>
                <w:szCs w:val="20"/>
                <w:color w:val="auto"/>
              </w:rPr>
            </w:pPr>
            <w:r>
              <w:rPr>
                <w:rFonts w:ascii="Arial" w:cs="Arial" w:eastAsia="Arial" w:hAnsi="Arial"/>
                <w:sz w:val="18"/>
                <w:szCs w:val="18"/>
                <w:color w:val="auto"/>
              </w:rPr>
              <w:t>approved a quarterly dividend</w:t>
            </w:r>
          </w:p>
        </w:tc>
      </w:tr>
      <w:tr>
        <w:trPr>
          <w:trHeight w:val="377"/>
        </w:trPr>
        <w:tc>
          <w:tcPr>
            <w:tcW w:w="660" w:type="dxa"/>
            <w:vAlign w:val="bottom"/>
          </w:tcPr>
          <w:p>
            <w:pPr>
              <w:spacing w:after="0"/>
              <w:rPr>
                <w:sz w:val="20"/>
                <w:szCs w:val="20"/>
                <w:color w:val="auto"/>
              </w:rPr>
            </w:pPr>
            <w:r>
              <w:rPr>
                <w:rFonts w:ascii="Arial" w:cs="Arial" w:eastAsia="Arial" w:hAnsi="Arial"/>
                <w:sz w:val="18"/>
                <w:szCs w:val="18"/>
                <w:color w:val="auto"/>
              </w:rPr>
              <w:t>10.85</w:t>
            </w:r>
          </w:p>
        </w:tc>
        <w:tc>
          <w:tcPr>
            <w:tcW w:w="5320" w:type="dxa"/>
            <w:vAlign w:val="bottom"/>
          </w:tcPr>
          <w:p>
            <w:pPr>
              <w:ind w:left="260"/>
              <w:spacing w:after="0"/>
              <w:rPr>
                <w:sz w:val="20"/>
                <w:szCs w:val="20"/>
                <w:color w:val="auto"/>
              </w:rPr>
            </w:pPr>
            <w:r>
              <w:rPr>
                <w:rFonts w:ascii="Arial" w:cs="Arial" w:eastAsia="Arial" w:hAnsi="Arial"/>
                <w:sz w:val="18"/>
                <w:szCs w:val="18"/>
                <w:color w:val="auto"/>
                <w:w w:val="97"/>
              </w:rPr>
              <w:t>Historical Statement of Earnings and segment data for fiscal year</w:t>
            </w:r>
          </w:p>
        </w:tc>
      </w:tr>
      <w:tr>
        <w:trPr>
          <w:trHeight w:val="216"/>
        </w:trPr>
        <w:tc>
          <w:tcPr>
            <w:tcW w:w="660" w:type="dxa"/>
            <w:vAlign w:val="bottom"/>
          </w:tcPr>
          <w:p>
            <w:pPr>
              <w:spacing w:after="0"/>
              <w:rPr>
                <w:sz w:val="18"/>
                <w:szCs w:val="18"/>
                <w:color w:val="auto"/>
              </w:rPr>
            </w:pPr>
          </w:p>
        </w:tc>
        <w:tc>
          <w:tcPr>
            <w:tcW w:w="5320" w:type="dxa"/>
            <w:vAlign w:val="bottom"/>
          </w:tcPr>
          <w:p>
            <w:pPr>
              <w:ind w:left="260"/>
              <w:spacing w:after="0"/>
              <w:rPr>
                <w:sz w:val="20"/>
                <w:szCs w:val="20"/>
                <w:color w:val="auto"/>
              </w:rPr>
            </w:pPr>
            <w:r>
              <w:rPr>
                <w:rFonts w:ascii="Arial" w:cs="Arial" w:eastAsia="Arial" w:hAnsi="Arial"/>
                <w:sz w:val="18"/>
                <w:szCs w:val="18"/>
                <w:color w:val="auto"/>
                <w:w w:val="95"/>
              </w:rPr>
              <w:t>2012 reclassified for consistency with our current view of business</w:t>
            </w:r>
          </w:p>
        </w:tc>
      </w:tr>
      <w:tr>
        <w:trPr>
          <w:trHeight w:val="230"/>
        </w:trPr>
        <w:tc>
          <w:tcPr>
            <w:tcW w:w="660" w:type="dxa"/>
            <w:vAlign w:val="bottom"/>
          </w:tcPr>
          <w:p>
            <w:pPr>
              <w:spacing w:after="0"/>
              <w:rPr>
                <w:sz w:val="20"/>
                <w:szCs w:val="20"/>
                <w:color w:val="auto"/>
              </w:rPr>
            </w:pPr>
          </w:p>
        </w:tc>
        <w:tc>
          <w:tcPr>
            <w:tcW w:w="5320" w:type="dxa"/>
            <w:vAlign w:val="bottom"/>
          </w:tcPr>
          <w:p>
            <w:pPr>
              <w:ind w:left="260"/>
              <w:spacing w:after="0"/>
              <w:rPr>
                <w:sz w:val="20"/>
                <w:szCs w:val="20"/>
                <w:color w:val="auto"/>
              </w:rPr>
            </w:pPr>
            <w:r>
              <w:rPr>
                <w:rFonts w:ascii="Arial" w:cs="Arial" w:eastAsia="Arial" w:hAnsi="Arial"/>
                <w:sz w:val="18"/>
                <w:szCs w:val="18"/>
                <w:color w:val="auto"/>
              </w:rPr>
              <w:t>performance</w:t>
            </w:r>
          </w:p>
        </w:tc>
      </w:tr>
      <w:tr>
        <w:trPr>
          <w:trHeight w:val="377"/>
        </w:trPr>
        <w:tc>
          <w:tcPr>
            <w:tcW w:w="660" w:type="dxa"/>
            <w:vAlign w:val="bottom"/>
          </w:tcPr>
          <w:p>
            <w:pPr>
              <w:spacing w:after="0"/>
              <w:rPr>
                <w:sz w:val="20"/>
                <w:szCs w:val="20"/>
                <w:color w:val="auto"/>
              </w:rPr>
            </w:pPr>
            <w:r>
              <w:rPr>
                <w:rFonts w:ascii="Arial" w:cs="Arial" w:eastAsia="Arial" w:hAnsi="Arial"/>
                <w:sz w:val="18"/>
                <w:szCs w:val="18"/>
                <w:color w:val="auto"/>
              </w:rPr>
              <w:t>10.86</w:t>
            </w:r>
          </w:p>
        </w:tc>
        <w:tc>
          <w:tcPr>
            <w:tcW w:w="5320" w:type="dxa"/>
            <w:vAlign w:val="bottom"/>
          </w:tcPr>
          <w:p>
            <w:pPr>
              <w:ind w:left="260"/>
              <w:spacing w:after="0"/>
              <w:rPr>
                <w:sz w:val="20"/>
                <w:szCs w:val="20"/>
                <w:color w:val="auto"/>
              </w:rPr>
            </w:pPr>
            <w:r>
              <w:rPr>
                <w:rFonts w:ascii="Arial" w:cs="Arial" w:eastAsia="Arial" w:hAnsi="Arial"/>
                <w:sz w:val="18"/>
                <w:szCs w:val="18"/>
                <w:color w:val="auto"/>
                <w:w w:val="91"/>
              </w:rPr>
              <w:t>Historical Statement of Earnings and Operating Results for fiscal year</w:t>
            </w:r>
          </w:p>
        </w:tc>
      </w:tr>
      <w:tr>
        <w:trPr>
          <w:trHeight w:val="216"/>
        </w:trPr>
        <w:tc>
          <w:tcPr>
            <w:tcW w:w="660" w:type="dxa"/>
            <w:vAlign w:val="bottom"/>
          </w:tcPr>
          <w:p>
            <w:pPr>
              <w:spacing w:after="0"/>
              <w:rPr>
                <w:sz w:val="18"/>
                <w:szCs w:val="18"/>
                <w:color w:val="auto"/>
              </w:rPr>
            </w:pPr>
          </w:p>
        </w:tc>
        <w:tc>
          <w:tcPr>
            <w:tcW w:w="5320" w:type="dxa"/>
            <w:vAlign w:val="bottom"/>
          </w:tcPr>
          <w:p>
            <w:pPr>
              <w:ind w:left="260"/>
              <w:spacing w:after="0"/>
              <w:rPr>
                <w:sz w:val="20"/>
                <w:szCs w:val="20"/>
                <w:color w:val="auto"/>
              </w:rPr>
            </w:pPr>
            <w:r>
              <w:rPr>
                <w:rFonts w:ascii="Arial" w:cs="Arial" w:eastAsia="Arial" w:hAnsi="Arial"/>
                <w:sz w:val="18"/>
                <w:szCs w:val="18"/>
                <w:color w:val="auto"/>
                <w:w w:val="93"/>
              </w:rPr>
              <w:t>2012 by quarter reclassified for consistency with our current view of</w:t>
            </w:r>
          </w:p>
        </w:tc>
      </w:tr>
      <w:tr>
        <w:trPr>
          <w:trHeight w:val="230"/>
        </w:trPr>
        <w:tc>
          <w:tcPr>
            <w:tcW w:w="660" w:type="dxa"/>
            <w:vAlign w:val="bottom"/>
          </w:tcPr>
          <w:p>
            <w:pPr>
              <w:spacing w:after="0"/>
              <w:rPr>
                <w:sz w:val="20"/>
                <w:szCs w:val="20"/>
                <w:color w:val="auto"/>
              </w:rPr>
            </w:pPr>
          </w:p>
        </w:tc>
        <w:tc>
          <w:tcPr>
            <w:tcW w:w="5320" w:type="dxa"/>
            <w:vAlign w:val="bottom"/>
          </w:tcPr>
          <w:p>
            <w:pPr>
              <w:ind w:left="260"/>
              <w:spacing w:after="0"/>
              <w:rPr>
                <w:sz w:val="20"/>
                <w:szCs w:val="20"/>
                <w:color w:val="auto"/>
              </w:rPr>
            </w:pPr>
            <w:r>
              <w:rPr>
                <w:rFonts w:ascii="Arial" w:cs="Arial" w:eastAsia="Arial" w:hAnsi="Arial"/>
                <w:sz w:val="18"/>
                <w:szCs w:val="18"/>
                <w:color w:val="auto"/>
              </w:rPr>
              <w:t>business performance</w:t>
            </w:r>
          </w:p>
        </w:tc>
      </w:tr>
      <w:tr>
        <w:trPr>
          <w:trHeight w:val="377"/>
        </w:trPr>
        <w:tc>
          <w:tcPr>
            <w:tcW w:w="660" w:type="dxa"/>
            <w:vAlign w:val="bottom"/>
          </w:tcPr>
          <w:p>
            <w:pPr>
              <w:spacing w:after="0"/>
              <w:rPr>
                <w:sz w:val="20"/>
                <w:szCs w:val="20"/>
                <w:color w:val="auto"/>
              </w:rPr>
            </w:pPr>
            <w:r>
              <w:rPr>
                <w:rFonts w:ascii="Arial" w:cs="Arial" w:eastAsia="Arial" w:hAnsi="Arial"/>
                <w:sz w:val="18"/>
                <w:szCs w:val="18"/>
                <w:color w:val="auto"/>
              </w:rPr>
              <w:t>10.87</w:t>
            </w:r>
          </w:p>
        </w:tc>
        <w:tc>
          <w:tcPr>
            <w:tcW w:w="5320" w:type="dxa"/>
            <w:vAlign w:val="bottom"/>
          </w:tcPr>
          <w:p>
            <w:pPr>
              <w:ind w:left="260"/>
              <w:spacing w:after="0"/>
              <w:rPr>
                <w:sz w:val="20"/>
                <w:szCs w:val="20"/>
                <w:color w:val="auto"/>
              </w:rPr>
            </w:pPr>
            <w:r>
              <w:rPr>
                <w:rFonts w:ascii="Arial" w:cs="Arial" w:eastAsia="Arial" w:hAnsi="Arial"/>
                <w:sz w:val="18"/>
                <w:szCs w:val="18"/>
                <w:color w:val="auto"/>
                <w:w w:val="94"/>
              </w:rPr>
              <w:t>Press release dated December 3, 2013 announcing the pricing of a</w:t>
            </w:r>
          </w:p>
        </w:tc>
      </w:tr>
      <w:tr>
        <w:trPr>
          <w:trHeight w:val="230"/>
        </w:trPr>
        <w:tc>
          <w:tcPr>
            <w:tcW w:w="660" w:type="dxa"/>
            <w:vAlign w:val="bottom"/>
          </w:tcPr>
          <w:p>
            <w:pPr>
              <w:spacing w:after="0"/>
              <w:rPr>
                <w:sz w:val="20"/>
                <w:szCs w:val="20"/>
                <w:color w:val="auto"/>
              </w:rPr>
            </w:pPr>
          </w:p>
        </w:tc>
        <w:tc>
          <w:tcPr>
            <w:tcW w:w="5320" w:type="dxa"/>
            <w:vAlign w:val="bottom"/>
          </w:tcPr>
          <w:p>
            <w:pPr>
              <w:ind w:left="260"/>
              <w:spacing w:after="0"/>
              <w:rPr>
                <w:sz w:val="20"/>
                <w:szCs w:val="20"/>
                <w:color w:val="auto"/>
              </w:rPr>
            </w:pPr>
            <w:r>
              <w:rPr>
                <w:rFonts w:ascii="Arial" w:cs="Arial" w:eastAsia="Arial" w:hAnsi="Arial"/>
                <w:sz w:val="18"/>
                <w:szCs w:val="18"/>
                <w:color w:val="auto"/>
              </w:rPr>
              <w:t>private offering of 2044 Notes</w:t>
            </w:r>
          </w:p>
        </w:tc>
      </w:tr>
      <w:tr>
        <w:trPr>
          <w:trHeight w:val="377"/>
        </w:trPr>
        <w:tc>
          <w:tcPr>
            <w:tcW w:w="660" w:type="dxa"/>
            <w:vAlign w:val="bottom"/>
          </w:tcPr>
          <w:p>
            <w:pPr>
              <w:spacing w:after="0"/>
              <w:rPr>
                <w:sz w:val="20"/>
                <w:szCs w:val="20"/>
                <w:color w:val="auto"/>
              </w:rPr>
            </w:pPr>
            <w:r>
              <w:rPr>
                <w:rFonts w:ascii="Arial" w:cs="Arial" w:eastAsia="Arial" w:hAnsi="Arial"/>
                <w:sz w:val="18"/>
                <w:szCs w:val="18"/>
                <w:color w:val="auto"/>
              </w:rPr>
              <w:t>10.88</w:t>
            </w:r>
          </w:p>
        </w:tc>
        <w:tc>
          <w:tcPr>
            <w:tcW w:w="5320" w:type="dxa"/>
            <w:vAlign w:val="bottom"/>
          </w:tcPr>
          <w:p>
            <w:pPr>
              <w:ind w:left="260"/>
              <w:spacing w:after="0"/>
              <w:rPr>
                <w:sz w:val="20"/>
                <w:szCs w:val="20"/>
                <w:color w:val="auto"/>
              </w:rPr>
            </w:pPr>
            <w:r>
              <w:rPr>
                <w:rFonts w:ascii="Arial" w:cs="Arial" w:eastAsia="Arial" w:hAnsi="Arial"/>
                <w:sz w:val="18"/>
                <w:szCs w:val="18"/>
                <w:color w:val="auto"/>
                <w:w w:val="87"/>
              </w:rPr>
              <w:t>Press release dated December 3, 2013 announcing the commencement</w:t>
            </w:r>
          </w:p>
        </w:tc>
      </w:tr>
      <w:tr>
        <w:trPr>
          <w:trHeight w:val="230"/>
        </w:trPr>
        <w:tc>
          <w:tcPr>
            <w:tcW w:w="660" w:type="dxa"/>
            <w:vAlign w:val="bottom"/>
          </w:tcPr>
          <w:p>
            <w:pPr>
              <w:spacing w:after="0"/>
              <w:rPr>
                <w:sz w:val="20"/>
                <w:szCs w:val="20"/>
                <w:color w:val="auto"/>
              </w:rPr>
            </w:pPr>
          </w:p>
        </w:tc>
        <w:tc>
          <w:tcPr>
            <w:tcW w:w="5320" w:type="dxa"/>
            <w:vAlign w:val="bottom"/>
          </w:tcPr>
          <w:p>
            <w:pPr>
              <w:ind w:left="260"/>
              <w:spacing w:after="0"/>
              <w:rPr>
                <w:sz w:val="20"/>
                <w:szCs w:val="20"/>
                <w:color w:val="auto"/>
              </w:rPr>
            </w:pPr>
            <w:r>
              <w:rPr>
                <w:rFonts w:ascii="Arial" w:cs="Arial" w:eastAsia="Arial" w:hAnsi="Arial"/>
                <w:sz w:val="18"/>
                <w:szCs w:val="18"/>
                <w:color w:val="auto"/>
              </w:rPr>
              <w:t>of a private exchange offering</w:t>
            </w:r>
          </w:p>
        </w:tc>
      </w:tr>
      <w:tr>
        <w:trPr>
          <w:trHeight w:val="377"/>
        </w:trPr>
        <w:tc>
          <w:tcPr>
            <w:tcW w:w="660" w:type="dxa"/>
            <w:vAlign w:val="bottom"/>
          </w:tcPr>
          <w:p>
            <w:pPr>
              <w:spacing w:after="0"/>
              <w:rPr>
                <w:sz w:val="20"/>
                <w:szCs w:val="20"/>
                <w:color w:val="auto"/>
              </w:rPr>
            </w:pPr>
            <w:r>
              <w:rPr>
                <w:rFonts w:ascii="Arial" w:cs="Arial" w:eastAsia="Arial" w:hAnsi="Arial"/>
                <w:sz w:val="18"/>
                <w:szCs w:val="18"/>
                <w:color w:val="auto"/>
              </w:rPr>
              <w:t>10.89</w:t>
            </w:r>
          </w:p>
        </w:tc>
        <w:tc>
          <w:tcPr>
            <w:tcW w:w="5320" w:type="dxa"/>
            <w:vAlign w:val="bottom"/>
          </w:tcPr>
          <w:p>
            <w:pPr>
              <w:ind w:left="260"/>
              <w:spacing w:after="0"/>
              <w:rPr>
                <w:sz w:val="20"/>
                <w:szCs w:val="20"/>
                <w:color w:val="auto"/>
              </w:rPr>
            </w:pPr>
            <w:r>
              <w:rPr>
                <w:rFonts w:ascii="Arial" w:cs="Arial" w:eastAsia="Arial" w:hAnsi="Arial"/>
                <w:sz w:val="18"/>
                <w:szCs w:val="18"/>
                <w:color w:val="auto"/>
                <w:w w:val="89"/>
              </w:rPr>
              <w:t>Press release dated December 12, 2013 announcing the closing of the</w:t>
            </w:r>
          </w:p>
        </w:tc>
      </w:tr>
      <w:tr>
        <w:trPr>
          <w:trHeight w:val="230"/>
        </w:trPr>
        <w:tc>
          <w:tcPr>
            <w:tcW w:w="660" w:type="dxa"/>
            <w:vAlign w:val="bottom"/>
          </w:tcPr>
          <w:p>
            <w:pPr>
              <w:spacing w:after="0"/>
              <w:rPr>
                <w:sz w:val="20"/>
                <w:szCs w:val="20"/>
                <w:color w:val="auto"/>
              </w:rPr>
            </w:pPr>
          </w:p>
        </w:tc>
        <w:tc>
          <w:tcPr>
            <w:tcW w:w="5320" w:type="dxa"/>
            <w:vAlign w:val="bottom"/>
          </w:tcPr>
          <w:p>
            <w:pPr>
              <w:ind w:left="260"/>
              <w:spacing w:after="0"/>
              <w:rPr>
                <w:sz w:val="20"/>
                <w:szCs w:val="20"/>
                <w:color w:val="auto"/>
              </w:rPr>
            </w:pPr>
            <w:r>
              <w:rPr>
                <w:rFonts w:ascii="Arial" w:cs="Arial" w:eastAsia="Arial" w:hAnsi="Arial"/>
                <w:sz w:val="18"/>
                <w:szCs w:val="18"/>
                <w:color w:val="auto"/>
              </w:rPr>
              <w:t>private offering of 2044 Notes</w:t>
            </w:r>
          </w:p>
        </w:tc>
      </w:tr>
      <w:tr>
        <w:trPr>
          <w:trHeight w:val="377"/>
        </w:trPr>
        <w:tc>
          <w:tcPr>
            <w:tcW w:w="660" w:type="dxa"/>
            <w:vAlign w:val="bottom"/>
          </w:tcPr>
          <w:p>
            <w:pPr>
              <w:spacing w:after="0"/>
              <w:rPr>
                <w:sz w:val="20"/>
                <w:szCs w:val="20"/>
                <w:color w:val="auto"/>
              </w:rPr>
            </w:pPr>
            <w:r>
              <w:rPr>
                <w:rFonts w:ascii="Arial" w:cs="Arial" w:eastAsia="Arial" w:hAnsi="Arial"/>
                <w:sz w:val="18"/>
                <w:szCs w:val="18"/>
                <w:color w:val="auto"/>
              </w:rPr>
              <w:t>10.90</w:t>
            </w:r>
          </w:p>
        </w:tc>
        <w:tc>
          <w:tcPr>
            <w:tcW w:w="5320" w:type="dxa"/>
            <w:vAlign w:val="bottom"/>
          </w:tcPr>
          <w:p>
            <w:pPr>
              <w:ind w:left="260"/>
              <w:spacing w:after="0"/>
              <w:rPr>
                <w:sz w:val="20"/>
                <w:szCs w:val="20"/>
                <w:color w:val="auto"/>
              </w:rPr>
            </w:pPr>
            <w:r>
              <w:rPr>
                <w:rFonts w:ascii="Arial" w:cs="Arial" w:eastAsia="Arial" w:hAnsi="Arial"/>
                <w:sz w:val="18"/>
                <w:szCs w:val="18"/>
                <w:color w:val="auto"/>
                <w:w w:val="93"/>
              </w:rPr>
              <w:t>Press release dated December 17, 2013 relating to the expiration of</w:t>
            </w:r>
          </w:p>
        </w:tc>
      </w:tr>
      <w:tr>
        <w:trPr>
          <w:trHeight w:val="230"/>
        </w:trPr>
        <w:tc>
          <w:tcPr>
            <w:tcW w:w="660" w:type="dxa"/>
            <w:vAlign w:val="bottom"/>
          </w:tcPr>
          <w:p>
            <w:pPr>
              <w:spacing w:after="0"/>
              <w:rPr>
                <w:sz w:val="20"/>
                <w:szCs w:val="20"/>
                <w:color w:val="auto"/>
              </w:rPr>
            </w:pPr>
          </w:p>
        </w:tc>
        <w:tc>
          <w:tcPr>
            <w:tcW w:w="5320" w:type="dxa"/>
            <w:vAlign w:val="bottom"/>
          </w:tcPr>
          <w:p>
            <w:pPr>
              <w:ind w:left="260"/>
              <w:spacing w:after="0"/>
              <w:rPr>
                <w:sz w:val="20"/>
                <w:szCs w:val="20"/>
                <w:color w:val="auto"/>
              </w:rPr>
            </w:pPr>
            <w:r>
              <w:rPr>
                <w:rFonts w:ascii="Arial" w:cs="Arial" w:eastAsia="Arial" w:hAnsi="Arial"/>
                <w:sz w:val="18"/>
                <w:szCs w:val="18"/>
                <w:color w:val="auto"/>
              </w:rPr>
              <w:t>the early participation period</w:t>
            </w:r>
          </w:p>
        </w:tc>
      </w:tr>
      <w:tr>
        <w:trPr>
          <w:trHeight w:val="377"/>
        </w:trPr>
        <w:tc>
          <w:tcPr>
            <w:tcW w:w="660" w:type="dxa"/>
            <w:vAlign w:val="bottom"/>
          </w:tcPr>
          <w:p>
            <w:pPr>
              <w:spacing w:after="0"/>
              <w:rPr>
                <w:sz w:val="20"/>
                <w:szCs w:val="20"/>
                <w:color w:val="auto"/>
              </w:rPr>
            </w:pPr>
            <w:r>
              <w:rPr>
                <w:rFonts w:ascii="Arial" w:cs="Arial" w:eastAsia="Arial" w:hAnsi="Arial"/>
                <w:sz w:val="18"/>
                <w:szCs w:val="18"/>
                <w:color w:val="auto"/>
              </w:rPr>
              <w:t>10.91</w:t>
            </w:r>
          </w:p>
        </w:tc>
        <w:tc>
          <w:tcPr>
            <w:tcW w:w="5320" w:type="dxa"/>
            <w:vAlign w:val="bottom"/>
          </w:tcPr>
          <w:p>
            <w:pPr>
              <w:ind w:left="260"/>
              <w:spacing w:after="0"/>
              <w:rPr>
                <w:sz w:val="20"/>
                <w:szCs w:val="20"/>
                <w:color w:val="auto"/>
              </w:rPr>
            </w:pPr>
            <w:r>
              <w:rPr>
                <w:rFonts w:ascii="Arial" w:cs="Arial" w:eastAsia="Arial" w:hAnsi="Arial"/>
                <w:sz w:val="18"/>
                <w:szCs w:val="18"/>
                <w:color w:val="auto"/>
                <w:w w:val="97"/>
              </w:rPr>
              <w:t>Press release dated January 2, 2014 relating to the closing of the</w:t>
            </w:r>
          </w:p>
        </w:tc>
      </w:tr>
      <w:tr>
        <w:trPr>
          <w:trHeight w:val="230"/>
        </w:trPr>
        <w:tc>
          <w:tcPr>
            <w:tcW w:w="660" w:type="dxa"/>
            <w:vAlign w:val="bottom"/>
          </w:tcPr>
          <w:p>
            <w:pPr>
              <w:spacing w:after="0"/>
              <w:rPr>
                <w:sz w:val="20"/>
                <w:szCs w:val="20"/>
                <w:color w:val="auto"/>
              </w:rPr>
            </w:pPr>
          </w:p>
        </w:tc>
        <w:tc>
          <w:tcPr>
            <w:tcW w:w="5320" w:type="dxa"/>
            <w:vAlign w:val="bottom"/>
          </w:tcPr>
          <w:p>
            <w:pPr>
              <w:ind w:left="260"/>
              <w:spacing w:after="0"/>
              <w:rPr>
                <w:sz w:val="20"/>
                <w:szCs w:val="20"/>
                <w:color w:val="auto"/>
              </w:rPr>
            </w:pPr>
            <w:r>
              <w:rPr>
                <w:rFonts w:ascii="Arial" w:cs="Arial" w:eastAsia="Arial" w:hAnsi="Arial"/>
                <w:sz w:val="18"/>
                <w:szCs w:val="18"/>
                <w:color w:val="auto"/>
              </w:rPr>
              <w:t>private exchange offer</w:t>
            </w:r>
          </w:p>
        </w:tc>
      </w:tr>
      <w:tr>
        <w:trPr>
          <w:trHeight w:val="377"/>
        </w:trPr>
        <w:tc>
          <w:tcPr>
            <w:tcW w:w="660" w:type="dxa"/>
            <w:vAlign w:val="bottom"/>
          </w:tcPr>
          <w:p>
            <w:pPr>
              <w:spacing w:after="0"/>
              <w:rPr>
                <w:sz w:val="20"/>
                <w:szCs w:val="20"/>
                <w:color w:val="auto"/>
              </w:rPr>
            </w:pPr>
            <w:r>
              <w:rPr>
                <w:rFonts w:ascii="Arial" w:cs="Arial" w:eastAsia="Arial" w:hAnsi="Arial"/>
                <w:sz w:val="18"/>
                <w:szCs w:val="18"/>
                <w:color w:val="auto"/>
              </w:rPr>
              <w:t>10.92</w:t>
            </w:r>
          </w:p>
        </w:tc>
        <w:tc>
          <w:tcPr>
            <w:tcW w:w="5320" w:type="dxa"/>
            <w:vAlign w:val="bottom"/>
          </w:tcPr>
          <w:p>
            <w:pPr>
              <w:ind w:left="260"/>
              <w:spacing w:after="0"/>
              <w:rPr>
                <w:sz w:val="20"/>
                <w:szCs w:val="20"/>
                <w:color w:val="auto"/>
              </w:rPr>
            </w:pPr>
            <w:r>
              <w:rPr>
                <w:rFonts w:ascii="Arial" w:cs="Arial" w:eastAsia="Arial" w:hAnsi="Arial"/>
                <w:sz w:val="18"/>
                <w:szCs w:val="18"/>
                <w:color w:val="auto"/>
              </w:rPr>
              <w:t>Purchase and Sale Agreement by and among Nordstrom, Inc.,</w:t>
            </w:r>
          </w:p>
        </w:tc>
      </w:tr>
      <w:tr>
        <w:trPr>
          <w:trHeight w:val="216"/>
        </w:trPr>
        <w:tc>
          <w:tcPr>
            <w:tcW w:w="660" w:type="dxa"/>
            <w:vAlign w:val="bottom"/>
          </w:tcPr>
          <w:p>
            <w:pPr>
              <w:spacing w:after="0"/>
              <w:rPr>
                <w:sz w:val="18"/>
                <w:szCs w:val="18"/>
                <w:color w:val="auto"/>
              </w:rPr>
            </w:pPr>
          </w:p>
        </w:tc>
        <w:tc>
          <w:tcPr>
            <w:tcW w:w="5320" w:type="dxa"/>
            <w:vAlign w:val="bottom"/>
          </w:tcPr>
          <w:p>
            <w:pPr>
              <w:ind w:left="260"/>
              <w:spacing w:after="0"/>
              <w:rPr>
                <w:sz w:val="20"/>
                <w:szCs w:val="20"/>
                <w:color w:val="auto"/>
              </w:rPr>
            </w:pPr>
            <w:r>
              <w:rPr>
                <w:rFonts w:ascii="Arial" w:cs="Arial" w:eastAsia="Arial" w:hAnsi="Arial"/>
                <w:sz w:val="18"/>
                <w:szCs w:val="18"/>
                <w:color w:val="auto"/>
                <w:w w:val="99"/>
              </w:rPr>
              <w:t>Nordstrom Credit, Inc., Nordstrom FSB and TD Bank USA, N.A.</w:t>
            </w:r>
          </w:p>
        </w:tc>
      </w:tr>
      <w:tr>
        <w:trPr>
          <w:trHeight w:val="230"/>
        </w:trPr>
        <w:tc>
          <w:tcPr>
            <w:tcW w:w="660" w:type="dxa"/>
            <w:vAlign w:val="bottom"/>
          </w:tcPr>
          <w:p>
            <w:pPr>
              <w:spacing w:after="0"/>
              <w:rPr>
                <w:sz w:val="20"/>
                <w:szCs w:val="20"/>
                <w:color w:val="auto"/>
              </w:rPr>
            </w:pPr>
          </w:p>
        </w:tc>
        <w:tc>
          <w:tcPr>
            <w:tcW w:w="5320" w:type="dxa"/>
            <w:vAlign w:val="bottom"/>
          </w:tcPr>
          <w:p>
            <w:pPr>
              <w:ind w:left="260"/>
              <w:spacing w:after="0"/>
              <w:rPr>
                <w:sz w:val="20"/>
                <w:szCs w:val="20"/>
                <w:color w:val="auto"/>
              </w:rPr>
            </w:pPr>
            <w:r>
              <w:rPr>
                <w:rFonts w:ascii="Arial" w:cs="Arial" w:eastAsia="Arial" w:hAnsi="Arial"/>
                <w:sz w:val="18"/>
                <w:szCs w:val="18"/>
                <w:color w:val="auto"/>
              </w:rPr>
              <w:t>dated May 25, 2015</w:t>
            </w:r>
          </w:p>
        </w:tc>
      </w:tr>
      <w:tr>
        <w:trPr>
          <w:trHeight w:val="377"/>
        </w:trPr>
        <w:tc>
          <w:tcPr>
            <w:tcW w:w="660" w:type="dxa"/>
            <w:vAlign w:val="bottom"/>
          </w:tcPr>
          <w:p>
            <w:pPr>
              <w:spacing w:after="0"/>
              <w:rPr>
                <w:sz w:val="20"/>
                <w:szCs w:val="20"/>
                <w:color w:val="auto"/>
              </w:rPr>
            </w:pPr>
            <w:r>
              <w:rPr>
                <w:rFonts w:ascii="Arial" w:cs="Arial" w:eastAsia="Arial" w:hAnsi="Arial"/>
                <w:sz w:val="18"/>
                <w:szCs w:val="18"/>
                <w:color w:val="auto"/>
              </w:rPr>
              <w:t>10.93</w:t>
            </w:r>
          </w:p>
        </w:tc>
        <w:tc>
          <w:tcPr>
            <w:tcW w:w="5320" w:type="dxa"/>
            <w:vAlign w:val="bottom"/>
          </w:tcPr>
          <w:p>
            <w:pPr>
              <w:ind w:left="260"/>
              <w:spacing w:after="0"/>
              <w:rPr>
                <w:sz w:val="20"/>
                <w:szCs w:val="20"/>
                <w:color w:val="auto"/>
              </w:rPr>
            </w:pPr>
            <w:r>
              <w:rPr>
                <w:rFonts w:ascii="Arial" w:cs="Arial" w:eastAsia="Arial" w:hAnsi="Arial"/>
                <w:sz w:val="18"/>
                <w:szCs w:val="18"/>
                <w:color w:val="auto"/>
                <w:w w:val="98"/>
              </w:rPr>
              <w:t>Credit Card Program Agreement by and among Nordstrom, Inc.,</w:t>
            </w:r>
          </w:p>
        </w:tc>
      </w:tr>
      <w:tr>
        <w:trPr>
          <w:trHeight w:val="230"/>
        </w:trPr>
        <w:tc>
          <w:tcPr>
            <w:tcW w:w="660" w:type="dxa"/>
            <w:vAlign w:val="bottom"/>
          </w:tcPr>
          <w:p>
            <w:pPr>
              <w:spacing w:after="0"/>
              <w:rPr>
                <w:sz w:val="20"/>
                <w:szCs w:val="20"/>
                <w:color w:val="auto"/>
              </w:rPr>
            </w:pPr>
          </w:p>
        </w:tc>
        <w:tc>
          <w:tcPr>
            <w:tcW w:w="5320" w:type="dxa"/>
            <w:vAlign w:val="bottom"/>
          </w:tcPr>
          <w:p>
            <w:pPr>
              <w:ind w:left="260"/>
              <w:spacing w:after="0"/>
              <w:rPr>
                <w:sz w:val="20"/>
                <w:szCs w:val="20"/>
                <w:color w:val="auto"/>
              </w:rPr>
            </w:pPr>
            <w:r>
              <w:rPr>
                <w:rFonts w:ascii="Arial" w:cs="Arial" w:eastAsia="Arial" w:hAnsi="Arial"/>
                <w:sz w:val="18"/>
                <w:szCs w:val="18"/>
                <w:color w:val="auto"/>
              </w:rPr>
              <w:t>Nordstrom FSB and TD Bank USA, N.A. dated May 25, 2015</w:t>
            </w:r>
          </w:p>
        </w:tc>
      </w:tr>
      <w:tr>
        <w:trPr>
          <w:trHeight w:val="392"/>
        </w:trPr>
        <w:tc>
          <w:tcPr>
            <w:tcW w:w="660" w:type="dxa"/>
            <w:vAlign w:val="bottom"/>
          </w:tcPr>
          <w:p>
            <w:pPr>
              <w:spacing w:after="0"/>
              <w:rPr>
                <w:sz w:val="20"/>
                <w:szCs w:val="20"/>
                <w:color w:val="auto"/>
              </w:rPr>
            </w:pPr>
            <w:r>
              <w:rPr>
                <w:rFonts w:ascii="Arial" w:cs="Arial" w:eastAsia="Arial" w:hAnsi="Arial"/>
                <w:sz w:val="18"/>
                <w:szCs w:val="18"/>
                <w:color w:val="auto"/>
              </w:rPr>
              <w:t>21.1</w:t>
            </w:r>
          </w:p>
        </w:tc>
        <w:tc>
          <w:tcPr>
            <w:tcW w:w="5320" w:type="dxa"/>
            <w:vAlign w:val="bottom"/>
          </w:tcPr>
          <w:p>
            <w:pPr>
              <w:ind w:left="260"/>
              <w:spacing w:after="0"/>
              <w:rPr>
                <w:sz w:val="20"/>
                <w:szCs w:val="20"/>
                <w:color w:val="auto"/>
              </w:rPr>
            </w:pPr>
            <w:r>
              <w:rPr>
                <w:rFonts w:ascii="Arial" w:cs="Arial" w:eastAsia="Arial" w:hAnsi="Arial"/>
                <w:sz w:val="18"/>
                <w:szCs w:val="18"/>
                <w:color w:val="auto"/>
              </w:rPr>
              <w:t>Significant subsidiaries of the Registrant</w:t>
            </w:r>
          </w:p>
        </w:tc>
      </w:tr>
      <w:tr>
        <w:trPr>
          <w:trHeight w:val="392"/>
        </w:trPr>
        <w:tc>
          <w:tcPr>
            <w:tcW w:w="660" w:type="dxa"/>
            <w:vAlign w:val="bottom"/>
          </w:tcPr>
          <w:p>
            <w:pPr>
              <w:spacing w:after="0"/>
              <w:rPr>
                <w:sz w:val="20"/>
                <w:szCs w:val="20"/>
                <w:color w:val="auto"/>
              </w:rPr>
            </w:pPr>
            <w:r>
              <w:rPr>
                <w:rFonts w:ascii="Arial" w:cs="Arial" w:eastAsia="Arial" w:hAnsi="Arial"/>
                <w:sz w:val="18"/>
                <w:szCs w:val="18"/>
                <w:color w:val="auto"/>
              </w:rPr>
              <w:t>23.1</w:t>
            </w:r>
          </w:p>
        </w:tc>
        <w:tc>
          <w:tcPr>
            <w:tcW w:w="5320" w:type="dxa"/>
            <w:vAlign w:val="bottom"/>
          </w:tcPr>
          <w:p>
            <w:pPr>
              <w:ind w:left="260"/>
              <w:spacing w:after="0"/>
              <w:rPr>
                <w:sz w:val="20"/>
                <w:szCs w:val="20"/>
                <w:color w:val="auto"/>
              </w:rPr>
            </w:pPr>
            <w:r>
              <w:rPr>
                <w:rFonts w:ascii="Arial" w:cs="Arial" w:eastAsia="Arial" w:hAnsi="Arial"/>
                <w:sz w:val="18"/>
                <w:szCs w:val="18"/>
                <w:color w:val="auto"/>
              </w:rPr>
              <w:t>Consent of Independent Registered Public Accounting Firm</w:t>
            </w:r>
          </w:p>
        </w:tc>
      </w:tr>
      <w:tr>
        <w:trPr>
          <w:trHeight w:val="377"/>
        </w:trPr>
        <w:tc>
          <w:tcPr>
            <w:tcW w:w="660" w:type="dxa"/>
            <w:vAlign w:val="bottom"/>
          </w:tcPr>
          <w:p>
            <w:pPr>
              <w:spacing w:after="0"/>
              <w:rPr>
                <w:sz w:val="20"/>
                <w:szCs w:val="20"/>
                <w:color w:val="auto"/>
              </w:rPr>
            </w:pPr>
            <w:r>
              <w:rPr>
                <w:rFonts w:ascii="Arial" w:cs="Arial" w:eastAsia="Arial" w:hAnsi="Arial"/>
                <w:sz w:val="18"/>
                <w:szCs w:val="18"/>
                <w:color w:val="auto"/>
              </w:rPr>
              <w:t>31.1</w:t>
            </w:r>
          </w:p>
        </w:tc>
        <w:tc>
          <w:tcPr>
            <w:tcW w:w="5320" w:type="dxa"/>
            <w:vAlign w:val="bottom"/>
          </w:tcPr>
          <w:p>
            <w:pPr>
              <w:ind w:left="260"/>
              <w:spacing w:after="0"/>
              <w:rPr>
                <w:sz w:val="20"/>
                <w:szCs w:val="20"/>
                <w:color w:val="auto"/>
              </w:rPr>
            </w:pPr>
            <w:r>
              <w:rPr>
                <w:rFonts w:ascii="Arial" w:cs="Arial" w:eastAsia="Arial" w:hAnsi="Arial"/>
                <w:sz w:val="18"/>
                <w:szCs w:val="18"/>
                <w:color w:val="auto"/>
              </w:rPr>
              <w:t>Certification of Co-President required by Section 302(a) of the</w:t>
            </w:r>
          </w:p>
        </w:tc>
      </w:tr>
      <w:tr>
        <w:trPr>
          <w:trHeight w:val="230"/>
        </w:trPr>
        <w:tc>
          <w:tcPr>
            <w:tcW w:w="660" w:type="dxa"/>
            <w:vAlign w:val="bottom"/>
          </w:tcPr>
          <w:p>
            <w:pPr>
              <w:spacing w:after="0"/>
              <w:rPr>
                <w:sz w:val="20"/>
                <w:szCs w:val="20"/>
                <w:color w:val="auto"/>
              </w:rPr>
            </w:pPr>
          </w:p>
        </w:tc>
        <w:tc>
          <w:tcPr>
            <w:tcW w:w="5320" w:type="dxa"/>
            <w:vAlign w:val="bottom"/>
          </w:tcPr>
          <w:p>
            <w:pPr>
              <w:ind w:left="260"/>
              <w:spacing w:after="0"/>
              <w:rPr>
                <w:sz w:val="20"/>
                <w:szCs w:val="20"/>
                <w:color w:val="auto"/>
              </w:rPr>
            </w:pPr>
            <w:r>
              <w:rPr>
                <w:rFonts w:ascii="Arial" w:cs="Arial" w:eastAsia="Arial" w:hAnsi="Arial"/>
                <w:sz w:val="18"/>
                <w:szCs w:val="18"/>
                <w:color w:val="auto"/>
              </w:rPr>
              <w:t>Sarbanes-Oxley Act of 2002</w:t>
            </w:r>
          </w:p>
        </w:tc>
      </w:tr>
      <w:tr>
        <w:trPr>
          <w:trHeight w:val="377"/>
        </w:trPr>
        <w:tc>
          <w:tcPr>
            <w:tcW w:w="660" w:type="dxa"/>
            <w:vAlign w:val="bottom"/>
          </w:tcPr>
          <w:p>
            <w:pPr>
              <w:spacing w:after="0"/>
              <w:rPr>
                <w:sz w:val="20"/>
                <w:szCs w:val="20"/>
                <w:color w:val="auto"/>
              </w:rPr>
            </w:pPr>
            <w:r>
              <w:rPr>
                <w:rFonts w:ascii="Arial" w:cs="Arial" w:eastAsia="Arial" w:hAnsi="Arial"/>
                <w:sz w:val="18"/>
                <w:szCs w:val="18"/>
                <w:color w:val="auto"/>
              </w:rPr>
              <w:t>31.2</w:t>
            </w:r>
          </w:p>
        </w:tc>
        <w:tc>
          <w:tcPr>
            <w:tcW w:w="5320" w:type="dxa"/>
            <w:vAlign w:val="bottom"/>
          </w:tcPr>
          <w:p>
            <w:pPr>
              <w:ind w:left="260"/>
              <w:spacing w:after="0"/>
              <w:rPr>
                <w:sz w:val="20"/>
                <w:szCs w:val="20"/>
                <w:color w:val="auto"/>
              </w:rPr>
            </w:pPr>
            <w:r>
              <w:rPr>
                <w:rFonts w:ascii="Arial" w:cs="Arial" w:eastAsia="Arial" w:hAnsi="Arial"/>
                <w:sz w:val="18"/>
                <w:szCs w:val="18"/>
                <w:color w:val="auto"/>
              </w:rPr>
              <w:t>Certification of Chief Financial Officer required by Section</w:t>
            </w:r>
          </w:p>
        </w:tc>
      </w:tr>
      <w:tr>
        <w:trPr>
          <w:trHeight w:val="230"/>
        </w:trPr>
        <w:tc>
          <w:tcPr>
            <w:tcW w:w="660" w:type="dxa"/>
            <w:vAlign w:val="bottom"/>
          </w:tcPr>
          <w:p>
            <w:pPr>
              <w:spacing w:after="0"/>
              <w:rPr>
                <w:sz w:val="20"/>
                <w:szCs w:val="20"/>
                <w:color w:val="auto"/>
              </w:rPr>
            </w:pPr>
          </w:p>
        </w:tc>
        <w:tc>
          <w:tcPr>
            <w:tcW w:w="5320" w:type="dxa"/>
            <w:vAlign w:val="bottom"/>
          </w:tcPr>
          <w:p>
            <w:pPr>
              <w:ind w:left="260"/>
              <w:spacing w:after="0"/>
              <w:rPr>
                <w:sz w:val="20"/>
                <w:szCs w:val="20"/>
                <w:color w:val="auto"/>
              </w:rPr>
            </w:pPr>
            <w:r>
              <w:rPr>
                <w:rFonts w:ascii="Arial" w:cs="Arial" w:eastAsia="Arial" w:hAnsi="Arial"/>
                <w:sz w:val="18"/>
                <w:szCs w:val="18"/>
                <w:color w:val="auto"/>
              </w:rPr>
              <w:t>302(a) of the Sarbanes-Oxley Act of 2002</w:t>
            </w:r>
          </w:p>
        </w:tc>
      </w:tr>
      <w:tr>
        <w:trPr>
          <w:trHeight w:val="377"/>
        </w:trPr>
        <w:tc>
          <w:tcPr>
            <w:tcW w:w="660" w:type="dxa"/>
            <w:vAlign w:val="bottom"/>
          </w:tcPr>
          <w:p>
            <w:pPr>
              <w:spacing w:after="0"/>
              <w:rPr>
                <w:sz w:val="20"/>
                <w:szCs w:val="20"/>
                <w:color w:val="auto"/>
              </w:rPr>
            </w:pPr>
            <w:r>
              <w:rPr>
                <w:rFonts w:ascii="Arial" w:cs="Arial" w:eastAsia="Arial" w:hAnsi="Arial"/>
                <w:sz w:val="18"/>
                <w:szCs w:val="18"/>
                <w:color w:val="auto"/>
              </w:rPr>
              <w:t>32.1</w:t>
            </w:r>
          </w:p>
        </w:tc>
        <w:tc>
          <w:tcPr>
            <w:tcW w:w="5320" w:type="dxa"/>
            <w:vAlign w:val="bottom"/>
          </w:tcPr>
          <w:p>
            <w:pPr>
              <w:ind w:left="260"/>
              <w:spacing w:after="0"/>
              <w:rPr>
                <w:sz w:val="20"/>
                <w:szCs w:val="20"/>
                <w:color w:val="auto"/>
              </w:rPr>
            </w:pPr>
            <w:r>
              <w:rPr>
                <w:rFonts w:ascii="Arial" w:cs="Arial" w:eastAsia="Arial" w:hAnsi="Arial"/>
                <w:sz w:val="18"/>
                <w:szCs w:val="18"/>
                <w:color w:val="auto"/>
                <w:w w:val="93"/>
              </w:rPr>
              <w:t>Certification of Co-President and Chief Financial Officer pursuant to</w:t>
            </w:r>
          </w:p>
        </w:tc>
      </w:tr>
      <w:tr>
        <w:trPr>
          <w:trHeight w:val="216"/>
        </w:trPr>
        <w:tc>
          <w:tcPr>
            <w:tcW w:w="660" w:type="dxa"/>
            <w:vAlign w:val="bottom"/>
          </w:tcPr>
          <w:p>
            <w:pPr>
              <w:spacing w:after="0"/>
              <w:rPr>
                <w:sz w:val="18"/>
                <w:szCs w:val="18"/>
                <w:color w:val="auto"/>
              </w:rPr>
            </w:pPr>
          </w:p>
        </w:tc>
        <w:tc>
          <w:tcPr>
            <w:tcW w:w="5320" w:type="dxa"/>
            <w:vAlign w:val="bottom"/>
          </w:tcPr>
          <w:p>
            <w:pPr>
              <w:ind w:left="260"/>
              <w:spacing w:after="0"/>
              <w:rPr>
                <w:sz w:val="20"/>
                <w:szCs w:val="20"/>
                <w:color w:val="auto"/>
              </w:rPr>
            </w:pPr>
            <w:r>
              <w:rPr>
                <w:rFonts w:ascii="Arial" w:cs="Arial" w:eastAsia="Arial" w:hAnsi="Arial"/>
                <w:sz w:val="18"/>
                <w:szCs w:val="18"/>
                <w:color w:val="auto"/>
                <w:w w:val="90"/>
              </w:rPr>
              <w:t>18 U.S.C. 1350, as adopted pursuant to Section 906 of the Sarbanes-</w:t>
            </w:r>
          </w:p>
        </w:tc>
      </w:tr>
      <w:tr>
        <w:trPr>
          <w:trHeight w:val="230"/>
        </w:trPr>
        <w:tc>
          <w:tcPr>
            <w:tcW w:w="660" w:type="dxa"/>
            <w:vAlign w:val="bottom"/>
          </w:tcPr>
          <w:p>
            <w:pPr>
              <w:spacing w:after="0"/>
              <w:rPr>
                <w:sz w:val="20"/>
                <w:szCs w:val="20"/>
                <w:color w:val="auto"/>
              </w:rPr>
            </w:pPr>
          </w:p>
        </w:tc>
        <w:tc>
          <w:tcPr>
            <w:tcW w:w="5320" w:type="dxa"/>
            <w:vAlign w:val="bottom"/>
          </w:tcPr>
          <w:p>
            <w:pPr>
              <w:ind w:left="260"/>
              <w:spacing w:after="0"/>
              <w:rPr>
                <w:sz w:val="20"/>
                <w:szCs w:val="20"/>
                <w:color w:val="auto"/>
              </w:rPr>
            </w:pPr>
            <w:r>
              <w:rPr>
                <w:rFonts w:ascii="Arial" w:cs="Arial" w:eastAsia="Arial" w:hAnsi="Arial"/>
                <w:sz w:val="18"/>
                <w:szCs w:val="18"/>
                <w:color w:val="auto"/>
              </w:rPr>
              <w:t>Oxley Act of 2002</w:t>
            </w:r>
          </w:p>
        </w:tc>
      </w:tr>
    </w:tbl>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Incorporated by reference from the Registrant’s Form 8-K filed on October 2, 2015, Exhibit 99.1</w:t>
      </w:r>
    </w:p>
    <w:p>
      <w:pPr>
        <w:spacing w:after="0" w:line="13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Incorporated by reference from the Registrant’s Form 8-K filed on February 21, 2017, Exhibit 99.2</w:t>
      </w:r>
    </w:p>
    <w:p>
      <w:pPr>
        <w:spacing w:after="0" w:line="34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Incorporated by reference from the Registrant’s Form 8-K filed on May 16, 2013, Exhibit 99.2</w:t>
      </w:r>
    </w:p>
    <w:p>
      <w:pPr>
        <w:spacing w:after="0" w:line="346"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Incorporated by reference from the Registrant’s Quarterly Report on Form 10-Q for the quarter ended May 4, 2013, Exhibit 99.2</w:t>
      </w:r>
    </w:p>
    <w:p>
      <w:pPr>
        <w:spacing w:after="0" w:line="322"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Incorporated by reference from the Registrant’s Form 8-K filed on December 4, 2013, Exhibit 99.1</w:t>
      </w:r>
    </w:p>
    <w:p>
      <w:pPr>
        <w:spacing w:after="0" w:line="13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Incorporated by reference from the Registrant’s Form 8-K filed on December 4, 2013, Exhibit 99.2</w:t>
      </w:r>
    </w:p>
    <w:p>
      <w:pPr>
        <w:spacing w:after="0" w:line="13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Incorporated by reference from the Registrant’s Form 8-K filed on December 12, 2013, Exhibit 99.1</w:t>
      </w:r>
    </w:p>
    <w:p>
      <w:pPr>
        <w:spacing w:after="0" w:line="13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Incorporated by reference from the Registrant’s Form 8-K filed on December 17, 2013, Exhibit 99.1</w:t>
      </w:r>
    </w:p>
    <w:p>
      <w:pPr>
        <w:spacing w:after="0" w:line="13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Incorporated by reference from the Registrant’s Form 8-K filed on January 2, 2014, Exhibit 99.1</w:t>
      </w:r>
    </w:p>
    <w:p>
      <w:pPr>
        <w:spacing w:after="0" w:line="130"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Incorporated by reference from the Registrant’s Quarterly Report on Form 10-Q for the quarter ended August 1, 2015, Exhibit 10.1</w:t>
      </w:r>
    </w:p>
    <w:p>
      <w:pPr>
        <w:spacing w:after="0" w:line="322"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Incorporated by reference from the Registrant’s Quarterly Report on Form 10-Q for the quarter ended October 31, 2015, Exhibit 10.1</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Filed herewith electronically</w:t>
      </w:r>
    </w:p>
    <w:p>
      <w:pPr>
        <w:spacing w:after="0" w:line="185"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Filed as page </w:t>
      </w:r>
      <w:hyperlink w:anchor="page70">
        <w:r>
          <w:rPr>
            <w:rFonts w:ascii="Arial" w:cs="Arial" w:eastAsia="Arial" w:hAnsi="Arial"/>
            <w:sz w:val="18"/>
            <w:szCs w:val="18"/>
            <w:color w:val="auto"/>
          </w:rPr>
          <w:t xml:space="preserve">69 </w:t>
        </w:r>
      </w:hyperlink>
      <w:r>
        <w:rPr>
          <w:rFonts w:ascii="Arial" w:cs="Arial" w:eastAsia="Arial" w:hAnsi="Arial"/>
          <w:sz w:val="18"/>
          <w:szCs w:val="18"/>
          <w:color w:val="auto"/>
        </w:rPr>
        <w:t>of this report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Filed herewith electronically</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Filed herewith electronically</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Furnished herewith electronically</w:t>
      </w:r>
    </w:p>
    <w:p>
      <w:pPr>
        <w:spacing w:after="0" w:line="616" w:lineRule="exact"/>
        <w:rPr>
          <w:sz w:val="20"/>
          <w:szCs w:val="20"/>
          <w:color w:val="auto"/>
        </w:rPr>
      </w:pPr>
    </w:p>
    <w:p>
      <w:pPr>
        <w:sectPr>
          <w:pgSz w:w="11900" w:h="16838" w:orient="portrait"/>
          <w:cols w:equalWidth="0" w:num="2">
            <w:col w:w="6020" w:space="180"/>
            <w:col w:w="5220"/>
          </w:cols>
          <w:pgMar w:left="240" w:top="126" w:right="239" w:bottom="1440"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840" w:type="dxa"/>
            <w:vAlign w:val="bottom"/>
          </w:tcPr>
          <w:p>
            <w:pPr>
              <w:ind w:left="40"/>
              <w:spacing w:after="0"/>
              <w:rPr>
                <w:sz w:val="20"/>
                <w:szCs w:val="20"/>
                <w:color w:val="auto"/>
              </w:rPr>
            </w:pPr>
            <w:r>
              <w:rPr>
                <w:rFonts w:ascii="Arial" w:cs="Arial" w:eastAsia="Arial" w:hAnsi="Arial"/>
                <w:sz w:val="18"/>
                <w:szCs w:val="18"/>
                <w:color w:val="auto"/>
              </w:rPr>
              <w:t>101.INS</w:t>
            </w:r>
          </w:p>
        </w:tc>
        <w:tc>
          <w:tcPr>
            <w:tcW w:w="4980" w:type="dxa"/>
            <w:vAlign w:val="bottom"/>
          </w:tcPr>
          <w:p>
            <w:pPr>
              <w:ind w:left="120"/>
              <w:spacing w:after="0"/>
              <w:rPr>
                <w:sz w:val="20"/>
                <w:szCs w:val="20"/>
                <w:color w:val="auto"/>
              </w:rPr>
            </w:pPr>
            <w:r>
              <w:rPr>
                <w:rFonts w:ascii="Arial" w:cs="Arial" w:eastAsia="Arial" w:hAnsi="Arial"/>
                <w:sz w:val="18"/>
                <w:szCs w:val="18"/>
                <w:color w:val="auto"/>
              </w:rPr>
              <w:t>XBRL Instance Document</w:t>
            </w:r>
          </w:p>
        </w:tc>
        <w:tc>
          <w:tcPr>
            <w:tcW w:w="5600" w:type="dxa"/>
            <w:vAlign w:val="bottom"/>
          </w:tcPr>
          <w:p>
            <w:pPr>
              <w:ind w:left="380"/>
              <w:spacing w:after="0"/>
              <w:rPr>
                <w:sz w:val="20"/>
                <w:szCs w:val="20"/>
                <w:color w:val="auto"/>
              </w:rPr>
            </w:pPr>
            <w:r>
              <w:rPr>
                <w:rFonts w:ascii="Arial" w:cs="Arial" w:eastAsia="Arial" w:hAnsi="Arial"/>
                <w:sz w:val="18"/>
                <w:szCs w:val="18"/>
                <w:color w:val="auto"/>
              </w:rPr>
              <w:t>Filed herewith electronically</w:t>
            </w:r>
          </w:p>
        </w:tc>
      </w:tr>
      <w:tr>
        <w:trPr>
          <w:trHeight w:val="392"/>
        </w:trPr>
        <w:tc>
          <w:tcPr>
            <w:tcW w:w="840" w:type="dxa"/>
            <w:vAlign w:val="bottom"/>
          </w:tcPr>
          <w:p>
            <w:pPr>
              <w:ind w:left="40"/>
              <w:spacing w:after="0"/>
              <w:rPr>
                <w:sz w:val="20"/>
                <w:szCs w:val="20"/>
                <w:color w:val="auto"/>
              </w:rPr>
            </w:pPr>
            <w:r>
              <w:rPr>
                <w:rFonts w:ascii="Arial" w:cs="Arial" w:eastAsia="Arial" w:hAnsi="Arial"/>
                <w:sz w:val="18"/>
                <w:szCs w:val="18"/>
                <w:color w:val="auto"/>
              </w:rPr>
              <w:t>101.SCH</w:t>
            </w:r>
          </w:p>
        </w:tc>
        <w:tc>
          <w:tcPr>
            <w:tcW w:w="4980" w:type="dxa"/>
            <w:vAlign w:val="bottom"/>
          </w:tcPr>
          <w:p>
            <w:pPr>
              <w:ind w:left="120"/>
              <w:spacing w:after="0"/>
              <w:rPr>
                <w:sz w:val="20"/>
                <w:szCs w:val="20"/>
                <w:color w:val="auto"/>
              </w:rPr>
            </w:pPr>
            <w:r>
              <w:rPr>
                <w:rFonts w:ascii="Arial" w:cs="Arial" w:eastAsia="Arial" w:hAnsi="Arial"/>
                <w:sz w:val="18"/>
                <w:szCs w:val="18"/>
                <w:color w:val="auto"/>
              </w:rPr>
              <w:t>XBRL Taxonomy Extension Schema Document</w:t>
            </w:r>
          </w:p>
        </w:tc>
        <w:tc>
          <w:tcPr>
            <w:tcW w:w="5600" w:type="dxa"/>
            <w:vAlign w:val="bottom"/>
          </w:tcPr>
          <w:p>
            <w:pPr>
              <w:ind w:left="380"/>
              <w:spacing w:after="0"/>
              <w:rPr>
                <w:sz w:val="20"/>
                <w:szCs w:val="20"/>
                <w:color w:val="auto"/>
              </w:rPr>
            </w:pPr>
            <w:r>
              <w:rPr>
                <w:rFonts w:ascii="Arial" w:cs="Arial" w:eastAsia="Arial" w:hAnsi="Arial"/>
                <w:sz w:val="18"/>
                <w:szCs w:val="18"/>
                <w:color w:val="auto"/>
              </w:rPr>
              <w:t>Filed herewith electronically</w:t>
            </w:r>
          </w:p>
        </w:tc>
      </w:tr>
      <w:tr>
        <w:trPr>
          <w:trHeight w:val="392"/>
        </w:trPr>
        <w:tc>
          <w:tcPr>
            <w:tcW w:w="840" w:type="dxa"/>
            <w:vAlign w:val="bottom"/>
          </w:tcPr>
          <w:p>
            <w:pPr>
              <w:ind w:left="40"/>
              <w:spacing w:after="0"/>
              <w:rPr>
                <w:sz w:val="20"/>
                <w:szCs w:val="20"/>
                <w:color w:val="auto"/>
              </w:rPr>
            </w:pPr>
            <w:r>
              <w:rPr>
                <w:rFonts w:ascii="Arial" w:cs="Arial" w:eastAsia="Arial" w:hAnsi="Arial"/>
                <w:sz w:val="18"/>
                <w:szCs w:val="18"/>
                <w:color w:val="auto"/>
              </w:rPr>
              <w:t>101.CAL</w:t>
            </w:r>
          </w:p>
        </w:tc>
        <w:tc>
          <w:tcPr>
            <w:tcW w:w="4980" w:type="dxa"/>
            <w:vAlign w:val="bottom"/>
          </w:tcPr>
          <w:p>
            <w:pPr>
              <w:ind w:left="120"/>
              <w:spacing w:after="0"/>
              <w:rPr>
                <w:sz w:val="20"/>
                <w:szCs w:val="20"/>
                <w:color w:val="auto"/>
              </w:rPr>
            </w:pPr>
            <w:r>
              <w:rPr>
                <w:rFonts w:ascii="Arial" w:cs="Arial" w:eastAsia="Arial" w:hAnsi="Arial"/>
                <w:sz w:val="18"/>
                <w:szCs w:val="18"/>
                <w:color w:val="auto"/>
              </w:rPr>
              <w:t>XBRL Taxonomy Extension Calculation Linkbase Document</w:t>
            </w:r>
          </w:p>
        </w:tc>
        <w:tc>
          <w:tcPr>
            <w:tcW w:w="5600" w:type="dxa"/>
            <w:vAlign w:val="bottom"/>
          </w:tcPr>
          <w:p>
            <w:pPr>
              <w:ind w:left="380"/>
              <w:spacing w:after="0"/>
              <w:rPr>
                <w:sz w:val="20"/>
                <w:szCs w:val="20"/>
                <w:color w:val="auto"/>
              </w:rPr>
            </w:pPr>
            <w:r>
              <w:rPr>
                <w:rFonts w:ascii="Arial" w:cs="Arial" w:eastAsia="Arial" w:hAnsi="Arial"/>
                <w:sz w:val="18"/>
                <w:szCs w:val="18"/>
                <w:color w:val="auto"/>
              </w:rPr>
              <w:t>Filed herewith electronically</w:t>
            </w:r>
          </w:p>
        </w:tc>
      </w:tr>
      <w:tr>
        <w:trPr>
          <w:trHeight w:val="392"/>
        </w:trPr>
        <w:tc>
          <w:tcPr>
            <w:tcW w:w="840" w:type="dxa"/>
            <w:vAlign w:val="bottom"/>
          </w:tcPr>
          <w:p>
            <w:pPr>
              <w:ind w:left="40"/>
              <w:spacing w:after="0"/>
              <w:rPr>
                <w:sz w:val="20"/>
                <w:szCs w:val="20"/>
                <w:color w:val="auto"/>
              </w:rPr>
            </w:pPr>
            <w:r>
              <w:rPr>
                <w:rFonts w:ascii="Arial" w:cs="Arial" w:eastAsia="Arial" w:hAnsi="Arial"/>
                <w:sz w:val="18"/>
                <w:szCs w:val="18"/>
                <w:color w:val="auto"/>
              </w:rPr>
              <w:t>101.LAB</w:t>
            </w:r>
          </w:p>
        </w:tc>
        <w:tc>
          <w:tcPr>
            <w:tcW w:w="4980" w:type="dxa"/>
            <w:vAlign w:val="bottom"/>
          </w:tcPr>
          <w:p>
            <w:pPr>
              <w:ind w:left="120"/>
              <w:spacing w:after="0"/>
              <w:rPr>
                <w:sz w:val="20"/>
                <w:szCs w:val="20"/>
                <w:color w:val="auto"/>
              </w:rPr>
            </w:pPr>
            <w:r>
              <w:rPr>
                <w:rFonts w:ascii="Arial" w:cs="Arial" w:eastAsia="Arial" w:hAnsi="Arial"/>
                <w:sz w:val="18"/>
                <w:szCs w:val="18"/>
                <w:color w:val="auto"/>
              </w:rPr>
              <w:t>XBRL Taxonomy Extension Labels Linkbase Document</w:t>
            </w:r>
          </w:p>
        </w:tc>
        <w:tc>
          <w:tcPr>
            <w:tcW w:w="5600" w:type="dxa"/>
            <w:vAlign w:val="bottom"/>
          </w:tcPr>
          <w:p>
            <w:pPr>
              <w:ind w:left="380"/>
              <w:spacing w:after="0"/>
              <w:rPr>
                <w:sz w:val="20"/>
                <w:szCs w:val="20"/>
                <w:color w:val="auto"/>
              </w:rPr>
            </w:pPr>
            <w:r>
              <w:rPr>
                <w:rFonts w:ascii="Arial" w:cs="Arial" w:eastAsia="Arial" w:hAnsi="Arial"/>
                <w:sz w:val="18"/>
                <w:szCs w:val="18"/>
                <w:color w:val="auto"/>
              </w:rPr>
              <w:t>Filed herewith electronically</w:t>
            </w:r>
          </w:p>
        </w:tc>
      </w:tr>
      <w:tr>
        <w:trPr>
          <w:trHeight w:val="392"/>
        </w:trPr>
        <w:tc>
          <w:tcPr>
            <w:tcW w:w="840" w:type="dxa"/>
            <w:vAlign w:val="bottom"/>
          </w:tcPr>
          <w:p>
            <w:pPr>
              <w:ind w:left="40"/>
              <w:spacing w:after="0"/>
              <w:rPr>
                <w:sz w:val="20"/>
                <w:szCs w:val="20"/>
                <w:color w:val="auto"/>
              </w:rPr>
            </w:pPr>
            <w:r>
              <w:rPr>
                <w:rFonts w:ascii="Arial" w:cs="Arial" w:eastAsia="Arial" w:hAnsi="Arial"/>
                <w:sz w:val="18"/>
                <w:szCs w:val="18"/>
                <w:color w:val="auto"/>
              </w:rPr>
              <w:t>101.PRE</w:t>
            </w:r>
          </w:p>
        </w:tc>
        <w:tc>
          <w:tcPr>
            <w:tcW w:w="4980" w:type="dxa"/>
            <w:vAlign w:val="bottom"/>
          </w:tcPr>
          <w:p>
            <w:pPr>
              <w:ind w:left="120"/>
              <w:spacing w:after="0"/>
              <w:rPr>
                <w:sz w:val="20"/>
                <w:szCs w:val="20"/>
                <w:color w:val="auto"/>
              </w:rPr>
            </w:pPr>
            <w:r>
              <w:rPr>
                <w:rFonts w:ascii="Arial" w:cs="Arial" w:eastAsia="Arial" w:hAnsi="Arial"/>
                <w:sz w:val="18"/>
                <w:szCs w:val="18"/>
                <w:color w:val="auto"/>
                <w:w w:val="98"/>
              </w:rPr>
              <w:t>XBRL Taxonomy Extension Presentation Linkbase Document</w:t>
            </w:r>
          </w:p>
        </w:tc>
        <w:tc>
          <w:tcPr>
            <w:tcW w:w="5600" w:type="dxa"/>
            <w:vAlign w:val="bottom"/>
          </w:tcPr>
          <w:p>
            <w:pPr>
              <w:ind w:left="380"/>
              <w:spacing w:after="0"/>
              <w:rPr>
                <w:sz w:val="20"/>
                <w:szCs w:val="20"/>
                <w:color w:val="auto"/>
              </w:rPr>
            </w:pPr>
            <w:r>
              <w:rPr>
                <w:rFonts w:ascii="Arial" w:cs="Arial" w:eastAsia="Arial" w:hAnsi="Arial"/>
                <w:sz w:val="18"/>
                <w:szCs w:val="18"/>
                <w:color w:val="auto"/>
              </w:rPr>
              <w:t>Filed herewith electronically</w:t>
            </w:r>
          </w:p>
        </w:tc>
      </w:tr>
      <w:tr>
        <w:trPr>
          <w:trHeight w:val="392"/>
        </w:trPr>
        <w:tc>
          <w:tcPr>
            <w:tcW w:w="840" w:type="dxa"/>
            <w:vAlign w:val="bottom"/>
          </w:tcPr>
          <w:p>
            <w:pPr>
              <w:ind w:left="40"/>
              <w:spacing w:after="0"/>
              <w:rPr>
                <w:sz w:val="20"/>
                <w:szCs w:val="20"/>
                <w:color w:val="auto"/>
              </w:rPr>
            </w:pPr>
            <w:r>
              <w:rPr>
                <w:rFonts w:ascii="Arial" w:cs="Arial" w:eastAsia="Arial" w:hAnsi="Arial"/>
                <w:sz w:val="18"/>
                <w:szCs w:val="18"/>
                <w:color w:val="auto"/>
              </w:rPr>
              <w:t>101.DEF</w:t>
            </w:r>
          </w:p>
        </w:tc>
        <w:tc>
          <w:tcPr>
            <w:tcW w:w="4980" w:type="dxa"/>
            <w:vAlign w:val="bottom"/>
          </w:tcPr>
          <w:p>
            <w:pPr>
              <w:ind w:left="120"/>
              <w:spacing w:after="0"/>
              <w:rPr>
                <w:sz w:val="20"/>
                <w:szCs w:val="20"/>
                <w:color w:val="auto"/>
              </w:rPr>
            </w:pPr>
            <w:r>
              <w:rPr>
                <w:rFonts w:ascii="Arial" w:cs="Arial" w:eastAsia="Arial" w:hAnsi="Arial"/>
                <w:sz w:val="18"/>
                <w:szCs w:val="18"/>
                <w:color w:val="auto"/>
              </w:rPr>
              <w:t>XBRL Taxonomy Extension Definition Linkbase Document</w:t>
            </w:r>
          </w:p>
        </w:tc>
        <w:tc>
          <w:tcPr>
            <w:tcW w:w="5600" w:type="dxa"/>
            <w:vAlign w:val="bottom"/>
          </w:tcPr>
          <w:p>
            <w:pPr>
              <w:ind w:left="380"/>
              <w:spacing w:after="0"/>
              <w:rPr>
                <w:sz w:val="20"/>
                <w:szCs w:val="20"/>
                <w:color w:val="auto"/>
              </w:rPr>
            </w:pPr>
            <w:r>
              <w:rPr>
                <w:rFonts w:ascii="Arial" w:cs="Arial" w:eastAsia="Arial" w:hAnsi="Arial"/>
                <w:sz w:val="18"/>
                <w:szCs w:val="18"/>
                <w:color w:val="auto"/>
              </w:rPr>
              <w:t>Filed herewith electronically</w:t>
            </w:r>
          </w:p>
        </w:tc>
      </w:tr>
      <w:tr>
        <w:trPr>
          <w:trHeight w:val="27"/>
        </w:trPr>
        <w:tc>
          <w:tcPr>
            <w:tcW w:w="840" w:type="dxa"/>
            <w:vAlign w:val="bottom"/>
            <w:tcBorders>
              <w:bottom w:val="single" w:sz="8" w:color="auto"/>
            </w:tcBorders>
          </w:tcPr>
          <w:p>
            <w:pPr>
              <w:spacing w:after="0"/>
              <w:rPr>
                <w:sz w:val="2"/>
                <w:szCs w:val="2"/>
                <w:color w:val="auto"/>
              </w:rPr>
            </w:pPr>
          </w:p>
        </w:tc>
        <w:tc>
          <w:tcPr>
            <w:tcW w:w="4980" w:type="dxa"/>
            <w:vAlign w:val="bottom"/>
            <w:tcBorders>
              <w:bottom w:val="single" w:sz="8" w:color="auto"/>
            </w:tcBorders>
          </w:tcPr>
          <w:p>
            <w:pPr>
              <w:spacing w:after="0"/>
              <w:rPr>
                <w:sz w:val="2"/>
                <w:szCs w:val="2"/>
                <w:color w:val="auto"/>
              </w:rPr>
            </w:pPr>
          </w:p>
        </w:tc>
        <w:tc>
          <w:tcPr>
            <w:tcW w:w="56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26" w:right="239" w:bottom="1440" w:gutter="0" w:footer="0" w:header="0"/>
          <w:type w:val="continuous"/>
        </w:sectPr>
      </w:pPr>
    </w:p>
    <w:p>
      <w:pPr>
        <w:spacing w:after="0" w:line="200" w:lineRule="exact"/>
        <w:rPr>
          <w:sz w:val="20"/>
          <w:szCs w:val="20"/>
          <w:color w:val="auto"/>
        </w:rPr>
      </w:pPr>
    </w:p>
    <w:p>
      <w:pPr>
        <w:spacing w:after="0" w:line="225" w:lineRule="exact"/>
        <w:rPr>
          <w:sz w:val="20"/>
          <w:szCs w:val="20"/>
          <w:color w:val="auto"/>
        </w:rPr>
      </w:pPr>
    </w:p>
    <w:p>
      <w:pPr>
        <w:ind w:left="9580"/>
        <w:spacing w:after="0"/>
        <w:rPr>
          <w:sz w:val="20"/>
          <w:szCs w:val="20"/>
          <w:color w:val="auto"/>
        </w:rPr>
      </w:pPr>
      <w:r>
        <w:rPr>
          <w:rFonts w:ascii="Arial" w:cs="Arial" w:eastAsia="Arial" w:hAnsi="Arial"/>
          <w:sz w:val="11"/>
          <w:szCs w:val="11"/>
          <w:color w:val="auto"/>
        </w:rPr>
        <w:t xml:space="preserve">Nordstrom, Inc. and subsidiaries </w:t>
      </w:r>
      <w:r>
        <w:rPr>
          <w:rFonts w:ascii="Arial" w:cs="Arial" w:eastAsia="Arial" w:hAnsi="Arial"/>
          <w:sz w:val="14"/>
          <w:szCs w:val="14"/>
          <w:color w:val="auto"/>
        </w:rPr>
        <w:t>75</w:t>
      </w:r>
    </w:p>
    <w:p>
      <w:pPr>
        <w:sectPr>
          <w:pgSz w:w="11900" w:h="16838" w:orient="portrait"/>
          <w:cols w:equalWidth="0" w:num="1">
            <w:col w:w="11420"/>
          </w:cols>
          <w:pgMar w:left="240" w:top="126" w:right="239" w:bottom="1440" w:gutter="0" w:footer="0" w:header="0"/>
          <w:type w:val="continuous"/>
        </w:sectPr>
      </w:pPr>
    </w:p>
    <w:bookmarkStart w:id="76" w:name="page77"/>
    <w:bookmarkEnd w:id="76"/>
    <w:p>
      <w:pPr>
        <w:jc w:val="right"/>
        <w:spacing w:after="0"/>
        <w:rPr>
          <w:sz w:val="20"/>
          <w:szCs w:val="20"/>
          <w:color w:val="auto"/>
        </w:rPr>
      </w:pPr>
      <w:r>
        <w:rPr>
          <w:rFonts w:ascii="Arial" w:cs="Arial" w:eastAsia="Arial" w:hAnsi="Arial"/>
          <w:sz w:val="18"/>
          <w:szCs w:val="18"/>
          <w:color w:val="auto"/>
        </w:rPr>
        <w:t>Exhibit 10.67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5351145" cy="6172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351145"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616265"/>
        </w:rPr>
        <w:t>AN AWARD (“Award”) OF RESTRICTED STOCK UNITS (“Units”), representing a number of shares of Nordstrom Common Stock (“Common Stock”) as noted in the Restricted Stock Unit Award Notice (the “Notice”), of Nordstrom, Inc., a Washington Corporation (the “Company”), is hereby granted to the Recipient (“Unit holder”) on the date set forth in the Notice, subject to the terms and conditions of this Agreement. The Units are also subject to the terms, definitions and provisions of the Nordstrom, Inc. 2010 Equity Incentive Plan (the “Plan”), adopted by the Board of Directors of the Company (the “Board”) and approved by the Company’s shareholders, which is incorporated in this Agreement. To the extent inconsistent with this Agreement, the terms of the Plan shall govern. Terms not defined herein shall have the meanings as set forth in the Plan. The Compensation Committee of the Board (the “Compensation Committee”) has the discretionary authority to construe and interpret the Plan and this Agreement. All decisions of the Compensation Committee upon any question arising under the Plan or under this Agreement shall be final and binding on all parties. The Units are subject to the following terms and conditions:</w:t>
      </w:r>
    </w:p>
    <w:p>
      <w:pPr>
        <w:spacing w:after="0" w:line="272" w:lineRule="exact"/>
        <w:rPr>
          <w:sz w:val="20"/>
          <w:szCs w:val="20"/>
          <w:color w:val="auto"/>
        </w:rPr>
      </w:pPr>
    </w:p>
    <w:p>
      <w:pPr>
        <w:ind w:left="340" w:hanging="332"/>
        <w:spacing w:after="0"/>
        <w:tabs>
          <w:tab w:leader="none" w:pos="340" w:val="left"/>
        </w:tabs>
        <w:numPr>
          <w:ilvl w:val="0"/>
          <w:numId w:val="43"/>
        </w:numPr>
        <w:rPr>
          <w:rFonts w:ascii="Arial" w:cs="Arial" w:eastAsia="Arial" w:hAnsi="Arial"/>
          <w:sz w:val="16"/>
          <w:szCs w:val="16"/>
          <w:b w:val="1"/>
          <w:bCs w:val="1"/>
          <w:color w:val="auto"/>
        </w:rPr>
      </w:pPr>
      <w:r>
        <w:rPr>
          <w:rFonts w:ascii="Arial" w:cs="Arial" w:eastAsia="Arial" w:hAnsi="Arial"/>
          <w:sz w:val="16"/>
          <w:szCs w:val="16"/>
          <w:b w:val="1"/>
          <w:bCs w:val="1"/>
          <w:color w:val="616265"/>
        </w:rPr>
        <w:t>VESTING AND CONVERSION OF UNITS</w:t>
      </w:r>
    </w:p>
    <w:p>
      <w:pPr>
        <w:spacing w:after="0" w:line="76" w:lineRule="exact"/>
        <w:rPr>
          <w:rFonts w:ascii="Arial" w:cs="Arial" w:eastAsia="Arial" w:hAnsi="Arial"/>
          <w:sz w:val="16"/>
          <w:szCs w:val="16"/>
          <w:b w:val="1"/>
          <w:bCs w:val="1"/>
          <w:color w:val="auto"/>
        </w:rPr>
      </w:pPr>
    </w:p>
    <w:p>
      <w:pPr>
        <w:ind w:left="340"/>
        <w:spacing w:after="0" w:line="253" w:lineRule="auto"/>
        <w:rPr>
          <w:rFonts w:ascii="Arial" w:cs="Arial" w:eastAsia="Arial" w:hAnsi="Arial"/>
          <w:sz w:val="16"/>
          <w:szCs w:val="16"/>
          <w:b w:val="1"/>
          <w:bCs w:val="1"/>
          <w:color w:val="auto"/>
        </w:rPr>
      </w:pPr>
      <w:r>
        <w:rPr>
          <w:rFonts w:ascii="Arial" w:cs="Arial" w:eastAsia="Arial" w:hAnsi="Arial"/>
          <w:sz w:val="16"/>
          <w:szCs w:val="16"/>
          <w:color w:val="616265"/>
        </w:rPr>
        <w:t>Unless otherwise specified within this Agreement, the Units will vest and automatically convert into Common Stock according to the applicable terms set forth in the Notice. For the avoidance of doubt, only Common Stock shall be deliverable upon the vesting of the Units, not cash. The Company shall not be required to issue fractional shares of Common Stock upon conversion of the Units into Common Stock. The delivery of Common Stock on vesting of the Units is intended to comply with Section 409A of the Internal Revenue Code of 1986, as amended (the “Code”), together with regulatory guidance issued thereunder, and shall occur as soon as practicable after the applicable vesting date.</w:t>
      </w:r>
    </w:p>
    <w:p>
      <w:pPr>
        <w:spacing w:after="0" w:line="174" w:lineRule="exact"/>
        <w:rPr>
          <w:rFonts w:ascii="Arial" w:cs="Arial" w:eastAsia="Arial" w:hAnsi="Arial"/>
          <w:sz w:val="16"/>
          <w:szCs w:val="16"/>
          <w:b w:val="1"/>
          <w:bCs w:val="1"/>
          <w:color w:val="auto"/>
        </w:rPr>
      </w:pPr>
    </w:p>
    <w:p>
      <w:pPr>
        <w:ind w:left="340" w:hanging="332"/>
        <w:spacing w:after="0"/>
        <w:tabs>
          <w:tab w:leader="none" w:pos="340" w:val="left"/>
        </w:tabs>
        <w:numPr>
          <w:ilvl w:val="0"/>
          <w:numId w:val="43"/>
        </w:numPr>
        <w:rPr>
          <w:rFonts w:ascii="Arial" w:cs="Arial" w:eastAsia="Arial" w:hAnsi="Arial"/>
          <w:sz w:val="16"/>
          <w:szCs w:val="16"/>
          <w:b w:val="1"/>
          <w:bCs w:val="1"/>
          <w:color w:val="auto"/>
        </w:rPr>
      </w:pPr>
      <w:r>
        <w:rPr>
          <w:rFonts w:ascii="Arial" w:cs="Arial" w:eastAsia="Arial" w:hAnsi="Arial"/>
          <w:sz w:val="16"/>
          <w:szCs w:val="16"/>
          <w:b w:val="1"/>
          <w:bCs w:val="1"/>
          <w:color w:val="616265"/>
        </w:rPr>
        <w:t>ACCEPTANCE OF UNITS AND TERMS</w:t>
      </w:r>
    </w:p>
    <w:p>
      <w:pPr>
        <w:spacing w:after="0" w:line="76" w:lineRule="exact"/>
        <w:rPr>
          <w:rFonts w:ascii="Arial" w:cs="Arial" w:eastAsia="Arial" w:hAnsi="Arial"/>
          <w:sz w:val="16"/>
          <w:szCs w:val="16"/>
          <w:b w:val="1"/>
          <w:bCs w:val="1"/>
          <w:color w:val="auto"/>
        </w:rPr>
      </w:pPr>
    </w:p>
    <w:p>
      <w:pPr>
        <w:ind w:left="340" w:right="20"/>
        <w:spacing w:after="0" w:line="256" w:lineRule="auto"/>
        <w:rPr>
          <w:rFonts w:ascii="Arial" w:cs="Arial" w:eastAsia="Arial" w:hAnsi="Arial"/>
          <w:sz w:val="16"/>
          <w:szCs w:val="16"/>
          <w:b w:val="1"/>
          <w:bCs w:val="1"/>
          <w:color w:val="auto"/>
        </w:rPr>
      </w:pPr>
      <w:r>
        <w:rPr>
          <w:rFonts w:ascii="Arial" w:cs="Arial" w:eastAsia="Arial" w:hAnsi="Arial"/>
          <w:sz w:val="16"/>
          <w:szCs w:val="16"/>
          <w:color w:val="616265"/>
        </w:rPr>
        <w:t>Whether or not the Company requires the Unit holder to accept the Award, if the Unit holder takes no action to accept the Award, the Unit holder is deemed to have accepted the Award and will be subject to the terms and conditions of this Agreement. The Unit holder agrees to comply with any and all legal requirements and Company policies related to the resale or disposition of any Awards under this Agreement. The Unit holder acknowledges receipt of a copy of the Plan in connection with the acceptance of the Award.</w:t>
      </w:r>
    </w:p>
    <w:p>
      <w:pPr>
        <w:spacing w:after="0" w:line="169" w:lineRule="exact"/>
        <w:rPr>
          <w:rFonts w:ascii="Arial" w:cs="Arial" w:eastAsia="Arial" w:hAnsi="Arial"/>
          <w:sz w:val="16"/>
          <w:szCs w:val="16"/>
          <w:b w:val="1"/>
          <w:bCs w:val="1"/>
          <w:color w:val="auto"/>
        </w:rPr>
      </w:pPr>
    </w:p>
    <w:p>
      <w:pPr>
        <w:ind w:left="340" w:hanging="332"/>
        <w:spacing w:after="0"/>
        <w:tabs>
          <w:tab w:leader="none" w:pos="340" w:val="left"/>
        </w:tabs>
        <w:numPr>
          <w:ilvl w:val="0"/>
          <w:numId w:val="43"/>
        </w:numPr>
        <w:rPr>
          <w:rFonts w:ascii="Arial" w:cs="Arial" w:eastAsia="Arial" w:hAnsi="Arial"/>
          <w:sz w:val="16"/>
          <w:szCs w:val="16"/>
          <w:b w:val="1"/>
          <w:bCs w:val="1"/>
          <w:color w:val="auto"/>
        </w:rPr>
      </w:pPr>
      <w:r>
        <w:rPr>
          <w:rFonts w:ascii="Arial" w:cs="Arial" w:eastAsia="Arial" w:hAnsi="Arial"/>
          <w:sz w:val="16"/>
          <w:szCs w:val="16"/>
          <w:b w:val="1"/>
          <w:bCs w:val="1"/>
          <w:color w:val="616265"/>
        </w:rPr>
        <w:t>NONTRANSFERABILITY OF UNITS</w:t>
      </w:r>
    </w:p>
    <w:p>
      <w:pPr>
        <w:spacing w:after="0" w:line="76" w:lineRule="exact"/>
        <w:rPr>
          <w:rFonts w:ascii="Arial" w:cs="Arial" w:eastAsia="Arial" w:hAnsi="Arial"/>
          <w:sz w:val="16"/>
          <w:szCs w:val="16"/>
          <w:b w:val="1"/>
          <w:bCs w:val="1"/>
          <w:color w:val="auto"/>
        </w:rPr>
      </w:pPr>
    </w:p>
    <w:p>
      <w:pPr>
        <w:ind w:left="340" w:right="60"/>
        <w:spacing w:after="0" w:line="253" w:lineRule="auto"/>
        <w:rPr>
          <w:rFonts w:ascii="Arial" w:cs="Arial" w:eastAsia="Arial" w:hAnsi="Arial"/>
          <w:sz w:val="16"/>
          <w:szCs w:val="16"/>
          <w:b w:val="1"/>
          <w:bCs w:val="1"/>
          <w:color w:val="auto"/>
        </w:rPr>
      </w:pPr>
      <w:r>
        <w:rPr>
          <w:rFonts w:ascii="Arial" w:cs="Arial" w:eastAsia="Arial" w:hAnsi="Arial"/>
          <w:sz w:val="16"/>
          <w:szCs w:val="16"/>
          <w:color w:val="616265"/>
        </w:rPr>
        <w:t>The Units may not be sold, pledged, assigned or transferred in any manner except in the event of the Unit holder’s death. In the event of the Unit holder’s death, the Units may be transferred to the person indicated on a valid beneficiary form, as designated by the Company, or if no designated beneficiary form is available, then to the person to whom the Unit holder’s rights have passed by will or the laws of descent and distribution. Except as set forth in Section 4, Common Stock may be delivered in respect of the Units during the lifetime of the Unit holder only to the Unit holder or to the guardian or legal representative of the Unit holder. The terms of the Agreement shall be binding on the executors, administrators, heirs and successors of the Unit holder.</w:t>
      </w:r>
    </w:p>
    <w:p>
      <w:pPr>
        <w:spacing w:after="0" w:line="174" w:lineRule="exact"/>
        <w:rPr>
          <w:rFonts w:ascii="Arial" w:cs="Arial" w:eastAsia="Arial" w:hAnsi="Arial"/>
          <w:sz w:val="16"/>
          <w:szCs w:val="16"/>
          <w:b w:val="1"/>
          <w:bCs w:val="1"/>
          <w:color w:val="auto"/>
        </w:rPr>
      </w:pPr>
    </w:p>
    <w:p>
      <w:pPr>
        <w:ind w:left="340" w:hanging="332"/>
        <w:spacing w:after="0"/>
        <w:tabs>
          <w:tab w:leader="none" w:pos="340" w:val="left"/>
        </w:tabs>
        <w:numPr>
          <w:ilvl w:val="0"/>
          <w:numId w:val="43"/>
        </w:numPr>
        <w:rPr>
          <w:rFonts w:ascii="Arial" w:cs="Arial" w:eastAsia="Arial" w:hAnsi="Arial"/>
          <w:sz w:val="16"/>
          <w:szCs w:val="16"/>
          <w:b w:val="1"/>
          <w:bCs w:val="1"/>
          <w:color w:val="616265"/>
        </w:rPr>
      </w:pPr>
      <w:r>
        <w:rPr>
          <w:rFonts w:ascii="Arial" w:cs="Arial" w:eastAsia="Arial" w:hAnsi="Arial"/>
          <w:sz w:val="16"/>
          <w:szCs w:val="16"/>
          <w:b w:val="1"/>
          <w:bCs w:val="1"/>
          <w:color w:val="616265"/>
        </w:rPr>
        <w:t>SEPARATION OF EMPLOYMENT</w:t>
      </w:r>
    </w:p>
    <w:p>
      <w:pPr>
        <w:spacing w:after="0" w:line="63" w:lineRule="exact"/>
        <w:rPr>
          <w:rFonts w:ascii="Arial" w:cs="Arial" w:eastAsia="Arial" w:hAnsi="Arial"/>
          <w:sz w:val="16"/>
          <w:szCs w:val="16"/>
          <w:b w:val="1"/>
          <w:bCs w:val="1"/>
          <w:color w:val="616265"/>
        </w:rPr>
      </w:pPr>
    </w:p>
    <w:p>
      <w:pPr>
        <w:ind w:left="340" w:right="140"/>
        <w:spacing w:after="0" w:line="261" w:lineRule="auto"/>
        <w:rPr>
          <w:rFonts w:ascii="Arial" w:cs="Arial" w:eastAsia="Arial" w:hAnsi="Arial"/>
          <w:sz w:val="16"/>
          <w:szCs w:val="16"/>
          <w:b w:val="1"/>
          <w:bCs w:val="1"/>
          <w:color w:val="616265"/>
        </w:rPr>
      </w:pPr>
      <w:r>
        <w:rPr>
          <w:rFonts w:ascii="Arial" w:cs="Arial" w:eastAsia="Arial" w:hAnsi="Arial"/>
          <w:sz w:val="16"/>
          <w:szCs w:val="16"/>
          <w:color w:val="616265"/>
        </w:rPr>
        <w:t>Except as set forth in this section, the Units will vest, and shares of Common Stock will be delivered in respect of the Units, only if the Unit holder is an employee of the Company or one of its subsidiaries (the “Employer”) on the vesting date. If the Unit holder’s employment with the Employer is terminated, the Units will vest only as follows:</w:t>
      </w:r>
    </w:p>
    <w:p>
      <w:pPr>
        <w:spacing w:after="0" w:line="20" w:lineRule="exact"/>
        <w:rPr>
          <w:rFonts w:ascii="Arial" w:cs="Arial" w:eastAsia="Arial" w:hAnsi="Arial"/>
          <w:sz w:val="16"/>
          <w:szCs w:val="16"/>
          <w:b w:val="1"/>
          <w:bCs w:val="1"/>
          <w:color w:val="616265"/>
        </w:rPr>
      </w:pPr>
    </w:p>
    <w:p>
      <w:pPr>
        <w:ind w:left="660" w:right="40" w:hanging="328"/>
        <w:spacing w:after="0" w:line="297" w:lineRule="auto"/>
        <w:tabs>
          <w:tab w:leader="none" w:pos="660" w:val="left"/>
        </w:tabs>
        <w:numPr>
          <w:ilvl w:val="1"/>
          <w:numId w:val="43"/>
        </w:numPr>
        <w:rPr>
          <w:rFonts w:ascii="Arial" w:cs="Arial" w:eastAsia="Arial" w:hAnsi="Arial"/>
          <w:sz w:val="14"/>
          <w:szCs w:val="14"/>
          <w:color w:val="616265"/>
        </w:rPr>
      </w:pPr>
      <w:r>
        <w:rPr>
          <w:rFonts w:ascii="Arial" w:cs="Arial" w:eastAsia="Arial" w:hAnsi="Arial"/>
          <w:sz w:val="14"/>
          <w:szCs w:val="14"/>
          <w:color w:val="616265"/>
        </w:rPr>
        <w:t>If the Unit holder dies while employed by the Employer and the Units were granted at least six months prior to the date of the Unit holder’s death, any Units represented by the Award shall immediately vest as of the date of the Unit holder’s death and be delivered as Common Stock promptly thereafter. Shares shall be issued in the name of the person identified on the Unit holder’s beneficiary form, as designated by the Company. If no valid beneficiary form exists, then the Common Stock delivered pursuant to the preceding sentence shall be issued in the name of the person to whom the Unit holder’s rights under this Agreement have passed by will or the laws of descent and distribution. If the Units were granted less than six months prior to death, the Units shall be forfeited as of the date of death.</w:t>
      </w:r>
    </w:p>
    <w:p>
      <w:pPr>
        <w:spacing w:after="0" w:line="3" w:lineRule="exact"/>
        <w:rPr>
          <w:rFonts w:ascii="Arial" w:cs="Arial" w:eastAsia="Arial" w:hAnsi="Arial"/>
          <w:sz w:val="14"/>
          <w:szCs w:val="14"/>
          <w:color w:val="616265"/>
        </w:rPr>
      </w:pPr>
    </w:p>
    <w:p>
      <w:pPr>
        <w:ind w:left="660" w:right="160" w:hanging="328"/>
        <w:spacing w:after="0" w:line="256" w:lineRule="auto"/>
        <w:tabs>
          <w:tab w:leader="none" w:pos="660" w:val="left"/>
        </w:tabs>
        <w:numPr>
          <w:ilvl w:val="1"/>
          <w:numId w:val="43"/>
        </w:numPr>
        <w:rPr>
          <w:rFonts w:ascii="Arial" w:cs="Arial" w:eastAsia="Arial" w:hAnsi="Arial"/>
          <w:sz w:val="16"/>
          <w:szCs w:val="16"/>
          <w:color w:val="616265"/>
        </w:rPr>
      </w:pPr>
      <w:r>
        <w:rPr>
          <w:rFonts w:ascii="Arial" w:cs="Arial" w:eastAsia="Arial" w:hAnsi="Arial"/>
          <w:sz w:val="16"/>
          <w:szCs w:val="16"/>
          <w:color w:val="616265"/>
        </w:rPr>
        <w:t>If the Unit holder is separated due to his or her disability, as defined in Section 22(e)(3) of the Code, the Units were granted at least six months prior to such separation and the Unit holder provides Nordstrom Leadership Benefits with reasonable documentation of his or her disability, any Units represented by this Award shall immediately vest as of the date of such separation and be delivered as Common Stock promptly thereafter. If the Units were granted less than six months prior to separation due to the Unit holder’s disability, the Units shall be forfeited as of the date of separation.</w:t>
      </w:r>
    </w:p>
    <w:p>
      <w:pPr>
        <w:sectPr>
          <w:pgSz w:w="11900" w:h="16838" w:orient="portrait"/>
          <w:cols w:equalWidth="0" w:num="1">
            <w:col w:w="11420"/>
          </w:cols>
          <w:pgMar w:left="240" w:top="773" w:right="239" w:bottom="1440" w:gutter="0" w:footer="0" w:header="0"/>
        </w:sectPr>
      </w:pPr>
    </w:p>
    <w:bookmarkStart w:id="77" w:name="page78"/>
    <w:bookmarkEnd w:id="77"/>
    <w:p>
      <w:pPr>
        <w:jc w:val="both"/>
        <w:ind w:left="652" w:hanging="328"/>
        <w:spacing w:after="0" w:line="261" w:lineRule="auto"/>
        <w:tabs>
          <w:tab w:leader="none" w:pos="652" w:val="left"/>
        </w:tabs>
        <w:numPr>
          <w:ilvl w:val="0"/>
          <w:numId w:val="44"/>
        </w:numPr>
        <w:rPr>
          <w:rFonts w:ascii="Arial" w:cs="Arial" w:eastAsia="Arial" w:hAnsi="Arial"/>
          <w:sz w:val="16"/>
          <w:szCs w:val="16"/>
          <w:color w:val="616265"/>
        </w:rPr>
      </w:pPr>
      <w:r>
        <w:rPr>
          <w:rFonts w:ascii="Arial" w:cs="Arial" w:eastAsia="Arial" w:hAnsi="Arial"/>
          <w:sz w:val="16"/>
          <w:szCs w:val="16"/>
          <w:color w:val="616265"/>
        </w:rPr>
        <w:t>Notwithstanding subparagraphs (a) and (b) of this section, a Unit holder shall immediately forfeit any unvested and unsettled Units (as of the termination date), if he or she is terminated for any of the following reasons with respect to the Company or any of its subsidiaries: embezzlement, theft of funds, fraud, violation of rules, regulations or policies, or any intentional harmful act or acts.</w:t>
      </w:r>
    </w:p>
    <w:p>
      <w:pPr>
        <w:spacing w:after="0" w:line="20" w:lineRule="exact"/>
        <w:rPr>
          <w:rFonts w:ascii="Arial" w:cs="Arial" w:eastAsia="Arial" w:hAnsi="Arial"/>
          <w:sz w:val="16"/>
          <w:szCs w:val="16"/>
          <w:color w:val="616265"/>
        </w:rPr>
      </w:pPr>
    </w:p>
    <w:p>
      <w:pPr>
        <w:ind w:left="652" w:right="540" w:hanging="328"/>
        <w:spacing w:after="0" w:line="275" w:lineRule="auto"/>
        <w:tabs>
          <w:tab w:leader="none" w:pos="652" w:val="left"/>
        </w:tabs>
        <w:numPr>
          <w:ilvl w:val="0"/>
          <w:numId w:val="44"/>
        </w:numPr>
        <w:rPr>
          <w:rFonts w:ascii="Arial" w:cs="Arial" w:eastAsia="Arial" w:hAnsi="Arial"/>
          <w:sz w:val="16"/>
          <w:szCs w:val="16"/>
          <w:color w:val="616265"/>
        </w:rPr>
      </w:pPr>
      <w:r>
        <w:rPr>
          <w:rFonts w:ascii="Arial" w:cs="Arial" w:eastAsia="Arial" w:hAnsi="Arial"/>
          <w:sz w:val="16"/>
          <w:szCs w:val="16"/>
          <w:color w:val="616265"/>
        </w:rPr>
        <w:t>If the Unit holder is separated for any reason other than those set forth in subparagraphs (a), (b) or (c) above, then all Units represented by this Award shall be forfeited as of the date of the Unit holder’s separation.</w:t>
      </w:r>
    </w:p>
    <w:p>
      <w:pPr>
        <w:spacing w:after="0" w:line="11" w:lineRule="exact"/>
        <w:rPr>
          <w:sz w:val="20"/>
          <w:szCs w:val="20"/>
          <w:color w:val="auto"/>
        </w:rPr>
      </w:pPr>
    </w:p>
    <w:p>
      <w:pPr>
        <w:ind w:left="332" w:right="220"/>
        <w:spacing w:after="0" w:line="274" w:lineRule="auto"/>
        <w:rPr>
          <w:sz w:val="20"/>
          <w:szCs w:val="20"/>
          <w:color w:val="auto"/>
        </w:rPr>
      </w:pPr>
      <w:r>
        <w:rPr>
          <w:rFonts w:ascii="Arial" w:cs="Arial" w:eastAsia="Arial" w:hAnsi="Arial"/>
          <w:sz w:val="15"/>
          <w:szCs w:val="15"/>
          <w:color w:val="616265"/>
        </w:rPr>
        <w:t>Notwithstanding anything above to the contrary, if at any time during the term of this Award, the Unit holder directly or indirectly, either as an employee, employer, consultant, agent, principal, partner, shareholder, corporate officer, director or in any other capacity, with respect to the Company or any of its subsidiaries, engages or assists any third party in engaging in any competitive business; divulges any confidential or proprietary information to a third party who is not authorized to receive the confidential or proprietary information; or improperly uses any confidential or proprietary information, then the post-separation proration of Units and settlement rights set forth above shall cease immediately, and all outstanding vested but not settled and unvested portions of the Award shall be forfeited.</w:t>
      </w:r>
    </w:p>
    <w:p>
      <w:pPr>
        <w:spacing w:after="0" w:line="159" w:lineRule="exact"/>
        <w:rPr>
          <w:sz w:val="20"/>
          <w:szCs w:val="20"/>
          <w:color w:val="auto"/>
        </w:rPr>
      </w:pPr>
    </w:p>
    <w:p>
      <w:pPr>
        <w:ind w:left="332" w:hanging="332"/>
        <w:spacing w:after="0"/>
        <w:tabs>
          <w:tab w:leader="none" w:pos="332" w:val="left"/>
        </w:tabs>
        <w:numPr>
          <w:ilvl w:val="0"/>
          <w:numId w:val="45"/>
        </w:numPr>
        <w:rPr>
          <w:rFonts w:ascii="Arial" w:cs="Arial" w:eastAsia="Arial" w:hAnsi="Arial"/>
          <w:sz w:val="16"/>
          <w:szCs w:val="16"/>
          <w:b w:val="1"/>
          <w:bCs w:val="1"/>
          <w:color w:val="auto"/>
        </w:rPr>
      </w:pPr>
      <w:r>
        <w:rPr>
          <w:rFonts w:ascii="Arial" w:cs="Arial" w:eastAsia="Arial" w:hAnsi="Arial"/>
          <w:sz w:val="16"/>
          <w:szCs w:val="16"/>
          <w:b w:val="1"/>
          <w:bCs w:val="1"/>
          <w:color w:val="616265"/>
        </w:rPr>
        <w:t>ADJUSTMENTS UPON CHANGES IN CAPITALIZATION</w:t>
      </w:r>
    </w:p>
    <w:p>
      <w:pPr>
        <w:spacing w:after="0" w:line="76" w:lineRule="exact"/>
        <w:rPr>
          <w:rFonts w:ascii="Arial" w:cs="Arial" w:eastAsia="Arial" w:hAnsi="Arial"/>
          <w:sz w:val="16"/>
          <w:szCs w:val="16"/>
          <w:b w:val="1"/>
          <w:bCs w:val="1"/>
          <w:color w:val="auto"/>
        </w:rPr>
      </w:pPr>
    </w:p>
    <w:p>
      <w:pPr>
        <w:jc w:val="both"/>
        <w:ind w:left="332" w:right="20"/>
        <w:spacing w:after="0" w:line="349" w:lineRule="auto"/>
        <w:rPr>
          <w:rFonts w:ascii="Arial" w:cs="Arial" w:eastAsia="Arial" w:hAnsi="Arial"/>
          <w:sz w:val="16"/>
          <w:szCs w:val="16"/>
          <w:b w:val="1"/>
          <w:bCs w:val="1"/>
          <w:color w:val="auto"/>
        </w:rPr>
      </w:pPr>
      <w:r>
        <w:rPr>
          <w:rFonts w:ascii="Arial" w:cs="Arial" w:eastAsia="Arial" w:hAnsi="Arial"/>
          <w:sz w:val="14"/>
          <w:szCs w:val="14"/>
          <w:color w:val="616265"/>
        </w:rPr>
        <w:t>The Units shall be adjusted pursuant to the Plan, in such manner, to such extent (if any) and at such time as the Compensation Committee deems appropriate and equitable in the circumstances, to reflect any stock dividend, stock split, split up, extraordinary cash dividend, any combination or exchange of shares or other Strategic Transaction.</w:t>
      </w:r>
    </w:p>
    <w:p>
      <w:pPr>
        <w:spacing w:after="0" w:line="108" w:lineRule="exact"/>
        <w:rPr>
          <w:rFonts w:ascii="Arial" w:cs="Arial" w:eastAsia="Arial" w:hAnsi="Arial"/>
          <w:sz w:val="16"/>
          <w:szCs w:val="16"/>
          <w:b w:val="1"/>
          <w:bCs w:val="1"/>
          <w:color w:val="auto"/>
        </w:rPr>
      </w:pPr>
    </w:p>
    <w:p>
      <w:pPr>
        <w:ind w:left="332" w:hanging="332"/>
        <w:spacing w:after="0"/>
        <w:tabs>
          <w:tab w:leader="none" w:pos="332" w:val="left"/>
        </w:tabs>
        <w:numPr>
          <w:ilvl w:val="0"/>
          <w:numId w:val="45"/>
        </w:numPr>
        <w:rPr>
          <w:rFonts w:ascii="Arial" w:cs="Arial" w:eastAsia="Arial" w:hAnsi="Arial"/>
          <w:sz w:val="16"/>
          <w:szCs w:val="16"/>
          <w:b w:val="1"/>
          <w:bCs w:val="1"/>
          <w:color w:val="auto"/>
        </w:rPr>
      </w:pPr>
      <w:r>
        <w:rPr>
          <w:rFonts w:ascii="Arial" w:cs="Arial" w:eastAsia="Arial" w:hAnsi="Arial"/>
          <w:sz w:val="16"/>
          <w:szCs w:val="16"/>
          <w:b w:val="1"/>
          <w:bCs w:val="1"/>
          <w:color w:val="616265"/>
        </w:rPr>
        <w:t>NO DIVIDEND RIGHTS</w:t>
      </w:r>
    </w:p>
    <w:p>
      <w:pPr>
        <w:spacing w:after="0" w:line="76" w:lineRule="exact"/>
        <w:rPr>
          <w:rFonts w:ascii="Arial" w:cs="Arial" w:eastAsia="Arial" w:hAnsi="Arial"/>
          <w:sz w:val="16"/>
          <w:szCs w:val="16"/>
          <w:b w:val="1"/>
          <w:bCs w:val="1"/>
          <w:color w:val="auto"/>
        </w:rPr>
      </w:pPr>
    </w:p>
    <w:p>
      <w:pPr>
        <w:ind w:left="332"/>
        <w:spacing w:after="0" w:line="275" w:lineRule="auto"/>
        <w:rPr>
          <w:rFonts w:ascii="Arial" w:cs="Arial" w:eastAsia="Arial" w:hAnsi="Arial"/>
          <w:sz w:val="16"/>
          <w:szCs w:val="16"/>
          <w:b w:val="1"/>
          <w:bCs w:val="1"/>
          <w:color w:val="auto"/>
        </w:rPr>
      </w:pPr>
      <w:r>
        <w:rPr>
          <w:rFonts w:ascii="Arial" w:cs="Arial" w:eastAsia="Arial" w:hAnsi="Arial"/>
          <w:sz w:val="16"/>
          <w:szCs w:val="16"/>
          <w:color w:val="616265"/>
        </w:rPr>
        <w:t>Except to the extent required pursuant to Section 5 of this Agreement, ownership of Units shall not entitle the Unit holder to receive any dividends declared with respect to Common Stock.</w:t>
      </w:r>
    </w:p>
    <w:p>
      <w:pPr>
        <w:spacing w:after="0" w:line="155" w:lineRule="exact"/>
        <w:rPr>
          <w:rFonts w:ascii="Arial" w:cs="Arial" w:eastAsia="Arial" w:hAnsi="Arial"/>
          <w:sz w:val="16"/>
          <w:szCs w:val="16"/>
          <w:b w:val="1"/>
          <w:bCs w:val="1"/>
          <w:color w:val="auto"/>
        </w:rPr>
      </w:pPr>
    </w:p>
    <w:p>
      <w:pPr>
        <w:ind w:left="332" w:hanging="332"/>
        <w:spacing w:after="0"/>
        <w:tabs>
          <w:tab w:leader="none" w:pos="332" w:val="left"/>
        </w:tabs>
        <w:numPr>
          <w:ilvl w:val="0"/>
          <w:numId w:val="45"/>
        </w:numPr>
        <w:rPr>
          <w:rFonts w:ascii="Arial" w:cs="Arial" w:eastAsia="Arial" w:hAnsi="Arial"/>
          <w:sz w:val="16"/>
          <w:szCs w:val="16"/>
          <w:b w:val="1"/>
          <w:bCs w:val="1"/>
          <w:color w:val="auto"/>
        </w:rPr>
      </w:pPr>
      <w:r>
        <w:rPr>
          <w:rFonts w:ascii="Arial" w:cs="Arial" w:eastAsia="Arial" w:hAnsi="Arial"/>
          <w:sz w:val="16"/>
          <w:szCs w:val="16"/>
          <w:b w:val="1"/>
          <w:bCs w:val="1"/>
          <w:color w:val="616265"/>
        </w:rPr>
        <w:t>ADDITIONAL UNITS</w:t>
      </w:r>
    </w:p>
    <w:p>
      <w:pPr>
        <w:spacing w:after="0" w:line="76" w:lineRule="exact"/>
        <w:rPr>
          <w:rFonts w:ascii="Arial" w:cs="Arial" w:eastAsia="Arial" w:hAnsi="Arial"/>
          <w:sz w:val="16"/>
          <w:szCs w:val="16"/>
          <w:b w:val="1"/>
          <w:bCs w:val="1"/>
          <w:color w:val="auto"/>
        </w:rPr>
      </w:pPr>
    </w:p>
    <w:p>
      <w:pPr>
        <w:ind w:left="332" w:right="660"/>
        <w:spacing w:after="0" w:line="275" w:lineRule="auto"/>
        <w:rPr>
          <w:rFonts w:ascii="Arial" w:cs="Arial" w:eastAsia="Arial" w:hAnsi="Arial"/>
          <w:sz w:val="16"/>
          <w:szCs w:val="16"/>
          <w:b w:val="1"/>
          <w:bCs w:val="1"/>
          <w:color w:val="auto"/>
        </w:rPr>
      </w:pPr>
      <w:r>
        <w:rPr>
          <w:rFonts w:ascii="Arial" w:cs="Arial" w:eastAsia="Arial" w:hAnsi="Arial"/>
          <w:sz w:val="16"/>
          <w:szCs w:val="16"/>
          <w:color w:val="616265"/>
        </w:rPr>
        <w:t>The Compensation Committee may or may not grant the Unit holder additional Units in the future. Nothing in this Agreement or any future agreement should be construed as suggesting that additional awards to the Unit holder will be forthcoming.</w:t>
      </w:r>
    </w:p>
    <w:p>
      <w:pPr>
        <w:spacing w:after="0" w:line="155" w:lineRule="exact"/>
        <w:rPr>
          <w:rFonts w:ascii="Arial" w:cs="Arial" w:eastAsia="Arial" w:hAnsi="Arial"/>
          <w:sz w:val="16"/>
          <w:szCs w:val="16"/>
          <w:b w:val="1"/>
          <w:bCs w:val="1"/>
          <w:color w:val="auto"/>
        </w:rPr>
      </w:pPr>
    </w:p>
    <w:p>
      <w:pPr>
        <w:ind w:left="332" w:hanging="332"/>
        <w:spacing w:after="0"/>
        <w:tabs>
          <w:tab w:leader="none" w:pos="332" w:val="left"/>
        </w:tabs>
        <w:numPr>
          <w:ilvl w:val="0"/>
          <w:numId w:val="45"/>
        </w:numPr>
        <w:rPr>
          <w:rFonts w:ascii="Arial" w:cs="Arial" w:eastAsia="Arial" w:hAnsi="Arial"/>
          <w:sz w:val="16"/>
          <w:szCs w:val="16"/>
          <w:b w:val="1"/>
          <w:bCs w:val="1"/>
          <w:color w:val="auto"/>
        </w:rPr>
      </w:pPr>
      <w:r>
        <w:rPr>
          <w:rFonts w:ascii="Arial" w:cs="Arial" w:eastAsia="Arial" w:hAnsi="Arial"/>
          <w:sz w:val="16"/>
          <w:szCs w:val="16"/>
          <w:b w:val="1"/>
          <w:bCs w:val="1"/>
          <w:color w:val="616265"/>
        </w:rPr>
        <w:t>LEAVES OF ABSENCE</w:t>
      </w:r>
    </w:p>
    <w:p>
      <w:pPr>
        <w:spacing w:after="0" w:line="76" w:lineRule="exact"/>
        <w:rPr>
          <w:rFonts w:ascii="Arial" w:cs="Arial" w:eastAsia="Arial" w:hAnsi="Arial"/>
          <w:sz w:val="16"/>
          <w:szCs w:val="16"/>
          <w:b w:val="1"/>
          <w:bCs w:val="1"/>
          <w:color w:val="auto"/>
        </w:rPr>
      </w:pPr>
    </w:p>
    <w:p>
      <w:pPr>
        <w:ind w:left="332" w:right="20"/>
        <w:spacing w:after="0" w:line="261" w:lineRule="auto"/>
        <w:rPr>
          <w:rFonts w:ascii="Arial" w:cs="Arial" w:eastAsia="Arial" w:hAnsi="Arial"/>
          <w:sz w:val="16"/>
          <w:szCs w:val="16"/>
          <w:b w:val="1"/>
          <w:bCs w:val="1"/>
          <w:color w:val="auto"/>
        </w:rPr>
      </w:pPr>
      <w:r>
        <w:rPr>
          <w:rFonts w:ascii="Arial" w:cs="Arial" w:eastAsia="Arial" w:hAnsi="Arial"/>
          <w:sz w:val="16"/>
          <w:szCs w:val="16"/>
          <w:color w:val="616265"/>
        </w:rPr>
        <w:t>For purposes of this Agreement, the Unit holder’s service does not terminate due to a military leave, a medical leave or another bona fide leave of absence if the leave was approved by the Employer in writing and if continued crediting of service is required by the terms of the leave or by applicable law. But, service terminates when the approved leave ends, unless the Unit holder immediately returns to active work.</w:t>
      </w:r>
    </w:p>
    <w:p>
      <w:pPr>
        <w:spacing w:after="0" w:line="165" w:lineRule="exact"/>
        <w:rPr>
          <w:rFonts w:ascii="Arial" w:cs="Arial" w:eastAsia="Arial" w:hAnsi="Arial"/>
          <w:sz w:val="16"/>
          <w:szCs w:val="16"/>
          <w:b w:val="1"/>
          <w:bCs w:val="1"/>
          <w:color w:val="auto"/>
        </w:rPr>
      </w:pPr>
    </w:p>
    <w:p>
      <w:pPr>
        <w:ind w:left="332" w:hanging="332"/>
        <w:spacing w:after="0"/>
        <w:tabs>
          <w:tab w:leader="none" w:pos="332" w:val="left"/>
        </w:tabs>
        <w:numPr>
          <w:ilvl w:val="0"/>
          <w:numId w:val="45"/>
        </w:numPr>
        <w:rPr>
          <w:rFonts w:ascii="Arial" w:cs="Arial" w:eastAsia="Arial" w:hAnsi="Arial"/>
          <w:sz w:val="16"/>
          <w:szCs w:val="16"/>
          <w:b w:val="1"/>
          <w:bCs w:val="1"/>
          <w:color w:val="auto"/>
        </w:rPr>
      </w:pPr>
      <w:r>
        <w:rPr>
          <w:rFonts w:ascii="Arial" w:cs="Arial" w:eastAsia="Arial" w:hAnsi="Arial"/>
          <w:sz w:val="16"/>
          <w:szCs w:val="16"/>
          <w:b w:val="1"/>
          <w:bCs w:val="1"/>
          <w:color w:val="616265"/>
        </w:rPr>
        <w:t>TAX WITHHOLDING</w:t>
      </w:r>
    </w:p>
    <w:p>
      <w:pPr>
        <w:spacing w:after="0" w:line="76" w:lineRule="exact"/>
        <w:rPr>
          <w:rFonts w:ascii="Arial" w:cs="Arial" w:eastAsia="Arial" w:hAnsi="Arial"/>
          <w:sz w:val="16"/>
          <w:szCs w:val="16"/>
          <w:b w:val="1"/>
          <w:bCs w:val="1"/>
          <w:color w:val="auto"/>
        </w:rPr>
      </w:pPr>
    </w:p>
    <w:p>
      <w:pPr>
        <w:ind w:left="332" w:right="320"/>
        <w:spacing w:after="0" w:line="256" w:lineRule="auto"/>
        <w:rPr>
          <w:rFonts w:ascii="Arial" w:cs="Arial" w:eastAsia="Arial" w:hAnsi="Arial"/>
          <w:sz w:val="16"/>
          <w:szCs w:val="16"/>
          <w:b w:val="1"/>
          <w:bCs w:val="1"/>
          <w:color w:val="auto"/>
        </w:rPr>
      </w:pPr>
      <w:r>
        <w:rPr>
          <w:rFonts w:ascii="Arial" w:cs="Arial" w:eastAsia="Arial" w:hAnsi="Arial"/>
          <w:sz w:val="16"/>
          <w:szCs w:val="16"/>
          <w:color w:val="616265"/>
        </w:rPr>
        <w:t>No stock certificates will be distributed to the Unit holder unless the Unit holder has made acceptable arrangements to pay any withholding taxes that may be due as a result of the settlement of this Award. These arrangements may include withholding shares of Common Stock that otherwise would be distributed when the Units are settled. The fair market value of the shares required to cover withholding will be applied to the withholding of taxes prior to the Unit holder receiving the remaining shares.</w:t>
      </w:r>
    </w:p>
    <w:p>
      <w:pPr>
        <w:spacing w:after="0" w:line="223" w:lineRule="exact"/>
        <w:rPr>
          <w:rFonts w:ascii="Arial" w:cs="Arial" w:eastAsia="Arial" w:hAnsi="Arial"/>
          <w:sz w:val="16"/>
          <w:szCs w:val="16"/>
          <w:b w:val="1"/>
          <w:bCs w:val="1"/>
          <w:color w:val="auto"/>
        </w:rPr>
      </w:pPr>
    </w:p>
    <w:p>
      <w:pPr>
        <w:ind w:left="332" w:hanging="332"/>
        <w:spacing w:after="0"/>
        <w:tabs>
          <w:tab w:leader="none" w:pos="332" w:val="left"/>
        </w:tabs>
        <w:numPr>
          <w:ilvl w:val="0"/>
          <w:numId w:val="45"/>
        </w:numPr>
        <w:rPr>
          <w:rFonts w:ascii="Arial" w:cs="Arial" w:eastAsia="Arial" w:hAnsi="Arial"/>
          <w:sz w:val="16"/>
          <w:szCs w:val="16"/>
          <w:b w:val="1"/>
          <w:bCs w:val="1"/>
          <w:color w:val="auto"/>
        </w:rPr>
      </w:pPr>
      <w:r>
        <w:rPr>
          <w:rFonts w:ascii="Arial" w:cs="Arial" w:eastAsia="Arial" w:hAnsi="Arial"/>
          <w:sz w:val="16"/>
          <w:szCs w:val="16"/>
          <w:b w:val="1"/>
          <w:bCs w:val="1"/>
          <w:color w:val="616265"/>
        </w:rPr>
        <w:t>INDEPENDENT TAX ADVICE</w:t>
      </w:r>
    </w:p>
    <w:p>
      <w:pPr>
        <w:spacing w:after="0" w:line="76" w:lineRule="exact"/>
        <w:rPr>
          <w:rFonts w:ascii="Arial" w:cs="Arial" w:eastAsia="Arial" w:hAnsi="Arial"/>
          <w:sz w:val="16"/>
          <w:szCs w:val="16"/>
          <w:b w:val="1"/>
          <w:bCs w:val="1"/>
          <w:color w:val="auto"/>
        </w:rPr>
      </w:pPr>
    </w:p>
    <w:p>
      <w:pPr>
        <w:ind w:left="332" w:right="60"/>
        <w:spacing w:after="0" w:line="256" w:lineRule="auto"/>
        <w:rPr>
          <w:rFonts w:ascii="Arial" w:cs="Arial" w:eastAsia="Arial" w:hAnsi="Arial"/>
          <w:sz w:val="16"/>
          <w:szCs w:val="16"/>
          <w:b w:val="1"/>
          <w:bCs w:val="1"/>
          <w:color w:val="auto"/>
        </w:rPr>
      </w:pPr>
      <w:r>
        <w:rPr>
          <w:rFonts w:ascii="Arial" w:cs="Arial" w:eastAsia="Arial" w:hAnsi="Arial"/>
          <w:sz w:val="16"/>
          <w:szCs w:val="16"/>
          <w:color w:val="616265"/>
        </w:rPr>
        <w:t>The tax consequences to the Unit holder of receiving the Units or disposing of the shares of Common Stock which may be issuable upon vesting and conversion of the Units is complicated and will depend, in part, on the Unit holder’s specific tax situation. The Unit holder is advised to consult with an independent tax advisor for a full understanding of the specific tax consequences of receiving or disposing of the Units or the shares of Common Stock which may be received upon vesting and conversion of the Units.</w:t>
      </w:r>
    </w:p>
    <w:p>
      <w:pPr>
        <w:spacing w:after="0" w:line="223" w:lineRule="exact"/>
        <w:rPr>
          <w:rFonts w:ascii="Arial" w:cs="Arial" w:eastAsia="Arial" w:hAnsi="Arial"/>
          <w:sz w:val="16"/>
          <w:szCs w:val="16"/>
          <w:b w:val="1"/>
          <w:bCs w:val="1"/>
          <w:color w:val="auto"/>
        </w:rPr>
      </w:pPr>
    </w:p>
    <w:p>
      <w:pPr>
        <w:ind w:left="332" w:hanging="332"/>
        <w:spacing w:after="0"/>
        <w:tabs>
          <w:tab w:leader="none" w:pos="332" w:val="left"/>
        </w:tabs>
        <w:numPr>
          <w:ilvl w:val="0"/>
          <w:numId w:val="45"/>
        </w:numPr>
        <w:rPr>
          <w:rFonts w:ascii="Arial" w:cs="Arial" w:eastAsia="Arial" w:hAnsi="Arial"/>
          <w:sz w:val="16"/>
          <w:szCs w:val="16"/>
          <w:b w:val="1"/>
          <w:bCs w:val="1"/>
          <w:color w:val="auto"/>
        </w:rPr>
      </w:pPr>
      <w:r>
        <w:rPr>
          <w:rFonts w:ascii="Arial" w:cs="Arial" w:eastAsia="Arial" w:hAnsi="Arial"/>
          <w:sz w:val="16"/>
          <w:szCs w:val="16"/>
          <w:b w:val="1"/>
          <w:bCs w:val="1"/>
          <w:color w:val="616265"/>
        </w:rPr>
        <w:t>RIGHTS AS A SHAREHOLDER</w:t>
      </w:r>
    </w:p>
    <w:p>
      <w:pPr>
        <w:spacing w:after="0" w:line="76" w:lineRule="exact"/>
        <w:rPr>
          <w:rFonts w:ascii="Arial" w:cs="Arial" w:eastAsia="Arial" w:hAnsi="Arial"/>
          <w:sz w:val="16"/>
          <w:szCs w:val="16"/>
          <w:b w:val="1"/>
          <w:bCs w:val="1"/>
          <w:color w:val="auto"/>
        </w:rPr>
      </w:pPr>
    </w:p>
    <w:p>
      <w:pPr>
        <w:ind w:left="332" w:right="140"/>
        <w:spacing w:after="0" w:line="261" w:lineRule="auto"/>
        <w:rPr>
          <w:rFonts w:ascii="Arial" w:cs="Arial" w:eastAsia="Arial" w:hAnsi="Arial"/>
          <w:sz w:val="16"/>
          <w:szCs w:val="16"/>
          <w:b w:val="1"/>
          <w:bCs w:val="1"/>
          <w:color w:val="auto"/>
        </w:rPr>
      </w:pPr>
      <w:r>
        <w:rPr>
          <w:rFonts w:ascii="Arial" w:cs="Arial" w:eastAsia="Arial" w:hAnsi="Arial"/>
          <w:sz w:val="16"/>
          <w:szCs w:val="16"/>
          <w:color w:val="616265"/>
        </w:rPr>
        <w:t>Neither the Unit holder nor the Unit holder’s beneficiary or representative shall have any rights as a shareholder with respect to any Common Stock which may be issuable upon vesting and conversion of the Units, unless and until the Units vest and Common Stock has been issued and any other requirements imposed by applicable law or the Plan have been satisfied.</w:t>
      </w:r>
    </w:p>
    <w:p>
      <w:pPr>
        <w:sectPr>
          <w:pgSz w:w="11900" w:h="16838" w:orient="portrait"/>
          <w:cols w:equalWidth="0" w:num="1">
            <w:col w:w="11412"/>
          </w:cols>
          <w:pgMar w:left="248" w:top="373" w:right="239" w:bottom="1440" w:gutter="0" w:footer="0" w:header="0"/>
        </w:sectPr>
      </w:pPr>
    </w:p>
    <w:bookmarkStart w:id="78" w:name="page79"/>
    <w:bookmarkEnd w:id="78"/>
    <w:p>
      <w:pPr>
        <w:ind w:left="332" w:hanging="332"/>
        <w:spacing w:after="0"/>
        <w:tabs>
          <w:tab w:leader="none" w:pos="332" w:val="left"/>
        </w:tabs>
        <w:numPr>
          <w:ilvl w:val="0"/>
          <w:numId w:val="46"/>
        </w:numPr>
        <w:rPr>
          <w:rFonts w:ascii="Arial" w:cs="Arial" w:eastAsia="Arial" w:hAnsi="Arial"/>
          <w:sz w:val="16"/>
          <w:szCs w:val="16"/>
          <w:b w:val="1"/>
          <w:bCs w:val="1"/>
          <w:color w:val="auto"/>
        </w:rPr>
      </w:pPr>
      <w:r>
        <w:rPr>
          <w:rFonts w:ascii="Arial" w:cs="Arial" w:eastAsia="Arial" w:hAnsi="Arial"/>
          <w:sz w:val="16"/>
          <w:szCs w:val="16"/>
          <w:b w:val="1"/>
          <w:bCs w:val="1"/>
          <w:color w:val="616265"/>
        </w:rPr>
        <w:t>NO RETENTION RIGHTS</w:t>
      </w:r>
    </w:p>
    <w:p>
      <w:pPr>
        <w:spacing w:after="0" w:line="76" w:lineRule="exact"/>
        <w:rPr>
          <w:rFonts w:ascii="Arial" w:cs="Arial" w:eastAsia="Arial" w:hAnsi="Arial"/>
          <w:sz w:val="16"/>
          <w:szCs w:val="16"/>
          <w:b w:val="1"/>
          <w:bCs w:val="1"/>
          <w:color w:val="auto"/>
        </w:rPr>
      </w:pPr>
    </w:p>
    <w:p>
      <w:pPr>
        <w:ind w:left="332" w:right="500"/>
        <w:spacing w:after="0" w:line="275" w:lineRule="auto"/>
        <w:rPr>
          <w:rFonts w:ascii="Arial" w:cs="Arial" w:eastAsia="Arial" w:hAnsi="Arial"/>
          <w:sz w:val="16"/>
          <w:szCs w:val="16"/>
          <w:b w:val="1"/>
          <w:bCs w:val="1"/>
          <w:color w:val="auto"/>
        </w:rPr>
      </w:pPr>
      <w:r>
        <w:rPr>
          <w:rFonts w:ascii="Arial" w:cs="Arial" w:eastAsia="Arial" w:hAnsi="Arial"/>
          <w:sz w:val="16"/>
          <w:szCs w:val="16"/>
          <w:color w:val="616265"/>
        </w:rPr>
        <w:t>Nothing in this Agreement or in the Plan shall give the Unit holder the right to be retained by the Employer as an employee or in any other capacity. The Employer reserves the right to terminate the Unit holder’s service at any time, with or without cause.</w:t>
      </w:r>
    </w:p>
    <w:p>
      <w:pPr>
        <w:spacing w:after="0" w:line="155" w:lineRule="exact"/>
        <w:rPr>
          <w:rFonts w:ascii="Arial" w:cs="Arial" w:eastAsia="Arial" w:hAnsi="Arial"/>
          <w:sz w:val="16"/>
          <w:szCs w:val="16"/>
          <w:b w:val="1"/>
          <w:bCs w:val="1"/>
          <w:color w:val="auto"/>
        </w:rPr>
      </w:pPr>
    </w:p>
    <w:p>
      <w:pPr>
        <w:ind w:left="332" w:hanging="332"/>
        <w:spacing w:after="0"/>
        <w:tabs>
          <w:tab w:leader="none" w:pos="332" w:val="left"/>
        </w:tabs>
        <w:numPr>
          <w:ilvl w:val="0"/>
          <w:numId w:val="46"/>
        </w:numPr>
        <w:rPr>
          <w:rFonts w:ascii="Arial" w:cs="Arial" w:eastAsia="Arial" w:hAnsi="Arial"/>
          <w:sz w:val="16"/>
          <w:szCs w:val="16"/>
          <w:b w:val="1"/>
          <w:bCs w:val="1"/>
          <w:color w:val="auto"/>
        </w:rPr>
      </w:pPr>
      <w:r>
        <w:rPr>
          <w:rFonts w:ascii="Arial" w:cs="Arial" w:eastAsia="Arial" w:hAnsi="Arial"/>
          <w:sz w:val="16"/>
          <w:szCs w:val="16"/>
          <w:b w:val="1"/>
          <w:bCs w:val="1"/>
          <w:color w:val="616265"/>
        </w:rPr>
        <w:t>CLAWBACK POLICY</w:t>
      </w:r>
    </w:p>
    <w:p>
      <w:pPr>
        <w:spacing w:after="0" w:line="76" w:lineRule="exact"/>
        <w:rPr>
          <w:rFonts w:ascii="Arial" w:cs="Arial" w:eastAsia="Arial" w:hAnsi="Arial"/>
          <w:sz w:val="16"/>
          <w:szCs w:val="16"/>
          <w:b w:val="1"/>
          <w:bCs w:val="1"/>
          <w:color w:val="auto"/>
        </w:rPr>
      </w:pPr>
    </w:p>
    <w:p>
      <w:pPr>
        <w:ind w:left="332" w:right="220"/>
        <w:spacing w:after="0" w:line="275" w:lineRule="auto"/>
        <w:rPr>
          <w:rFonts w:ascii="Arial" w:cs="Arial" w:eastAsia="Arial" w:hAnsi="Arial"/>
          <w:sz w:val="16"/>
          <w:szCs w:val="16"/>
          <w:b w:val="1"/>
          <w:bCs w:val="1"/>
          <w:color w:val="auto"/>
        </w:rPr>
      </w:pPr>
      <w:r>
        <w:rPr>
          <w:rFonts w:ascii="Arial" w:cs="Arial" w:eastAsia="Arial" w:hAnsi="Arial"/>
          <w:sz w:val="16"/>
          <w:szCs w:val="16"/>
          <w:color w:val="616265"/>
        </w:rPr>
        <w:t>The Units, and any Common Stock delivered upon vesting of the Units and the proceeds from any sale of such Common Stock, shall be subject to the Clawback Policy adopted by the Board, as amended from time to time.</w:t>
      </w:r>
    </w:p>
    <w:p>
      <w:pPr>
        <w:spacing w:after="0" w:line="10" w:lineRule="exact"/>
        <w:rPr>
          <w:rFonts w:ascii="Arial" w:cs="Arial" w:eastAsia="Arial" w:hAnsi="Arial"/>
          <w:sz w:val="16"/>
          <w:szCs w:val="16"/>
          <w:b w:val="1"/>
          <w:bCs w:val="1"/>
          <w:color w:val="auto"/>
        </w:rPr>
      </w:pPr>
    </w:p>
    <w:p>
      <w:pPr>
        <w:ind w:left="332" w:right="320"/>
        <w:spacing w:after="0" w:line="275" w:lineRule="auto"/>
        <w:rPr>
          <w:rFonts w:ascii="Arial" w:cs="Arial" w:eastAsia="Arial" w:hAnsi="Arial"/>
          <w:sz w:val="16"/>
          <w:szCs w:val="16"/>
          <w:b w:val="1"/>
          <w:bCs w:val="1"/>
          <w:color w:val="auto"/>
        </w:rPr>
      </w:pPr>
      <w:r>
        <w:rPr>
          <w:rFonts w:ascii="Arial" w:cs="Arial" w:eastAsia="Arial" w:hAnsi="Arial"/>
          <w:sz w:val="16"/>
          <w:szCs w:val="16"/>
          <w:color w:val="616265"/>
        </w:rPr>
        <w:t>In the event the Clawback Policy is deemed unenforceable with respect to the Units or with respect to the Common Stock deliverable or delivered upon vesting of the Units, then the Award of Units subject to this Agreement shall be deemed unenforceable due to lack of adequate consideration.</w:t>
      </w:r>
    </w:p>
    <w:p>
      <w:pPr>
        <w:spacing w:after="0" w:line="155" w:lineRule="exact"/>
        <w:rPr>
          <w:rFonts w:ascii="Arial" w:cs="Arial" w:eastAsia="Arial" w:hAnsi="Arial"/>
          <w:sz w:val="16"/>
          <w:szCs w:val="16"/>
          <w:b w:val="1"/>
          <w:bCs w:val="1"/>
          <w:color w:val="auto"/>
        </w:rPr>
      </w:pPr>
    </w:p>
    <w:p>
      <w:pPr>
        <w:ind w:left="332" w:hanging="332"/>
        <w:spacing w:after="0"/>
        <w:tabs>
          <w:tab w:leader="none" w:pos="332" w:val="left"/>
        </w:tabs>
        <w:numPr>
          <w:ilvl w:val="0"/>
          <w:numId w:val="46"/>
        </w:numPr>
        <w:rPr>
          <w:rFonts w:ascii="Arial" w:cs="Arial" w:eastAsia="Arial" w:hAnsi="Arial"/>
          <w:sz w:val="16"/>
          <w:szCs w:val="16"/>
          <w:b w:val="1"/>
          <w:bCs w:val="1"/>
          <w:color w:val="auto"/>
        </w:rPr>
      </w:pPr>
      <w:r>
        <w:rPr>
          <w:rFonts w:ascii="Arial" w:cs="Arial" w:eastAsia="Arial" w:hAnsi="Arial"/>
          <w:sz w:val="16"/>
          <w:szCs w:val="16"/>
          <w:b w:val="1"/>
          <w:bCs w:val="1"/>
          <w:color w:val="616265"/>
        </w:rPr>
        <w:t>ENTIRE AGREEMENT</w:t>
      </w:r>
    </w:p>
    <w:p>
      <w:pPr>
        <w:spacing w:after="0" w:line="76" w:lineRule="exact"/>
        <w:rPr>
          <w:rFonts w:ascii="Arial" w:cs="Arial" w:eastAsia="Arial" w:hAnsi="Arial"/>
          <w:sz w:val="16"/>
          <w:szCs w:val="16"/>
          <w:b w:val="1"/>
          <w:bCs w:val="1"/>
          <w:color w:val="auto"/>
        </w:rPr>
      </w:pPr>
    </w:p>
    <w:p>
      <w:pPr>
        <w:ind w:left="332" w:right="460"/>
        <w:spacing w:after="0" w:line="300" w:lineRule="auto"/>
        <w:rPr>
          <w:rFonts w:ascii="Arial" w:cs="Arial" w:eastAsia="Arial" w:hAnsi="Arial"/>
          <w:sz w:val="16"/>
          <w:szCs w:val="16"/>
          <w:b w:val="1"/>
          <w:bCs w:val="1"/>
          <w:color w:val="auto"/>
        </w:rPr>
      </w:pPr>
      <w:r>
        <w:rPr>
          <w:rFonts w:ascii="Arial" w:cs="Arial" w:eastAsia="Arial" w:hAnsi="Arial"/>
          <w:sz w:val="15"/>
          <w:szCs w:val="15"/>
          <w:color w:val="616265"/>
        </w:rPr>
        <w:t>The Notice, this Agreement and the Plan constitute the entire contract between the parties hereto with regard to the subject matter hereof. They supersede any other agreements, representations or understandings (whether oral or written and whether express or implied) that relate to the subject matter hereof.</w:t>
      </w:r>
    </w:p>
    <w:p>
      <w:pPr>
        <w:ind w:left="332" w:right="200"/>
        <w:spacing w:after="0" w:line="256" w:lineRule="auto"/>
        <w:rPr>
          <w:rFonts w:ascii="Arial" w:cs="Arial" w:eastAsia="Arial" w:hAnsi="Arial"/>
          <w:sz w:val="16"/>
          <w:szCs w:val="16"/>
          <w:b w:val="1"/>
          <w:bCs w:val="1"/>
          <w:color w:val="auto"/>
        </w:rPr>
      </w:pPr>
      <w:r>
        <w:rPr>
          <w:rFonts w:ascii="Arial" w:cs="Arial" w:eastAsia="Arial" w:hAnsi="Arial"/>
          <w:sz w:val="16"/>
          <w:szCs w:val="16"/>
          <w:color w:val="616265"/>
        </w:rPr>
        <w:t>This Agreement may not be modified or amended, except for a unilateral amendment by the Company that does not materially adversely affect the rights of the Unit holder under this Agreement. No party to this Agreement may unilaterally waive any provision hereof, except in writing. Any such modification, amendment or waiver signed by, or binding upon, the Unit holder, shall be valid and binding upon any and all persons or entities who may, at any time, have or claim any rights under or pursuant to this Agreement.</w:t>
      </w:r>
    </w:p>
    <w:p>
      <w:pPr>
        <w:spacing w:after="0" w:line="169" w:lineRule="exact"/>
        <w:rPr>
          <w:rFonts w:ascii="Arial" w:cs="Arial" w:eastAsia="Arial" w:hAnsi="Arial"/>
          <w:sz w:val="16"/>
          <w:szCs w:val="16"/>
          <w:b w:val="1"/>
          <w:bCs w:val="1"/>
          <w:color w:val="auto"/>
        </w:rPr>
      </w:pPr>
    </w:p>
    <w:p>
      <w:pPr>
        <w:ind w:left="332" w:hanging="332"/>
        <w:spacing w:after="0"/>
        <w:tabs>
          <w:tab w:leader="none" w:pos="332" w:val="left"/>
        </w:tabs>
        <w:numPr>
          <w:ilvl w:val="0"/>
          <w:numId w:val="46"/>
        </w:numPr>
        <w:rPr>
          <w:rFonts w:ascii="Arial" w:cs="Arial" w:eastAsia="Arial" w:hAnsi="Arial"/>
          <w:sz w:val="16"/>
          <w:szCs w:val="16"/>
          <w:b w:val="1"/>
          <w:bCs w:val="1"/>
          <w:color w:val="auto"/>
        </w:rPr>
      </w:pPr>
      <w:r>
        <w:rPr>
          <w:rFonts w:ascii="Arial" w:cs="Arial" w:eastAsia="Arial" w:hAnsi="Arial"/>
          <w:sz w:val="16"/>
          <w:szCs w:val="16"/>
          <w:b w:val="1"/>
          <w:bCs w:val="1"/>
          <w:color w:val="616265"/>
        </w:rPr>
        <w:t>CHOICE OF LAW</w:t>
      </w:r>
    </w:p>
    <w:p>
      <w:pPr>
        <w:spacing w:after="0" w:line="76" w:lineRule="exact"/>
        <w:rPr>
          <w:rFonts w:ascii="Arial" w:cs="Arial" w:eastAsia="Arial" w:hAnsi="Arial"/>
          <w:sz w:val="16"/>
          <w:szCs w:val="16"/>
          <w:b w:val="1"/>
          <w:bCs w:val="1"/>
          <w:color w:val="auto"/>
        </w:rPr>
      </w:pPr>
    </w:p>
    <w:p>
      <w:pPr>
        <w:ind w:left="332"/>
        <w:spacing w:after="0" w:line="275" w:lineRule="auto"/>
        <w:rPr>
          <w:rFonts w:ascii="Arial" w:cs="Arial" w:eastAsia="Arial" w:hAnsi="Arial"/>
          <w:sz w:val="16"/>
          <w:szCs w:val="16"/>
          <w:b w:val="1"/>
          <w:bCs w:val="1"/>
          <w:color w:val="auto"/>
        </w:rPr>
      </w:pPr>
      <w:r>
        <w:rPr>
          <w:rFonts w:ascii="Arial" w:cs="Arial" w:eastAsia="Arial" w:hAnsi="Arial"/>
          <w:sz w:val="16"/>
          <w:szCs w:val="16"/>
          <w:color w:val="616265"/>
        </w:rPr>
        <w:t>This Agreement shall be governed by, and construed in accordance with, the laws of the State of Washington without regard to principles of conflicts of laws, as such laws are applied to contracts entered into and performed in such State.</w:t>
      </w:r>
    </w:p>
    <w:p>
      <w:pPr>
        <w:spacing w:after="0" w:line="155" w:lineRule="exact"/>
        <w:rPr>
          <w:rFonts w:ascii="Arial" w:cs="Arial" w:eastAsia="Arial" w:hAnsi="Arial"/>
          <w:sz w:val="16"/>
          <w:szCs w:val="16"/>
          <w:b w:val="1"/>
          <w:bCs w:val="1"/>
          <w:color w:val="auto"/>
        </w:rPr>
      </w:pPr>
    </w:p>
    <w:p>
      <w:pPr>
        <w:ind w:left="332" w:hanging="332"/>
        <w:spacing w:after="0"/>
        <w:tabs>
          <w:tab w:leader="none" w:pos="332" w:val="left"/>
        </w:tabs>
        <w:numPr>
          <w:ilvl w:val="0"/>
          <w:numId w:val="46"/>
        </w:numPr>
        <w:rPr>
          <w:rFonts w:ascii="Arial" w:cs="Arial" w:eastAsia="Arial" w:hAnsi="Arial"/>
          <w:sz w:val="16"/>
          <w:szCs w:val="16"/>
          <w:b w:val="1"/>
          <w:bCs w:val="1"/>
          <w:color w:val="auto"/>
        </w:rPr>
      </w:pPr>
      <w:r>
        <w:rPr>
          <w:rFonts w:ascii="Arial" w:cs="Arial" w:eastAsia="Arial" w:hAnsi="Arial"/>
          <w:sz w:val="16"/>
          <w:szCs w:val="16"/>
          <w:b w:val="1"/>
          <w:bCs w:val="1"/>
          <w:color w:val="616265"/>
        </w:rPr>
        <w:t>SEVERABILITY</w:t>
      </w:r>
    </w:p>
    <w:p>
      <w:pPr>
        <w:spacing w:after="0" w:line="76" w:lineRule="exact"/>
        <w:rPr>
          <w:rFonts w:ascii="Arial" w:cs="Arial" w:eastAsia="Arial" w:hAnsi="Arial"/>
          <w:sz w:val="16"/>
          <w:szCs w:val="16"/>
          <w:b w:val="1"/>
          <w:bCs w:val="1"/>
          <w:color w:val="auto"/>
        </w:rPr>
      </w:pPr>
    </w:p>
    <w:p>
      <w:pPr>
        <w:ind w:left="332" w:right="240"/>
        <w:spacing w:after="0" w:line="261" w:lineRule="auto"/>
        <w:rPr>
          <w:rFonts w:ascii="Arial" w:cs="Arial" w:eastAsia="Arial" w:hAnsi="Arial"/>
          <w:sz w:val="16"/>
          <w:szCs w:val="16"/>
          <w:b w:val="1"/>
          <w:bCs w:val="1"/>
          <w:color w:val="auto"/>
        </w:rPr>
      </w:pPr>
      <w:r>
        <w:rPr>
          <w:rFonts w:ascii="Arial" w:cs="Arial" w:eastAsia="Arial" w:hAnsi="Arial"/>
          <w:sz w:val="16"/>
          <w:szCs w:val="16"/>
          <w:color w:val="616265"/>
        </w:rPr>
        <w:t>If any provision of this Agreement shall be invalid or unenforceable, such invalidity or unenforceability shall attach only to such provision and shall not in any manner affect or render invalid or unenforceable any other severable provision of this Agreement, and this Agreement shall be carried out as if such invalid or unenforceable provision were not contained herein.</w:t>
      </w:r>
    </w:p>
    <w:p>
      <w:pPr>
        <w:spacing w:after="0" w:line="152" w:lineRule="exact"/>
        <w:rPr>
          <w:rFonts w:ascii="Arial" w:cs="Arial" w:eastAsia="Arial" w:hAnsi="Arial"/>
          <w:sz w:val="16"/>
          <w:szCs w:val="16"/>
          <w:b w:val="1"/>
          <w:bCs w:val="1"/>
          <w:color w:val="auto"/>
        </w:rPr>
      </w:pPr>
    </w:p>
    <w:p>
      <w:pPr>
        <w:ind w:left="332" w:hanging="332"/>
        <w:spacing w:after="0"/>
        <w:tabs>
          <w:tab w:leader="none" w:pos="332" w:val="left"/>
        </w:tabs>
        <w:numPr>
          <w:ilvl w:val="0"/>
          <w:numId w:val="46"/>
        </w:numPr>
        <w:rPr>
          <w:rFonts w:ascii="Arial" w:cs="Arial" w:eastAsia="Arial" w:hAnsi="Arial"/>
          <w:sz w:val="16"/>
          <w:szCs w:val="16"/>
          <w:b w:val="1"/>
          <w:bCs w:val="1"/>
          <w:color w:val="auto"/>
        </w:rPr>
      </w:pPr>
      <w:r>
        <w:rPr>
          <w:rFonts w:ascii="Arial" w:cs="Arial" w:eastAsia="Arial" w:hAnsi="Arial"/>
          <w:sz w:val="16"/>
          <w:szCs w:val="16"/>
          <w:b w:val="1"/>
          <w:bCs w:val="1"/>
          <w:color w:val="616265"/>
        </w:rPr>
        <w:t>CODE SECTION 409A</w:t>
      </w:r>
    </w:p>
    <w:p>
      <w:pPr>
        <w:spacing w:after="0" w:line="76" w:lineRule="exact"/>
        <w:rPr>
          <w:rFonts w:ascii="Arial" w:cs="Arial" w:eastAsia="Arial" w:hAnsi="Arial"/>
          <w:sz w:val="16"/>
          <w:szCs w:val="16"/>
          <w:b w:val="1"/>
          <w:bCs w:val="1"/>
          <w:color w:val="auto"/>
        </w:rPr>
      </w:pPr>
    </w:p>
    <w:p>
      <w:pPr>
        <w:ind w:left="332" w:right="140"/>
        <w:spacing w:after="0" w:line="278" w:lineRule="auto"/>
        <w:rPr>
          <w:rFonts w:ascii="Arial" w:cs="Arial" w:eastAsia="Arial" w:hAnsi="Arial"/>
          <w:sz w:val="16"/>
          <w:szCs w:val="16"/>
          <w:b w:val="1"/>
          <w:bCs w:val="1"/>
          <w:color w:val="auto"/>
        </w:rPr>
      </w:pPr>
      <w:r>
        <w:rPr>
          <w:rFonts w:ascii="Arial" w:cs="Arial" w:eastAsia="Arial" w:hAnsi="Arial"/>
          <w:sz w:val="16"/>
          <w:szCs w:val="16"/>
          <w:color w:val="616265"/>
        </w:rPr>
        <w:t>The Company reserves the right, to the extent the Company deems reasonable or necessary in its sole discretion, to unilaterally amend or modify this Agreement as may be necessary to ensure that all vesting or delivery of Common Stock provided under this Agreement is made in a manner that complies with Section 409A of the Code, together with regulatory guidance issued thereunder.</w:t>
      </w:r>
    </w:p>
    <w:p>
      <w:pPr>
        <w:sectPr>
          <w:pgSz w:w="11900" w:h="16838" w:orient="portrait"/>
          <w:cols w:equalWidth="0" w:num="1">
            <w:col w:w="11392"/>
          </w:cols>
          <w:pgMar w:left="248" w:top="760" w:right="25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color w:val="auto"/>
        </w:rPr>
        <w:t>Exhibit 21.1</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Nordstrom,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Subsidiaries of the Registrant</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60" w:type="dxa"/>
            <w:vAlign w:val="bottom"/>
            <w:gridSpan w:val="2"/>
          </w:tcPr>
          <w:p>
            <w:pPr>
              <w:ind w:left="40"/>
              <w:spacing w:after="0"/>
              <w:rPr>
                <w:sz w:val="20"/>
                <w:szCs w:val="20"/>
                <w:color w:val="auto"/>
              </w:rPr>
            </w:pPr>
            <w:r>
              <w:rPr>
                <w:rFonts w:ascii="Arial" w:cs="Arial" w:eastAsia="Arial" w:hAnsi="Arial"/>
                <w:sz w:val="18"/>
                <w:szCs w:val="18"/>
                <w:color w:val="auto"/>
              </w:rPr>
              <w:t>Name of Subsidiary</w:t>
            </w:r>
          </w:p>
        </w:tc>
        <w:tc>
          <w:tcPr>
            <w:tcW w:w="5460" w:type="dxa"/>
            <w:vAlign w:val="bottom"/>
          </w:tcPr>
          <w:p>
            <w:pPr>
              <w:ind w:left="20"/>
              <w:spacing w:after="0"/>
              <w:rPr>
                <w:sz w:val="20"/>
                <w:szCs w:val="20"/>
                <w:color w:val="auto"/>
              </w:rPr>
            </w:pPr>
            <w:r>
              <w:rPr>
                <w:rFonts w:ascii="Arial" w:cs="Arial" w:eastAsia="Arial" w:hAnsi="Arial"/>
                <w:sz w:val="18"/>
                <w:szCs w:val="18"/>
                <w:color w:val="auto"/>
              </w:rPr>
              <w:t>State of Incorporation</w:t>
            </w:r>
          </w:p>
        </w:tc>
      </w:tr>
      <w:tr>
        <w:trPr>
          <w:trHeight w:val="27"/>
        </w:trPr>
        <w:tc>
          <w:tcPr>
            <w:tcW w:w="5380" w:type="dxa"/>
            <w:vAlign w:val="bottom"/>
            <w:tcBorders>
              <w:bottom w:val="single" w:sz="8" w:color="auto"/>
            </w:tcBorders>
          </w:tcPr>
          <w:p>
            <w:pPr>
              <w:spacing w:after="0"/>
              <w:rPr>
                <w:sz w:val="2"/>
                <w:szCs w:val="2"/>
                <w:color w:val="auto"/>
              </w:rPr>
            </w:pPr>
          </w:p>
        </w:tc>
        <w:tc>
          <w:tcPr>
            <w:tcW w:w="580" w:type="dxa"/>
            <w:vAlign w:val="bottom"/>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r>
      <w:tr>
        <w:trPr>
          <w:trHeight w:val="561"/>
        </w:trPr>
        <w:tc>
          <w:tcPr>
            <w:tcW w:w="5960" w:type="dxa"/>
            <w:vAlign w:val="bottom"/>
            <w:gridSpan w:val="2"/>
          </w:tcPr>
          <w:p>
            <w:pPr>
              <w:ind w:left="40"/>
              <w:spacing w:after="0"/>
              <w:rPr>
                <w:sz w:val="20"/>
                <w:szCs w:val="20"/>
                <w:color w:val="auto"/>
              </w:rPr>
            </w:pPr>
            <w:r>
              <w:rPr>
                <w:rFonts w:ascii="Arial" w:cs="Arial" w:eastAsia="Arial" w:hAnsi="Arial"/>
                <w:sz w:val="18"/>
                <w:szCs w:val="18"/>
                <w:color w:val="auto"/>
              </w:rPr>
              <w:t>Nordstrom fsb</w:t>
            </w:r>
          </w:p>
        </w:tc>
        <w:tc>
          <w:tcPr>
            <w:tcW w:w="5460" w:type="dxa"/>
            <w:vAlign w:val="bottom"/>
          </w:tcPr>
          <w:p>
            <w:pPr>
              <w:ind w:left="20"/>
              <w:spacing w:after="0"/>
              <w:rPr>
                <w:sz w:val="20"/>
                <w:szCs w:val="20"/>
                <w:color w:val="auto"/>
              </w:rPr>
            </w:pPr>
            <w:r>
              <w:rPr>
                <w:rFonts w:ascii="Arial" w:cs="Arial" w:eastAsia="Arial" w:hAnsi="Arial"/>
                <w:sz w:val="18"/>
                <w:szCs w:val="18"/>
                <w:color w:val="auto"/>
              </w:rPr>
              <w:t>Arizona</w:t>
            </w:r>
          </w:p>
        </w:tc>
      </w:tr>
    </w:tbl>
    <w:p>
      <w:pPr>
        <w:sectPr>
          <w:pgSz w:w="11900" w:h="16838" w:orient="portrait"/>
          <w:cols w:equalWidth="0" w:num="1">
            <w:col w:w="11420"/>
          </w:cols>
          <w:pgMar w:left="240" w:top="584" w:right="23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color w:val="auto"/>
        </w:rPr>
        <w:t>Exhibit 31.1</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 required by Section 302(a) of the Sarbanes-Oxley Act of 2002</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I, Blake W. Nordstrom, certify that:</w:t>
      </w:r>
    </w:p>
    <w:p>
      <w:pPr>
        <w:spacing w:after="0" w:line="144" w:lineRule="exact"/>
        <w:rPr>
          <w:sz w:val="20"/>
          <w:szCs w:val="20"/>
          <w:color w:val="auto"/>
        </w:rPr>
      </w:pPr>
    </w:p>
    <w:p>
      <w:pPr>
        <w:ind w:left="180" w:hanging="172"/>
        <w:spacing w:after="0"/>
        <w:tabs>
          <w:tab w:leader="none" w:pos="1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Nordstrom, Inc.;</w:t>
      </w:r>
    </w:p>
    <w:p>
      <w:pPr>
        <w:spacing w:after="0" w:line="144"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2"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9" w:lineRule="exact"/>
        <w:rPr>
          <w:rFonts w:ascii="Arial" w:cs="Arial" w:eastAsia="Arial" w:hAnsi="Arial"/>
          <w:sz w:val="18"/>
          <w:szCs w:val="18"/>
          <w:color w:val="auto"/>
        </w:rPr>
      </w:pPr>
    </w:p>
    <w:p>
      <w:pPr>
        <w:ind w:right="20" w:firstLine="8"/>
        <w:spacing w:after="0" w:line="264" w:lineRule="auto"/>
        <w:tabs>
          <w:tab w:leader="none" w:pos="1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0" w:lineRule="exact"/>
        <w:rPr>
          <w:rFonts w:ascii="Arial" w:cs="Arial" w:eastAsia="Arial" w:hAnsi="Arial"/>
          <w:sz w:val="18"/>
          <w:szCs w:val="18"/>
          <w:color w:val="auto"/>
        </w:rPr>
      </w:pPr>
    </w:p>
    <w:p>
      <w:pPr>
        <w:ind w:left="660" w:right="20" w:hanging="4"/>
        <w:spacing w:after="0" w:line="264" w:lineRule="auto"/>
        <w:tabs>
          <w:tab w:leader="none" w:pos="845"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0" w:lineRule="exact"/>
        <w:rPr>
          <w:rFonts w:ascii="Arial" w:cs="Arial" w:eastAsia="Arial" w:hAnsi="Arial"/>
          <w:sz w:val="18"/>
          <w:szCs w:val="18"/>
          <w:color w:val="auto"/>
        </w:rPr>
      </w:pPr>
    </w:p>
    <w:p>
      <w:pPr>
        <w:ind w:left="660" w:right="240" w:hanging="4"/>
        <w:spacing w:after="0" w:line="264" w:lineRule="auto"/>
        <w:tabs>
          <w:tab w:leader="none" w:pos="855"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0" w:lineRule="exact"/>
        <w:rPr>
          <w:rFonts w:ascii="Arial" w:cs="Arial" w:eastAsia="Arial" w:hAnsi="Arial"/>
          <w:sz w:val="18"/>
          <w:szCs w:val="18"/>
          <w:color w:val="auto"/>
        </w:rPr>
      </w:pPr>
    </w:p>
    <w:p>
      <w:pPr>
        <w:ind w:left="660" w:right="880" w:hanging="4"/>
        <w:spacing w:after="0" w:line="342" w:lineRule="auto"/>
        <w:tabs>
          <w:tab w:leader="none" w:pos="845" w:val="left"/>
        </w:tabs>
        <w:numPr>
          <w:ilvl w:val="1"/>
          <w:numId w:val="4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2" w:lineRule="exact"/>
        <w:rPr>
          <w:rFonts w:ascii="Arial" w:cs="Arial" w:eastAsia="Arial" w:hAnsi="Arial"/>
          <w:sz w:val="16"/>
          <w:szCs w:val="16"/>
          <w:color w:val="auto"/>
        </w:rPr>
      </w:pPr>
    </w:p>
    <w:p>
      <w:pPr>
        <w:ind w:left="660" w:right="260" w:hanging="4"/>
        <w:spacing w:after="0" w:line="264" w:lineRule="auto"/>
        <w:tabs>
          <w:tab w:leader="none" w:pos="855" w:val="left"/>
        </w:tabs>
        <w:numPr>
          <w:ilvl w:val="1"/>
          <w:numId w:val="4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0" w:lineRule="exact"/>
        <w:rPr>
          <w:rFonts w:ascii="Arial" w:cs="Arial" w:eastAsia="Arial" w:hAnsi="Arial"/>
          <w:sz w:val="18"/>
          <w:szCs w:val="18"/>
          <w:color w:val="auto"/>
        </w:rPr>
      </w:pPr>
    </w:p>
    <w:p>
      <w:pPr>
        <w:ind w:right="640" w:firstLine="8"/>
        <w:spacing w:after="0" w:line="308" w:lineRule="auto"/>
        <w:tabs>
          <w:tab w:leader="none" w:pos="1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5" w:lineRule="exact"/>
        <w:rPr>
          <w:rFonts w:ascii="Arial" w:cs="Arial" w:eastAsia="Arial" w:hAnsi="Arial"/>
          <w:sz w:val="17"/>
          <w:szCs w:val="17"/>
          <w:color w:val="auto"/>
        </w:rPr>
      </w:pPr>
    </w:p>
    <w:p>
      <w:pPr>
        <w:ind w:left="660" w:right="260" w:hanging="4"/>
        <w:spacing w:after="0" w:line="277" w:lineRule="auto"/>
        <w:tabs>
          <w:tab w:leader="none" w:pos="845" w:val="left"/>
        </w:tabs>
        <w:numPr>
          <w:ilvl w:val="1"/>
          <w:numId w:val="4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9" w:lineRule="exact"/>
        <w:rPr>
          <w:rFonts w:ascii="Arial" w:cs="Arial" w:eastAsia="Arial" w:hAnsi="Arial"/>
          <w:sz w:val="18"/>
          <w:szCs w:val="18"/>
          <w:color w:val="auto"/>
        </w:rPr>
      </w:pPr>
    </w:p>
    <w:p>
      <w:pPr>
        <w:ind w:left="660" w:right="220" w:hanging="4"/>
        <w:spacing w:after="0" w:line="277" w:lineRule="auto"/>
        <w:tabs>
          <w:tab w:leader="none" w:pos="855" w:val="left"/>
        </w:tabs>
        <w:numPr>
          <w:ilvl w:val="1"/>
          <w:numId w:val="4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Date: March 20, 2017</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220"/>
        <w:spacing w:after="0"/>
        <w:rPr>
          <w:sz w:val="20"/>
          <w:szCs w:val="20"/>
          <w:color w:val="auto"/>
        </w:rPr>
      </w:pPr>
      <w:r>
        <w:rPr>
          <w:rFonts w:ascii="Arial" w:cs="Arial" w:eastAsia="Arial" w:hAnsi="Arial"/>
          <w:sz w:val="18"/>
          <w:szCs w:val="18"/>
          <w:u w:val="single" w:color="auto"/>
          <w:color w:val="auto"/>
        </w:rPr>
        <w:t>/s/ Blake W. Nordstrom</w:t>
      </w:r>
    </w:p>
    <w:p>
      <w:pPr>
        <w:spacing w:after="0" w:line="63"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Blake W. Nordstrom</w:t>
      </w:r>
    </w:p>
    <w:p>
      <w:pPr>
        <w:spacing w:after="0" w:line="63"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Co-President of Nordstrom, Inc.</w:t>
      </w:r>
    </w:p>
    <w:p>
      <w:pPr>
        <w:sectPr>
          <w:pgSz w:w="11900" w:h="16838" w:orient="portrait"/>
          <w:cols w:equalWidth="0" w:num="1">
            <w:col w:w="11420"/>
          </w:cols>
          <w:pgMar w:left="240" w:top="584" w:right="239"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color w:val="auto"/>
        </w:rPr>
        <w:t>Exhibit 31.2</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 required by Section 302(a) of the Sarbanes-Oxley Act of 2002</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I, Michael G. Koppel, certify that:</w:t>
      </w:r>
    </w:p>
    <w:p>
      <w:pPr>
        <w:spacing w:after="0" w:line="144" w:lineRule="exact"/>
        <w:rPr>
          <w:sz w:val="20"/>
          <w:szCs w:val="20"/>
          <w:color w:val="auto"/>
        </w:rPr>
      </w:pPr>
    </w:p>
    <w:p>
      <w:pPr>
        <w:ind w:left="180" w:hanging="172"/>
        <w:spacing w:after="0"/>
        <w:tabs>
          <w:tab w:leader="none" w:pos="1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Nordstrom, Inc.;</w:t>
      </w:r>
    </w:p>
    <w:p>
      <w:pPr>
        <w:spacing w:after="0" w:line="144"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2"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9" w:lineRule="exact"/>
        <w:rPr>
          <w:rFonts w:ascii="Arial" w:cs="Arial" w:eastAsia="Arial" w:hAnsi="Arial"/>
          <w:sz w:val="18"/>
          <w:szCs w:val="18"/>
          <w:color w:val="auto"/>
        </w:rPr>
      </w:pPr>
    </w:p>
    <w:p>
      <w:pPr>
        <w:ind w:right="20" w:firstLine="8"/>
        <w:spacing w:after="0" w:line="264" w:lineRule="auto"/>
        <w:tabs>
          <w:tab w:leader="none" w:pos="1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0" w:lineRule="exact"/>
        <w:rPr>
          <w:rFonts w:ascii="Arial" w:cs="Arial" w:eastAsia="Arial" w:hAnsi="Arial"/>
          <w:sz w:val="18"/>
          <w:szCs w:val="18"/>
          <w:color w:val="auto"/>
        </w:rPr>
      </w:pPr>
    </w:p>
    <w:p>
      <w:pPr>
        <w:ind w:left="660" w:right="20" w:hanging="4"/>
        <w:spacing w:after="0" w:line="264" w:lineRule="auto"/>
        <w:tabs>
          <w:tab w:leader="none" w:pos="845"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0" w:lineRule="exact"/>
        <w:rPr>
          <w:rFonts w:ascii="Arial" w:cs="Arial" w:eastAsia="Arial" w:hAnsi="Arial"/>
          <w:sz w:val="18"/>
          <w:szCs w:val="18"/>
          <w:color w:val="auto"/>
        </w:rPr>
      </w:pPr>
    </w:p>
    <w:p>
      <w:pPr>
        <w:ind w:left="660" w:right="240" w:hanging="4"/>
        <w:spacing w:after="0" w:line="264" w:lineRule="auto"/>
        <w:tabs>
          <w:tab w:leader="none" w:pos="855"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0" w:lineRule="exact"/>
        <w:rPr>
          <w:rFonts w:ascii="Arial" w:cs="Arial" w:eastAsia="Arial" w:hAnsi="Arial"/>
          <w:sz w:val="18"/>
          <w:szCs w:val="18"/>
          <w:color w:val="auto"/>
        </w:rPr>
      </w:pPr>
    </w:p>
    <w:p>
      <w:pPr>
        <w:ind w:left="660" w:right="880" w:hanging="4"/>
        <w:spacing w:after="0" w:line="342" w:lineRule="auto"/>
        <w:tabs>
          <w:tab w:leader="none" w:pos="845" w:val="left"/>
        </w:tabs>
        <w:numPr>
          <w:ilvl w:val="1"/>
          <w:numId w:val="4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2" w:lineRule="exact"/>
        <w:rPr>
          <w:rFonts w:ascii="Arial" w:cs="Arial" w:eastAsia="Arial" w:hAnsi="Arial"/>
          <w:sz w:val="16"/>
          <w:szCs w:val="16"/>
          <w:color w:val="auto"/>
        </w:rPr>
      </w:pPr>
    </w:p>
    <w:p>
      <w:pPr>
        <w:ind w:left="660" w:right="260" w:hanging="4"/>
        <w:spacing w:after="0" w:line="264" w:lineRule="auto"/>
        <w:tabs>
          <w:tab w:leader="none" w:pos="855" w:val="left"/>
        </w:tabs>
        <w:numPr>
          <w:ilvl w:val="1"/>
          <w:numId w:val="4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0" w:lineRule="exact"/>
        <w:rPr>
          <w:rFonts w:ascii="Arial" w:cs="Arial" w:eastAsia="Arial" w:hAnsi="Arial"/>
          <w:sz w:val="18"/>
          <w:szCs w:val="18"/>
          <w:color w:val="auto"/>
        </w:rPr>
      </w:pPr>
    </w:p>
    <w:p>
      <w:pPr>
        <w:ind w:right="640" w:firstLine="8"/>
        <w:spacing w:after="0" w:line="308" w:lineRule="auto"/>
        <w:tabs>
          <w:tab w:leader="none" w:pos="18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5" w:lineRule="exact"/>
        <w:rPr>
          <w:rFonts w:ascii="Arial" w:cs="Arial" w:eastAsia="Arial" w:hAnsi="Arial"/>
          <w:sz w:val="17"/>
          <w:szCs w:val="17"/>
          <w:color w:val="auto"/>
        </w:rPr>
      </w:pPr>
    </w:p>
    <w:p>
      <w:pPr>
        <w:ind w:left="660" w:right="260" w:hanging="4"/>
        <w:spacing w:after="0" w:line="277" w:lineRule="auto"/>
        <w:tabs>
          <w:tab w:leader="none" w:pos="845" w:val="left"/>
        </w:tabs>
        <w:numPr>
          <w:ilvl w:val="1"/>
          <w:numId w:val="4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9" w:lineRule="exact"/>
        <w:rPr>
          <w:rFonts w:ascii="Arial" w:cs="Arial" w:eastAsia="Arial" w:hAnsi="Arial"/>
          <w:sz w:val="18"/>
          <w:szCs w:val="18"/>
          <w:color w:val="auto"/>
        </w:rPr>
      </w:pPr>
    </w:p>
    <w:p>
      <w:pPr>
        <w:ind w:left="660" w:right="220" w:hanging="4"/>
        <w:spacing w:after="0" w:line="277" w:lineRule="auto"/>
        <w:tabs>
          <w:tab w:leader="none" w:pos="855" w:val="left"/>
        </w:tabs>
        <w:numPr>
          <w:ilvl w:val="1"/>
          <w:numId w:val="4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Date: March 20, 2017</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220"/>
        <w:spacing w:after="0"/>
        <w:rPr>
          <w:sz w:val="20"/>
          <w:szCs w:val="20"/>
          <w:color w:val="auto"/>
        </w:rPr>
      </w:pPr>
      <w:r>
        <w:rPr>
          <w:rFonts w:ascii="Arial" w:cs="Arial" w:eastAsia="Arial" w:hAnsi="Arial"/>
          <w:sz w:val="18"/>
          <w:szCs w:val="18"/>
          <w:u w:val="single" w:color="auto"/>
          <w:color w:val="auto"/>
        </w:rPr>
        <w:t>/s/ Michael G. Koppel</w:t>
      </w:r>
    </w:p>
    <w:p>
      <w:pPr>
        <w:spacing w:after="0" w:line="63"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Michael G. Koppel</w:t>
      </w:r>
    </w:p>
    <w:p>
      <w:pPr>
        <w:spacing w:after="0" w:line="63"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Executive Vice President and</w:t>
      </w:r>
    </w:p>
    <w:p>
      <w:pPr>
        <w:spacing w:after="0" w:line="63"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Chief Financial Officer of</w:t>
      </w:r>
    </w:p>
    <w:p>
      <w:pPr>
        <w:spacing w:after="0" w:line="2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Nordstrom, Inc.</w:t>
      </w:r>
    </w:p>
    <w:p>
      <w:pPr>
        <w:sectPr>
          <w:pgSz w:w="11900" w:h="16838" w:orient="portrait"/>
          <w:cols w:equalWidth="0" w:num="1">
            <w:col w:w="11420"/>
          </w:cols>
          <w:pgMar w:left="240" w:top="584" w:right="23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color w:val="auto"/>
        </w:rPr>
        <w:t>Exhibit 32.1</w:t>
      </w:r>
    </w:p>
    <w:p>
      <w:pPr>
        <w:spacing w:after="0" w:line="334" w:lineRule="exact"/>
        <w:rPr>
          <w:sz w:val="20"/>
          <w:szCs w:val="20"/>
          <w:color w:val="auto"/>
        </w:rPr>
      </w:pPr>
    </w:p>
    <w:p>
      <w:pPr>
        <w:ind w:left="4720"/>
        <w:spacing w:after="0"/>
        <w:rPr>
          <w:sz w:val="20"/>
          <w:szCs w:val="20"/>
          <w:color w:val="auto"/>
        </w:rPr>
      </w:pPr>
      <w:r>
        <w:rPr>
          <w:rFonts w:ascii="Arial" w:cs="Arial" w:eastAsia="Arial" w:hAnsi="Arial"/>
          <w:sz w:val="22"/>
          <w:szCs w:val="22"/>
          <w:b w:val="1"/>
          <w:bCs w:val="1"/>
          <w:color w:val="auto"/>
        </w:rPr>
        <w:t>NORDSTROM, INC.</w:t>
      </w:r>
    </w:p>
    <w:p>
      <w:pPr>
        <w:spacing w:after="0" w:line="166" w:lineRule="exact"/>
        <w:rPr>
          <w:sz w:val="20"/>
          <w:szCs w:val="20"/>
          <w:color w:val="auto"/>
        </w:rPr>
      </w:pPr>
    </w:p>
    <w:p>
      <w:pPr>
        <w:ind w:left="4660"/>
        <w:spacing w:after="0"/>
        <w:rPr>
          <w:sz w:val="20"/>
          <w:szCs w:val="20"/>
          <w:color w:val="auto"/>
        </w:rPr>
      </w:pPr>
      <w:r>
        <w:rPr>
          <w:rFonts w:ascii="Arial" w:cs="Arial" w:eastAsia="Arial" w:hAnsi="Arial"/>
          <w:sz w:val="22"/>
          <w:szCs w:val="22"/>
          <w:b w:val="1"/>
          <w:bCs w:val="1"/>
          <w:color w:val="auto"/>
        </w:rPr>
        <w:t>1617 SIXTH AVENUE</w:t>
      </w:r>
    </w:p>
    <w:p>
      <w:pPr>
        <w:spacing w:after="0" w:line="166" w:lineRule="exact"/>
        <w:rPr>
          <w:sz w:val="20"/>
          <w:szCs w:val="20"/>
          <w:color w:val="auto"/>
        </w:rPr>
      </w:pPr>
    </w:p>
    <w:p>
      <w:pPr>
        <w:ind w:left="4120"/>
        <w:spacing w:after="0"/>
        <w:rPr>
          <w:sz w:val="20"/>
          <w:szCs w:val="20"/>
          <w:color w:val="auto"/>
        </w:rPr>
      </w:pPr>
      <w:r>
        <w:rPr>
          <w:rFonts w:ascii="Arial" w:cs="Arial" w:eastAsia="Arial" w:hAnsi="Arial"/>
          <w:sz w:val="22"/>
          <w:szCs w:val="22"/>
          <w:b w:val="1"/>
          <w:bCs w:val="1"/>
          <w:color w:val="auto"/>
        </w:rPr>
        <w:t>SEATTLE, WASHINGTON 98101</w:t>
      </w:r>
    </w:p>
    <w:p>
      <w:pPr>
        <w:spacing w:after="0" w:line="166" w:lineRule="exact"/>
        <w:rPr>
          <w:sz w:val="20"/>
          <w:szCs w:val="20"/>
          <w:color w:val="auto"/>
        </w:rPr>
      </w:pPr>
    </w:p>
    <w:p>
      <w:pPr>
        <w:ind w:left="4040"/>
        <w:spacing w:after="0"/>
        <w:rPr>
          <w:sz w:val="20"/>
          <w:szCs w:val="20"/>
          <w:color w:val="auto"/>
        </w:rPr>
      </w:pPr>
      <w:r>
        <w:rPr>
          <w:rFonts w:ascii="Arial" w:cs="Arial" w:eastAsia="Arial" w:hAnsi="Arial"/>
          <w:sz w:val="22"/>
          <w:szCs w:val="22"/>
          <w:b w:val="1"/>
          <w:bCs w:val="1"/>
          <w:color w:val="auto"/>
        </w:rPr>
        <w:t>CERTIFICATION PURSUANT TO</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18 U.S.C. SECTION 1350,</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AS ADOPTED PURSUANT 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SECTION 906 OF THE SARBANES-OXLEY ACT OF 2002</w:t>
      </w:r>
    </w:p>
    <w:p>
      <w:pPr>
        <w:spacing w:after="0" w:line="141"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In connection with the Annual Report of Nordstrom, Inc. (the “Company”) on Form 10-K for the period ended January 28, 2017, as filed with the Securities and Exchange Commission on the date hereof (the “Report”), we, Blake W. Nordstrom, Co-President (Principal Executive Officer), and Michael G. Koppel, Executive Vice President and Chief Financial Officer (Principal Financial Officer), of the Company, certify, pursuant to 18 U.S.C. Section 1350, as adopted pursuant to Section 906 of the Sarbanes-Oxley Act of 2002, that:</w:t>
      </w:r>
    </w:p>
    <w:p>
      <w:pPr>
        <w:spacing w:after="0" w:line="133" w:lineRule="exact"/>
        <w:rPr>
          <w:sz w:val="20"/>
          <w:szCs w:val="20"/>
          <w:color w:val="auto"/>
        </w:rPr>
      </w:pPr>
    </w:p>
    <w:p>
      <w:pPr>
        <w:ind w:left="980" w:hanging="324"/>
        <w:spacing w:after="0"/>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63" w:lineRule="exact"/>
        <w:rPr>
          <w:rFonts w:ascii="Arial" w:cs="Arial" w:eastAsia="Arial" w:hAnsi="Arial"/>
          <w:sz w:val="18"/>
          <w:szCs w:val="18"/>
          <w:color w:val="auto"/>
        </w:rPr>
      </w:pPr>
    </w:p>
    <w:p>
      <w:pPr>
        <w:ind w:left="980" w:right="780" w:hanging="324"/>
        <w:spacing w:after="0" w:line="277" w:lineRule="auto"/>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16"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March 20, 2017</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580"/>
        <w:spacing w:after="0"/>
        <w:rPr>
          <w:sz w:val="20"/>
          <w:szCs w:val="20"/>
          <w:color w:val="auto"/>
        </w:rPr>
      </w:pPr>
      <w:r>
        <w:rPr>
          <w:rFonts w:ascii="Arial" w:cs="Arial" w:eastAsia="Arial" w:hAnsi="Arial"/>
          <w:sz w:val="18"/>
          <w:szCs w:val="18"/>
          <w:u w:val="single" w:color="auto"/>
          <w:color w:val="auto"/>
        </w:rPr>
        <w:t>/s/ Blake W. Nordstrom</w:t>
      </w:r>
    </w:p>
    <w:p>
      <w:pPr>
        <w:spacing w:after="0" w:line="6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Blake W. Nordstrom</w:t>
      </w:r>
    </w:p>
    <w:p>
      <w:pPr>
        <w:spacing w:after="0" w:line="6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Co-President of Nordstrom, Inc.</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580"/>
        <w:spacing w:after="0"/>
        <w:rPr>
          <w:sz w:val="20"/>
          <w:szCs w:val="20"/>
          <w:color w:val="auto"/>
        </w:rPr>
      </w:pPr>
      <w:r>
        <w:rPr>
          <w:rFonts w:ascii="Arial" w:cs="Arial" w:eastAsia="Arial" w:hAnsi="Arial"/>
          <w:sz w:val="18"/>
          <w:szCs w:val="18"/>
          <w:u w:val="single" w:color="auto"/>
          <w:color w:val="auto"/>
        </w:rPr>
        <w:t>/s/ Michael G. Koppel</w:t>
      </w:r>
    </w:p>
    <w:p>
      <w:pPr>
        <w:spacing w:after="0" w:line="6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Michael G. Koppel</w:t>
      </w:r>
    </w:p>
    <w:p>
      <w:pPr>
        <w:spacing w:after="0" w:line="6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Executive Vice President and</w:t>
      </w:r>
    </w:p>
    <w:p>
      <w:pPr>
        <w:spacing w:after="0" w:line="6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Chief Financial Officer of Nordstrom, Inc.</w:t>
      </w:r>
    </w:p>
    <w:p>
      <w:pPr>
        <w:spacing w:after="0" w:line="252"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Nordstrom, Inc. and will be retained by Nordstrom, Inc. and furnished to the Securities and Exchange Commission or its staff upon request.</w:t>
      </w:r>
    </w:p>
    <w:sectPr>
      <w:pgSz w:w="11900" w:h="16838" w:orient="portrait"/>
      <w:cols w:equalWidth="0" w:num="1">
        <w:col w:w="11420"/>
      </w:cols>
      <w:pgMar w:left="240" w:top="58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838CB2"/>
    <w:multiLevelType w:val="hybridMultilevel"/>
    <w:lvl w:ilvl="0">
      <w:lvlJc w:val="left"/>
      <w:lvlText w:val="☑"/>
      <w:numFmt w:val="bullet"/>
      <w:start w:val="1"/>
    </w:lvl>
  </w:abstractNum>
  <w:abstractNum w:abstractNumId="1">
    <w:nsid w:val="4353D0CD"/>
    <w:multiLevelType w:val="hybridMultilevel"/>
    <w:lvl w:ilvl="0">
      <w:lvlJc w:val="left"/>
      <w:lvlText w:val="☐"/>
      <w:numFmt w:val="bullet"/>
      <w:start w:val="1"/>
    </w:lvl>
  </w:abstractNum>
  <w:abstractNum w:abstractNumId="2">
    <w:nsid w:val="B03E0C6"/>
    <w:multiLevelType w:val="hybridMultilevel"/>
    <w:lvl w:ilvl="0">
      <w:lvlJc w:val="left"/>
      <w:lvlText w:val="•"/>
      <w:numFmt w:val="bullet"/>
      <w:start w:val="1"/>
    </w:lvl>
  </w:abstractNum>
  <w:abstractNum w:abstractNumId="3">
    <w:nsid w:val="189A769B"/>
    <w:multiLevelType w:val="hybridMultilevel"/>
    <w:lvl w:ilvl="0">
      <w:lvlJc w:val="left"/>
      <w:lvlText w:val="•"/>
      <w:numFmt w:val="bullet"/>
      <w:start w:val="1"/>
    </w:lvl>
  </w:abstractNum>
  <w:abstractNum w:abstractNumId="4">
    <w:nsid w:val="54E49EB4"/>
    <w:multiLevelType w:val="hybridMultilevel"/>
    <w:lvl w:ilvl="0">
      <w:lvlJc w:val="left"/>
      <w:lvlText w:val="•"/>
      <w:numFmt w:val="bullet"/>
      <w:start w:val="1"/>
    </w:lvl>
  </w:abstractNum>
  <w:abstractNum w:abstractNumId="5">
    <w:nsid w:val="71F32454"/>
    <w:multiLevelType w:val="hybridMultilevel"/>
    <w:lvl w:ilvl="0">
      <w:lvlJc w:val="left"/>
      <w:lvlText w:val="•"/>
      <w:numFmt w:val="bullet"/>
      <w:start w:val="1"/>
    </w:lvl>
  </w:abstractNum>
  <w:abstractNum w:abstractNumId="6">
    <w:nsid w:val="2CA88611"/>
    <w:multiLevelType w:val="hybridMultilevel"/>
    <w:lvl w:ilvl="0">
      <w:lvlJc w:val="left"/>
      <w:lvlText w:val="(%1)"/>
      <w:numFmt w:val="decimal"/>
      <w:start w:val="206"/>
    </w:lvl>
  </w:abstractNum>
  <w:abstractNum w:abstractNumId="7">
    <w:nsid w:val="836C40E"/>
    <w:multiLevelType w:val="hybridMultilevel"/>
    <w:lvl w:ilvl="0">
      <w:lvlJc w:val="left"/>
      <w:lvlText w:val="1"/>
      <w:numFmt w:val="bullet"/>
      <w:start w:val="1"/>
    </w:lvl>
  </w:abstractNum>
  <w:abstractNum w:abstractNumId="8">
    <w:nsid w:val="2901D82"/>
    <w:multiLevelType w:val="hybridMultilevel"/>
    <w:lvl w:ilvl="0">
      <w:lvlJc w:val="left"/>
      <w:lvlText w:val="%"/>
      <w:numFmt w:val="bullet"/>
      <w:start w:val="1"/>
    </w:lvl>
  </w:abstractNum>
  <w:abstractNum w:abstractNumId="9">
    <w:nsid w:val="3A95F874"/>
    <w:multiLevelType w:val="hybridMultilevel"/>
    <w:lvl w:ilvl="0">
      <w:lvlJc w:val="left"/>
      <w:lvlText w:val="1"/>
      <w:numFmt w:val="bullet"/>
      <w:start w:val="1"/>
    </w:lvl>
  </w:abstractNum>
  <w:abstractNum w:abstractNumId="10">
    <w:nsid w:val="8138641"/>
    <w:multiLevelType w:val="hybridMultilevel"/>
    <w:lvl w:ilvl="0">
      <w:lvlJc w:val="left"/>
      <w:lvlText w:val="1"/>
      <w:numFmt w:val="bullet"/>
      <w:start w:val="1"/>
    </w:lvl>
  </w:abstractNum>
  <w:abstractNum w:abstractNumId="11">
    <w:nsid w:val="1E7FF521"/>
    <w:multiLevelType w:val="hybridMultilevel"/>
    <w:lvl w:ilvl="0">
      <w:lvlJc w:val="left"/>
      <w:lvlText w:val="2"/>
      <w:numFmt w:val="bullet"/>
      <w:start w:val="1"/>
    </w:lvl>
  </w:abstractNum>
  <w:abstractNum w:abstractNumId="12">
    <w:nsid w:val="7C3DBD3D"/>
    <w:multiLevelType w:val="hybridMultilevel"/>
    <w:lvl w:ilvl="0">
      <w:lvlJc w:val="left"/>
      <w:lvlText w:val="•"/>
      <w:numFmt w:val="bullet"/>
      <w:start w:val="1"/>
    </w:lvl>
  </w:abstractNum>
  <w:abstractNum w:abstractNumId="13">
    <w:nsid w:val="737B8DDC"/>
    <w:multiLevelType w:val="hybridMultilevel"/>
    <w:lvl w:ilvl="0">
      <w:lvlJc w:val="left"/>
      <w:lvlText w:val="•"/>
      <w:numFmt w:val="bullet"/>
      <w:start w:val="1"/>
    </w:lvl>
  </w:abstractNum>
  <w:abstractNum w:abstractNumId="14">
    <w:nsid w:val="6CEAF087"/>
    <w:multiLevelType w:val="hybridMultilevel"/>
    <w:lvl w:ilvl="0">
      <w:lvlJc w:val="left"/>
      <w:lvlText w:val="1"/>
      <w:numFmt w:val="bullet"/>
      <w:start w:val="1"/>
    </w:lvl>
  </w:abstractNum>
  <w:abstractNum w:abstractNumId="15">
    <w:nsid w:val="22221A70"/>
    <w:multiLevelType w:val="hybridMultilevel"/>
    <w:lvl w:ilvl="0">
      <w:lvlJc w:val="left"/>
      <w:lvlText w:val="2"/>
      <w:numFmt w:val="bullet"/>
      <w:start w:val="1"/>
    </w:lvl>
  </w:abstractNum>
  <w:abstractNum w:abstractNumId="16">
    <w:nsid w:val="4516DDE9"/>
    <w:multiLevelType w:val="hybridMultilevel"/>
    <w:lvl w:ilvl="0">
      <w:lvlJc w:val="left"/>
      <w:lvlText w:val="3"/>
      <w:numFmt w:val="bullet"/>
      <w:start w:val="1"/>
    </w:lvl>
  </w:abstractNum>
  <w:abstractNum w:abstractNumId="17">
    <w:nsid w:val="3006C83E"/>
    <w:multiLevelType w:val="hybridMultilevel"/>
    <w:lvl w:ilvl="0">
      <w:lvlJc w:val="left"/>
      <w:lvlText w:val="•"/>
      <w:numFmt w:val="bullet"/>
      <w:start w:val="1"/>
    </w:lvl>
  </w:abstractNum>
  <w:abstractNum w:abstractNumId="18">
    <w:nsid w:val="614FD4A1"/>
    <w:multiLevelType w:val="hybridMultilevel"/>
    <w:lvl w:ilvl="0">
      <w:lvlJc w:val="left"/>
      <w:lvlText w:val="•"/>
      <w:numFmt w:val="bullet"/>
      <w:start w:val="1"/>
    </w:lvl>
  </w:abstractNum>
  <w:abstractNum w:abstractNumId="19">
    <w:nsid w:val="419AC241"/>
    <w:multiLevelType w:val="hybridMultilevel"/>
    <w:lvl w:ilvl="0">
      <w:lvlJc w:val="left"/>
      <w:lvlText w:val="1"/>
      <w:numFmt w:val="bullet"/>
      <w:start w:val="1"/>
    </w:lvl>
  </w:abstractNum>
  <w:abstractNum w:abstractNumId="20">
    <w:nsid w:val="5577F8E1"/>
    <w:multiLevelType w:val="hybridMultilevel"/>
    <w:lvl w:ilvl="0">
      <w:lvlJc w:val="left"/>
      <w:lvlText w:val="1"/>
      <w:numFmt w:val="bullet"/>
      <w:start w:val="1"/>
    </w:lvl>
  </w:abstractNum>
  <w:abstractNum w:abstractNumId="21">
    <w:nsid w:val="440BADFC"/>
    <w:multiLevelType w:val="hybridMultilevel"/>
    <w:lvl w:ilvl="0">
      <w:lvlJc w:val="left"/>
      <w:lvlText w:val="1"/>
      <w:numFmt w:val="bullet"/>
      <w:start w:val="1"/>
    </w:lvl>
  </w:abstractNum>
  <w:abstractNum w:abstractNumId="22">
    <w:nsid w:val="5072367"/>
    <w:multiLevelType w:val="hybridMultilevel"/>
    <w:lvl w:ilvl="0">
      <w:lvlJc w:val="left"/>
      <w:lvlText w:val="1"/>
      <w:numFmt w:val="bullet"/>
      <w:start w:val="1"/>
    </w:lvl>
  </w:abstractNum>
  <w:abstractNum w:abstractNumId="23">
    <w:nsid w:val="3804823E"/>
    <w:multiLevelType w:val="hybridMultilevel"/>
    <w:lvl w:ilvl="0">
      <w:lvlJc w:val="left"/>
      <w:lvlText w:val="1"/>
      <w:numFmt w:val="bullet"/>
      <w:start w:val="1"/>
    </w:lvl>
  </w:abstractNum>
  <w:abstractNum w:abstractNumId="24">
    <w:nsid w:val="77465F01"/>
    <w:multiLevelType w:val="hybridMultilevel"/>
    <w:lvl w:ilvl="0">
      <w:lvlJc w:val="left"/>
      <w:lvlText w:val="1"/>
      <w:numFmt w:val="bullet"/>
      <w:start w:val="1"/>
    </w:lvl>
  </w:abstractNum>
  <w:abstractNum w:abstractNumId="25">
    <w:nsid w:val="7724C67E"/>
    <w:multiLevelType w:val="hybridMultilevel"/>
    <w:lvl w:ilvl="0">
      <w:lvlJc w:val="left"/>
      <w:lvlText w:val="2"/>
      <w:numFmt w:val="bullet"/>
      <w:start w:val="1"/>
    </w:lvl>
  </w:abstractNum>
  <w:abstractNum w:abstractNumId="26">
    <w:nsid w:val="5C482A97"/>
    <w:multiLevelType w:val="hybridMultilevel"/>
    <w:lvl w:ilvl="0">
      <w:lvlJc w:val="left"/>
      <w:lvlText w:val="3"/>
      <w:numFmt w:val="bullet"/>
      <w:start w:val="1"/>
    </w:lvl>
  </w:abstractNum>
  <w:abstractNum w:abstractNumId="27">
    <w:nsid w:val="2463B9EA"/>
    <w:multiLevelType w:val="hybridMultilevel"/>
    <w:lvl w:ilvl="0">
      <w:lvlJc w:val="left"/>
      <w:lvlText w:val="1"/>
      <w:numFmt w:val="bullet"/>
      <w:start w:val="1"/>
    </w:lvl>
  </w:abstractNum>
  <w:abstractNum w:abstractNumId="28">
    <w:nsid w:val="5E884ADC"/>
    <w:multiLevelType w:val="hybridMultilevel"/>
    <w:lvl w:ilvl="0">
      <w:lvlJc w:val="left"/>
      <w:lvlText w:val="1"/>
      <w:numFmt w:val="bullet"/>
      <w:start w:val="1"/>
    </w:lvl>
  </w:abstractNum>
  <w:abstractNum w:abstractNumId="29">
    <w:nsid w:val="51EAD36B"/>
    <w:multiLevelType w:val="hybridMultilevel"/>
    <w:lvl w:ilvl="0">
      <w:lvlJc w:val="left"/>
      <w:lvlText w:val="2"/>
      <w:numFmt w:val="bullet"/>
      <w:start w:val="1"/>
    </w:lvl>
  </w:abstractNum>
  <w:abstractNum w:abstractNumId="30">
    <w:nsid w:val="2D517796"/>
    <w:multiLevelType w:val="hybridMultilevel"/>
    <w:lvl w:ilvl="0">
      <w:lvlJc w:val="left"/>
      <w:lvlText w:val="1"/>
      <w:numFmt w:val="bullet"/>
      <w:start w:val="1"/>
    </w:lvl>
  </w:abstractNum>
  <w:abstractNum w:abstractNumId="31">
    <w:nsid w:val="580BD78F"/>
    <w:multiLevelType w:val="hybridMultilevel"/>
    <w:lvl w:ilvl="0">
      <w:lvlJc w:val="left"/>
      <w:lvlText w:val="2"/>
      <w:numFmt w:val="bullet"/>
      <w:start w:val="1"/>
    </w:lvl>
  </w:abstractNum>
  <w:abstractNum w:abstractNumId="32">
    <w:nsid w:val="153EA438"/>
    <w:multiLevelType w:val="hybridMultilevel"/>
    <w:lvl w:ilvl="0">
      <w:lvlJc w:val="left"/>
      <w:lvlText w:val="3"/>
      <w:numFmt w:val="bullet"/>
      <w:start w:val="1"/>
    </w:lvl>
  </w:abstractNum>
  <w:abstractNum w:abstractNumId="33">
    <w:nsid w:val="3855585C"/>
    <w:multiLevelType w:val="hybridMultilevel"/>
    <w:lvl w:ilvl="0">
      <w:lvlJc w:val="left"/>
      <w:lvlText w:val="1"/>
      <w:numFmt w:val="bullet"/>
      <w:start w:val="1"/>
    </w:lvl>
  </w:abstractNum>
  <w:abstractNum w:abstractNumId="34">
    <w:nsid w:val="70A64E2A"/>
    <w:multiLevelType w:val="hybridMultilevel"/>
    <w:lvl w:ilvl="0">
      <w:lvlJc w:val="left"/>
      <w:lvlText w:val="1"/>
      <w:numFmt w:val="bullet"/>
      <w:start w:val="1"/>
    </w:lvl>
  </w:abstractNum>
  <w:abstractNum w:abstractNumId="35">
    <w:nsid w:val="6A2342EC"/>
    <w:multiLevelType w:val="hybridMultilevel"/>
    <w:lvl w:ilvl="0">
      <w:lvlJc w:val="left"/>
      <w:lvlText w:val="%1:"/>
      <w:numFmt w:val="decimal"/>
      <w:start w:val="2"/>
    </w:lvl>
  </w:abstractNum>
  <w:abstractNum w:abstractNumId="36">
    <w:nsid w:val="2A487CB0"/>
    <w:multiLevelType w:val="hybridMultilevel"/>
    <w:lvl w:ilvl="0">
      <w:lvlJc w:val="left"/>
      <w:lvlText w:val="1"/>
      <w:numFmt w:val="bullet"/>
      <w:start w:val="1"/>
    </w:lvl>
  </w:abstractNum>
  <w:abstractNum w:abstractNumId="37">
    <w:nsid w:val="1D4ED43B"/>
    <w:multiLevelType w:val="hybridMultilevel"/>
    <w:lvl w:ilvl="0">
      <w:lvlJc w:val="left"/>
      <w:lvlText w:val="1"/>
      <w:numFmt w:val="bullet"/>
      <w:start w:val="1"/>
    </w:lvl>
  </w:abstractNum>
  <w:abstractNum w:abstractNumId="38">
    <w:nsid w:val="725A06FB"/>
    <w:multiLevelType w:val="hybridMultilevel"/>
    <w:lvl w:ilvl="0">
      <w:lvlJc w:val="left"/>
      <w:lvlText w:val="1"/>
      <w:numFmt w:val="bullet"/>
      <w:start w:val="1"/>
    </w:lvl>
  </w:abstractNum>
  <w:abstractNum w:abstractNumId="39">
    <w:nsid w:val="2CD89A32"/>
    <w:multiLevelType w:val="hybridMultilevel"/>
    <w:lvl w:ilvl="0">
      <w:lvlJc w:val="left"/>
      <w:lvlText w:val="2"/>
      <w:numFmt w:val="bullet"/>
      <w:start w:val="1"/>
    </w:lvl>
  </w:abstractNum>
  <w:abstractNum w:abstractNumId="40">
    <w:nsid w:val="57E4CCAF"/>
    <w:multiLevelType w:val="hybridMultilevel"/>
    <w:lvl w:ilvl="0">
      <w:lvlJc w:val="left"/>
      <w:lvlText w:val="3"/>
      <w:numFmt w:val="bullet"/>
      <w:start w:val="1"/>
    </w:lvl>
  </w:abstractNum>
  <w:abstractNum w:abstractNumId="41">
    <w:nsid w:val="7A6D8D3C"/>
    <w:multiLevelType w:val="hybridMultilevel"/>
    <w:lvl w:ilvl="0">
      <w:lvlJc w:val="left"/>
      <w:lvlText w:val="4"/>
      <w:numFmt w:val="bullet"/>
      <w:start w:val="1"/>
    </w:lvl>
  </w:abstractNum>
  <w:abstractNum w:abstractNumId="42">
    <w:nsid w:val="4B588F54"/>
    <w:multiLevelType w:val="hybridMultilevel"/>
    <w:lvl w:ilvl="0">
      <w:lvlJc w:val="left"/>
      <w:lvlText w:val="%1."/>
      <w:numFmt w:val="decimal"/>
      <w:start w:val="1"/>
    </w:lvl>
    <w:lvl w:ilvl="1">
      <w:lvlJc w:val="left"/>
      <w:lvlText w:val="(%2)"/>
      <w:numFmt w:val="lowerLetter"/>
      <w:start w:val="1"/>
    </w:lvl>
  </w:abstractNum>
  <w:abstractNum w:abstractNumId="43">
    <w:nsid w:val="542289EC"/>
    <w:multiLevelType w:val="hybridMultilevel"/>
    <w:lvl w:ilvl="0">
      <w:lvlJc w:val="left"/>
      <w:lvlText w:val="(%1)"/>
      <w:numFmt w:val="lowerLetter"/>
      <w:start w:val="3"/>
    </w:lvl>
  </w:abstractNum>
  <w:abstractNum w:abstractNumId="44">
    <w:nsid w:val="6DE91B18"/>
    <w:multiLevelType w:val="hybridMultilevel"/>
    <w:lvl w:ilvl="0">
      <w:lvlJc w:val="left"/>
      <w:lvlText w:val="%1."/>
      <w:numFmt w:val="decimal"/>
      <w:start w:val="5"/>
    </w:lvl>
  </w:abstractNum>
  <w:abstractNum w:abstractNumId="45">
    <w:nsid w:val="38437FDB"/>
    <w:multiLevelType w:val="hybridMultilevel"/>
    <w:lvl w:ilvl="0">
      <w:lvlJc w:val="left"/>
      <w:lvlText w:val="%1."/>
      <w:numFmt w:val="decimal"/>
      <w:start w:val="12"/>
    </w:lvl>
  </w:abstractNum>
  <w:abstractNum w:abstractNumId="46">
    <w:nsid w:val="7644A45C"/>
    <w:multiLevelType w:val="hybridMultilevel"/>
    <w:lvl w:ilvl="0">
      <w:lvlJc w:val="left"/>
      <w:lvlText w:val="%1."/>
      <w:numFmt w:val="decimal"/>
      <w:start w:val="1"/>
    </w:lvl>
    <w:lvl w:ilvl="1">
      <w:lvlJc w:val="left"/>
      <w:lvlText w:val="%2)"/>
      <w:numFmt w:val="lowerLetter"/>
      <w:start w:val="1"/>
    </w:lvl>
  </w:abstractNum>
  <w:abstractNum w:abstractNumId="47">
    <w:nsid w:val="32FFF902"/>
    <w:multiLevelType w:val="hybridMultilevel"/>
    <w:lvl w:ilvl="0">
      <w:lvlJc w:val="left"/>
      <w:lvlText w:val="%1."/>
      <w:numFmt w:val="decimal"/>
      <w:start w:val="1"/>
    </w:lvl>
    <w:lvl w:ilvl="1">
      <w:lvlJc w:val="left"/>
      <w:lvlText w:val="%2)"/>
      <w:numFmt w:val="lowerLetter"/>
      <w:start w:val="1"/>
    </w:lvl>
  </w:abstractNum>
  <w:abstractNum w:abstractNumId="48">
    <w:nsid w:val="684A481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2019-12-29T06:33:36Z</dcterms:created>
  <dcterms:modified xsi:type="dcterms:W3CDTF">2019-12-29T06:33:36Z</dcterms:modified>
</cp:coreProperties>
</file>