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001-15059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379730</wp:posOffset>
            </wp:positionV>
            <wp:extent cx="416623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Nordstrom,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1617 Sixth Avenue, Seattle, Washington 98101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(206) 628-2111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Common stock, without par value</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Common stock purchase rights</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4.000% Senior Notes due 2027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6.95% Senior Debentures due 2028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4.375% Senior Notes due 2030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4.250% Senior Notes due 2031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 Senior Notes due 2038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Senior Notes due 2044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 covered by this Form)</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Please place an X in the box(es) to designate the appropriate rule provision(s) relied upon to terminate or suspend the duty to file reports:</w:t>
            </w:r>
          </w:p>
        </w:tc>
        <w:tc>
          <w:tcPr>
            <w:tcW w:w="760" w:type="dxa"/>
            <w:vAlign w:val="bottom"/>
          </w:tcPr>
          <w:p>
            <w:pPr>
              <w:spacing w:after="0"/>
              <w:rPr>
                <w:sz w:val="20"/>
                <w:szCs w:val="20"/>
                <w:color w:val="auto"/>
              </w:rPr>
            </w:pPr>
          </w:p>
        </w:tc>
      </w:tr>
      <w:tr>
        <w:trPr>
          <w:trHeight w:val="391"/>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12g-4(a)(1)</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12g-4(a)(2)</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12h-3(b)(1)(ii)</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15d-6</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Rule 15d-22(b)</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8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Approximate number of holders of record as of the certification or notice date:</w:t>
            </w:r>
          </w:p>
        </w:tc>
        <w:tc>
          <w:tcPr>
            <w:tcW w:w="760" w:type="dxa"/>
            <w:vAlign w:val="bottom"/>
          </w:tcPr>
          <w:p>
            <w:pPr>
              <w:spacing w:after="0"/>
              <w:rPr>
                <w:sz w:val="24"/>
                <w:szCs w:val="24"/>
                <w:color w:val="auto"/>
              </w:rPr>
            </w:pPr>
          </w:p>
        </w:tc>
      </w:tr>
      <w:tr>
        <w:trPr>
          <w:trHeight w:val="41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without par value: 1</w:t>
            </w:r>
          </w:p>
        </w:tc>
        <w:tc>
          <w:tcPr>
            <w:tcW w:w="760" w:type="dxa"/>
            <w:vAlign w:val="bottom"/>
          </w:tcPr>
          <w:p>
            <w:pPr>
              <w:spacing w:after="0"/>
              <w:rPr>
                <w:sz w:val="24"/>
                <w:szCs w:val="24"/>
                <w:color w:val="auto"/>
              </w:rPr>
            </w:pP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purchase rights: 0</w:t>
            </w:r>
          </w:p>
        </w:tc>
        <w:tc>
          <w:tcPr>
            <w:tcW w:w="760" w:type="dxa"/>
            <w:vAlign w:val="bottom"/>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4.000% Senior Notes due 2027: 64</w:t>
            </w:r>
          </w:p>
        </w:tc>
        <w:tc>
          <w:tcPr>
            <w:tcW w:w="760" w:type="dxa"/>
            <w:vAlign w:val="bottom"/>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6.95% Senior Debentures due 2028: 66</w:t>
            </w:r>
          </w:p>
        </w:tc>
        <w:tc>
          <w:tcPr>
            <w:tcW w:w="760" w:type="dxa"/>
            <w:vAlign w:val="bottom"/>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4.375% Senior Notes due 2030: 67</w:t>
            </w:r>
          </w:p>
        </w:tc>
        <w:tc>
          <w:tcPr>
            <w:tcW w:w="760" w:type="dxa"/>
            <w:vAlign w:val="bottom"/>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4.250% Senior Notes due 2031: 51</w:t>
            </w:r>
          </w:p>
        </w:tc>
        <w:tc>
          <w:tcPr>
            <w:tcW w:w="760" w:type="dxa"/>
            <w:vAlign w:val="bottom"/>
          </w:tcPr>
          <w:p>
            <w:pPr>
              <w:spacing w:after="0"/>
              <w:rPr>
                <w:sz w:val="18"/>
                <w:szCs w:val="18"/>
                <w:color w:val="auto"/>
              </w:rPr>
            </w:pPr>
          </w:p>
        </w:tc>
      </w:tr>
      <w:tr>
        <w:trPr>
          <w:trHeight w:val="216"/>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7.00% Senior Notes due 2038: 47</w:t>
            </w:r>
          </w:p>
        </w:tc>
        <w:tc>
          <w:tcPr>
            <w:tcW w:w="760" w:type="dxa"/>
            <w:vAlign w:val="bottom"/>
          </w:tcPr>
          <w:p>
            <w:pPr>
              <w:spacing w:after="0"/>
              <w:rPr>
                <w:sz w:val="18"/>
                <w:szCs w:val="18"/>
                <w:color w:val="auto"/>
              </w:rPr>
            </w:pPr>
          </w:p>
        </w:tc>
      </w:tr>
      <w:tr>
        <w:trPr>
          <w:trHeight w:val="234"/>
        </w:trPr>
        <w:tc>
          <w:tcPr>
            <w:tcW w:w="10480" w:type="dxa"/>
            <w:vAlign w:val="bottom"/>
          </w:tcPr>
          <w:p>
            <w:pPr>
              <w:spacing w:after="0"/>
              <w:rPr>
                <w:sz w:val="20"/>
                <w:szCs w:val="20"/>
                <w:color w:val="auto"/>
              </w:rPr>
            </w:pPr>
            <w:r>
              <w:rPr>
                <w:rFonts w:ascii="Times New Roman" w:cs="Times New Roman" w:eastAsia="Times New Roman" w:hAnsi="Times New Roman"/>
                <w:sz w:val="18"/>
                <w:szCs w:val="18"/>
                <w:color w:val="auto"/>
              </w:rPr>
              <w:t>5.00% Senior Notes due 2044: 74</w:t>
            </w:r>
          </w:p>
        </w:tc>
        <w:tc>
          <w:tcPr>
            <w:tcW w:w="760" w:type="dxa"/>
            <w:vAlign w:val="bottom"/>
          </w:tcPr>
          <w:p>
            <w:pPr>
              <w:spacing w:after="0"/>
              <w:rPr>
                <w:sz w:val="20"/>
                <w:szCs w:val="20"/>
                <w:color w:val="auto"/>
              </w:rPr>
            </w:pPr>
          </w:p>
        </w:tc>
      </w:tr>
      <w:tr>
        <w:trPr>
          <w:trHeight w:val="216"/>
        </w:trPr>
        <w:tc>
          <w:tcPr>
            <w:tcW w:w="10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8"/>
        </w:trPr>
        <w:tc>
          <w:tcPr>
            <w:tcW w:w="104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675"/>
        </w:trPr>
        <w:tc>
          <w:tcPr>
            <w:tcW w:w="10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54" w:right="339" w:bottom="150" w:gutter="0" w:footer="0" w:header="0"/>
        </w:sectPr>
      </w:pPr>
    </w:p>
    <w:bookmarkStart w:id="1" w:name="page2"/>
    <w:bookmarkEnd w:id="1"/>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Nordstrom, Inc. has caused this certification/notice to be signed on its behalf by the undersigned duly authorized person.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Nordstrom,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2025</w:t>
            </w: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Ann Munson Steines</w:t>
            </w:r>
          </w:p>
        </w:tc>
      </w:tr>
      <w:tr>
        <w:trPr>
          <w:trHeight w:val="191"/>
        </w:trPr>
        <w:tc>
          <w:tcPr>
            <w:tcW w:w="3560" w:type="dxa"/>
            <w:vAlign w:val="bottom"/>
          </w:tcPr>
          <w:p>
            <w:pPr>
              <w:spacing w:after="0"/>
              <w:rPr>
                <w:sz w:val="16"/>
                <w:szCs w:val="16"/>
                <w:color w:val="auto"/>
              </w:rPr>
            </w:pPr>
          </w:p>
        </w:tc>
        <w:tc>
          <w:tcPr>
            <w:tcW w:w="2640" w:type="dxa"/>
            <w:vAlign w:val="bottom"/>
          </w:tcPr>
          <w:p>
            <w:pPr>
              <w:ind w:left="20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Ann Munson Steines</w:t>
            </w:r>
          </w:p>
        </w:tc>
      </w:tr>
      <w:tr>
        <w:trPr>
          <w:trHeight w:val="234"/>
        </w:trPr>
        <w:tc>
          <w:tcPr>
            <w:tcW w:w="3560" w:type="dxa"/>
            <w:vAlign w:val="bottom"/>
          </w:tcPr>
          <w:p>
            <w:pPr>
              <w:spacing w:after="0"/>
              <w:rPr>
                <w:sz w:val="20"/>
                <w:szCs w:val="20"/>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General Counsel and Corporate Secretary</w:t>
            </w:r>
          </w:p>
        </w:tc>
      </w:tr>
      <w:tr>
        <w:trPr>
          <w:trHeight w:val="675"/>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2025-06-02T15:13:16Z</dcterms:created>
  <dcterms:modified xsi:type="dcterms:W3CDTF">2025-06-02T15:13:16Z</dcterms:modified>
</cp:coreProperties>
</file>