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3840" w:right="2220" w:hanging="3805"/>
        <w:spacing w:after="0" w:line="333"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October 28, 2017</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95"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ind w:left="7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5" w:right="239" w:bottom="1440" w:gutter="0" w:footer="0" w:header="0"/>
          <w:type w:val="continuous"/>
        </w:sectPr>
      </w:pPr>
    </w:p>
    <w:p>
      <w:pPr>
        <w:spacing w:after="0" w:line="24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November 22, 2017: 166,582,350 shares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 of 30</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4"/>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60" w:type="dxa"/>
            <w:vAlign w:val="bottom"/>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Quarter and Nine Months Ended October 28, 2017 and October 29, 2016</w:t>
              </w:r>
            </w:hyperlink>
          </w:p>
        </w:tc>
        <w:tc>
          <w:tcPr>
            <w:tcW w:w="238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520" w:type="dxa"/>
            <w:vAlign w:val="bottom"/>
            <w:tcBorders>
              <w:top w:val="single" w:sz="8" w:color="0000EE"/>
            </w:tcBorders>
          </w:tcPr>
          <w:p>
            <w:pPr>
              <w:spacing w:after="0"/>
              <w:rPr>
                <w:sz w:val="24"/>
                <w:szCs w:val="24"/>
                <w:color w:val="auto"/>
              </w:rPr>
            </w:pPr>
          </w:p>
        </w:tc>
        <w:tc>
          <w:tcPr>
            <w:tcW w:w="23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60" w:type="dxa"/>
            <w:vAlign w:val="bottom"/>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Quarter and Nine Months Ended October 28, 2017 and October 29, 2016</w:t>
              </w:r>
            </w:hyperlink>
          </w:p>
        </w:tc>
        <w:tc>
          <w:tcPr>
            <w:tcW w:w="238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2280" w:type="dxa"/>
            <w:vAlign w:val="bottom"/>
            <w:tcBorders>
              <w:top w:val="single" w:sz="8" w:color="0000EE"/>
            </w:tcBorders>
            <w:gridSpan w:val="9"/>
          </w:tcPr>
          <w:p>
            <w:pPr>
              <w:spacing w:after="0"/>
              <w:rPr>
                <w:sz w:val="24"/>
                <w:szCs w:val="24"/>
                <w:color w:val="auto"/>
              </w:rPr>
            </w:pPr>
          </w:p>
        </w:tc>
        <w:tc>
          <w:tcPr>
            <w:tcW w:w="23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October 28, 2017, January 28, 2017 and October 29, 2016</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Nine Months Ended October 28, 2017 and October 29, 2016</w:t>
              </w:r>
            </w:hyperlink>
          </w:p>
        </w:tc>
        <w:tc>
          <w:tcPr>
            <w:tcW w:w="3280" w:type="dxa"/>
            <w:vAlign w:val="bottom"/>
            <w:gridSpan w:val="5"/>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600" w:type="dxa"/>
            <w:vAlign w:val="bottom"/>
            <w:tcBorders>
              <w:top w:val="single" w:sz="8" w:color="0000EE"/>
            </w:tcBorders>
            <w:gridSpan w:val="4"/>
          </w:tcPr>
          <w:p>
            <w:pPr>
              <w:spacing w:after="0"/>
              <w:rPr>
                <w:sz w:val="24"/>
                <w:szCs w:val="24"/>
                <w:color w:val="auto"/>
              </w:rPr>
            </w:pPr>
          </w:p>
        </w:tc>
        <w:tc>
          <w:tcPr>
            <w:tcW w:w="328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Nine Months Ended October 28, 2017 and October 29, 2016</w:t>
              </w:r>
            </w:hyperlink>
          </w:p>
        </w:tc>
        <w:tc>
          <w:tcPr>
            <w:tcW w:w="3280" w:type="dxa"/>
            <w:vAlign w:val="bottom"/>
            <w:gridSpan w:val="5"/>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0" w:type="dxa"/>
            <w:vAlign w:val="bottom"/>
            <w:gridSpan w:val="3"/>
          </w:tcPr>
          <w:p>
            <w:pPr>
              <w:spacing w:after="0"/>
              <w:rPr>
                <w:sz w:val="24"/>
                <w:szCs w:val="24"/>
                <w:color w:val="auto"/>
              </w:rPr>
            </w:pPr>
          </w:p>
        </w:tc>
        <w:tc>
          <w:tcPr>
            <w:tcW w:w="3280" w:type="dxa"/>
            <w:vAlign w:val="bottom"/>
            <w:gridSpan w:val="5"/>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9"/>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6"/>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20" w:type="dxa"/>
            <w:vAlign w:val="bottom"/>
            <w:gridSpan w:val="6"/>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3600" w:type="dxa"/>
            <w:vAlign w:val="bottom"/>
            <w:tcBorders>
              <w:left w:val="single" w:sz="8" w:color="0000EE"/>
            </w:tcBorders>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3600" w:type="dxa"/>
            <w:vAlign w:val="bottom"/>
            <w:gridSpan w:val="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6500" w:type="dxa"/>
            <w:vAlign w:val="bottom"/>
            <w:gridSpan w:val="1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138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3740" w:type="dxa"/>
            <w:vAlign w:val="bottom"/>
            <w:gridSpan w:val="11"/>
          </w:tcPr>
          <w:p>
            <w:pPr>
              <w:spacing w:after="0"/>
              <w:rPr>
                <w:sz w:val="24"/>
                <w:szCs w:val="24"/>
                <w:color w:val="auto"/>
              </w:rPr>
            </w:pPr>
          </w:p>
        </w:tc>
        <w:tc>
          <w:tcPr>
            <w:tcW w:w="3600" w:type="dxa"/>
            <w:vAlign w:val="bottom"/>
            <w:gridSpan w:val="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Signatures</w:t>
              </w:r>
            </w:hyperlink>
          </w:p>
        </w:tc>
        <w:tc>
          <w:tcPr>
            <w:tcW w:w="56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10"/>
          </w:tcPr>
          <w:p>
            <w:pPr>
              <w:ind w:left="140"/>
              <w:spacing w:after="0"/>
              <w:rPr>
                <w:sz w:val="20"/>
                <w:szCs w:val="20"/>
                <w:color w:val="auto"/>
              </w:rPr>
            </w:pPr>
            <w:r>
              <w:rPr>
                <w:rFonts w:ascii="Arial" w:cs="Arial" w:eastAsia="Arial" w:hAnsi="Arial"/>
                <w:sz w:val="18"/>
                <w:szCs w:val="18"/>
                <w:color w:val="auto"/>
              </w:rPr>
              <w:t>2 of 30</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28,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2016</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$3,541</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$10,537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$10,255</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88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239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3,629</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10,776</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(2,315)</w:t>
            </w:r>
          </w:p>
        </w:tc>
        <w:tc>
          <w:tcPr>
            <w:tcW w:w="1320" w:type="dxa"/>
            <w:vAlign w:val="bottom"/>
          </w:tcPr>
          <w:p>
            <w:pPr>
              <w:jc w:val="right"/>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(6,921)</w:t>
            </w:r>
          </w:p>
        </w:tc>
        <w:tc>
          <w:tcPr>
            <w:tcW w:w="1620" w:type="dxa"/>
            <w:vAlign w:val="bottom"/>
          </w:tcPr>
          <w:p>
            <w:pPr>
              <w:jc w:val="right"/>
              <w:spacing w:after="0"/>
              <w:rPr>
                <w:sz w:val="20"/>
                <w:szCs w:val="20"/>
                <w:color w:val="auto"/>
              </w:rPr>
            </w:pPr>
            <w:r>
              <w:rPr>
                <w:rFonts w:ascii="Arial" w:cs="Arial" w:eastAsia="Arial" w:hAnsi="Arial"/>
                <w:sz w:val="16"/>
                <w:szCs w:val="16"/>
                <w:color w:val="auto"/>
              </w:rPr>
              <w:t>(6,720)</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(1,106)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(3,280)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208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575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(28)</w:t>
            </w: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(104)</w:t>
            </w:r>
          </w:p>
        </w:tc>
        <w:tc>
          <w:tcPr>
            <w:tcW w:w="16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180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471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(66)</w:t>
            </w:r>
          </w:p>
        </w:tc>
        <w:tc>
          <w:tcPr>
            <w:tcW w:w="13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(185)</w:t>
            </w:r>
          </w:p>
        </w:tc>
        <w:tc>
          <w:tcPr>
            <w:tcW w:w="162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$286</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share:</w:t>
            </w:r>
          </w:p>
        </w:tc>
        <w:tc>
          <w:tcPr>
            <w:tcW w:w="2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Basic</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$0.68</w:t>
            </w:r>
          </w:p>
        </w:tc>
        <w:tc>
          <w:tcPr>
            <w:tcW w:w="13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$1.72</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$0.88</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$1.70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$0.87</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Basic</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166.6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166.7</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173.3</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168.8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168.8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w:t>
            </w:r>
          </w:p>
        </w:tc>
      </w:tr>
      <w:tr>
        <w:trPr>
          <w:trHeight w:val="20"/>
        </w:trPr>
        <w:tc>
          <w:tcPr>
            <w:tcW w:w="37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28,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2016</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28, 2017</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$286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(11)</w:t>
            </w: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plan adjustments, net of tax</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 (loss)</w:t>
            </w:r>
          </w:p>
        </w:tc>
        <w:tc>
          <w:tcPr>
            <w:tcW w:w="24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$103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$297</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30</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October 28, 2017</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$672</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$1,007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211</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199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2,434</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1,896</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162</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140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3,479</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3,242</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3,385</w:t>
            </w:r>
          </w:p>
        </w:tc>
        <w:tc>
          <w:tcPr>
            <w:tcW w:w="0" w:type="dxa"/>
            <w:vAlign w:val="bottom"/>
          </w:tcPr>
          <w:p>
            <w:pPr>
              <w:spacing w:after="0"/>
              <w:rPr>
                <w:sz w:val="1"/>
                <w:szCs w:val="1"/>
                <w:color w:val="auto"/>
              </w:rPr>
            </w:pPr>
          </w:p>
        </w:tc>
      </w:tr>
      <w:tr>
        <w:trPr>
          <w:trHeight w:val="297"/>
        </w:trPr>
        <w:tc>
          <w:tcPr>
            <w:tcW w:w="5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Land, property and equipment (net of accumulated depreciation of $5,952, $5,596 and</w:t>
            </w:r>
          </w:p>
        </w:tc>
        <w:tc>
          <w:tcPr>
            <w:tcW w:w="1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3,940</w:t>
            </w:r>
          </w:p>
        </w:tc>
        <w:tc>
          <w:tcPr>
            <w:tcW w:w="1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$5,462)</w:t>
            </w:r>
          </w:p>
        </w:tc>
        <w:tc>
          <w:tcPr>
            <w:tcW w:w="1900" w:type="dxa"/>
            <w:vAlign w:val="bottom"/>
            <w:tcBorders>
              <w:bottom w:val="single" w:sz="8" w:color="CCEEFF"/>
            </w:tcBorders>
            <w:vMerge w:val="continue"/>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3,897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238</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238</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529</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481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31"/>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$8,186</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$7,858</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$1,815</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$1,340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433</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455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1,166</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1,223</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57</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3,471</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3,029</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2,681</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2,763</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510</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521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670</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675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Commitments and contingencies (Note 4)</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no par value: 1,000 shares authorized; 166.6, 170.0 and 173.2</w:t>
            </w:r>
          </w:p>
        </w:tc>
        <w:tc>
          <w:tcPr>
            <w:tcW w:w="1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2,785</w:t>
            </w:r>
          </w:p>
        </w:tc>
        <w:tc>
          <w:tcPr>
            <w:tcW w:w="1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issued and outstanding</w:t>
            </w:r>
          </w:p>
        </w:tc>
        <w:tc>
          <w:tcPr>
            <w:tcW w:w="1900" w:type="dxa"/>
            <w:vAlign w:val="bottom"/>
            <w:tcBorders>
              <w:bottom w:val="single" w:sz="8" w:color="CCEEFF"/>
            </w:tcBorders>
            <w:vMerge w:val="continue"/>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2,707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(1,899)</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(1,794)</w:t>
            </w:r>
          </w:p>
        </w:tc>
        <w:tc>
          <w:tcPr>
            <w:tcW w:w="1620" w:type="dxa"/>
            <w:vAlign w:val="bottom"/>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(32)</w:t>
            </w:r>
          </w:p>
        </w:tc>
        <w:tc>
          <w:tcPr>
            <w:tcW w:w="1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1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854</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870</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$8,186</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$7,858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30</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b w:val="1"/>
                <w:bCs w:val="1"/>
                <w:color w:val="auto"/>
              </w:rPr>
              <w:t>Accumulated</w:t>
            </w:r>
          </w:p>
        </w:tc>
        <w:tc>
          <w:tcPr>
            <w:tcW w:w="104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Comprehensive</w:t>
            </w:r>
          </w:p>
        </w:tc>
        <w:tc>
          <w:tcPr>
            <w:tcW w:w="104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8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Loss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170.0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($1,794)</w:t>
            </w:r>
          </w:p>
        </w:tc>
        <w:tc>
          <w:tcPr>
            <w:tcW w:w="19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($43)</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286</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11</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Dividends ($1.11 per share)</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(185)</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0.7</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0.5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2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(4.6)</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w:t>
            </w:r>
          </w:p>
        </w:tc>
        <w:tc>
          <w:tcPr>
            <w:tcW w:w="19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October 28, 2017</w:t>
            </w:r>
          </w:p>
        </w:tc>
        <w:tc>
          <w:tcPr>
            <w:tcW w:w="228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166.6</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$2,785</w:t>
            </w:r>
          </w:p>
        </w:tc>
        <w:tc>
          <w:tcPr>
            <w:tcW w:w="17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($1,899)</w:t>
            </w:r>
          </w:p>
        </w:tc>
        <w:tc>
          <w:tcPr>
            <w:tcW w:w="19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($32)</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$854</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49"/>
        </w:trPr>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Accumulated</w:t>
            </w:r>
          </w:p>
        </w:tc>
        <w:tc>
          <w:tcPr>
            <w:tcW w:w="104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Comprehensive</w:t>
            </w:r>
          </w:p>
        </w:tc>
        <w:tc>
          <w:tcPr>
            <w:tcW w:w="104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8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Loss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173.5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$2,539</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($1,610)</w:t>
            </w:r>
          </w:p>
        </w:tc>
        <w:tc>
          <w:tcPr>
            <w:tcW w:w="1940" w:type="dxa"/>
            <w:vAlign w:val="bottom"/>
          </w:tcPr>
          <w:p>
            <w:pPr>
              <w:jc w:val="right"/>
              <w:ind w:right="499"/>
              <w:spacing w:after="0"/>
              <w:rPr>
                <w:sz w:val="20"/>
                <w:szCs w:val="20"/>
                <w:color w:val="auto"/>
              </w:rPr>
            </w:pPr>
            <w:r>
              <w:rPr>
                <w:rFonts w:ascii="Arial" w:cs="Arial" w:eastAsia="Arial" w:hAnsi="Arial"/>
                <w:sz w:val="16"/>
                <w:szCs w:val="16"/>
                <w:color w:val="auto"/>
              </w:rPr>
              <w:t>($58)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153</w:t>
            </w:r>
          </w:p>
        </w:tc>
        <w:tc>
          <w:tcPr>
            <w:tcW w:w="19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earnings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($1.11 per share)</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(192)</w:t>
            </w:r>
          </w:p>
        </w:tc>
        <w:tc>
          <w:tcPr>
            <w:tcW w:w="19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plans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1.4</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0.2</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2280" w:type="dxa"/>
            <w:vAlign w:val="bottom"/>
          </w:tcPr>
          <w:p>
            <w:pPr>
              <w:jc w:val="right"/>
              <w:ind w:right="759"/>
              <w:spacing w:after="0"/>
              <w:rPr>
                <w:sz w:val="20"/>
                <w:szCs w:val="20"/>
                <w:color w:val="auto"/>
              </w:rPr>
            </w:pPr>
            <w:r>
              <w:rPr>
                <w:rFonts w:ascii="Arial" w:cs="Arial" w:eastAsia="Arial" w:hAnsi="Arial"/>
                <w:sz w:val="16"/>
                <w:szCs w:val="16"/>
                <w:color w:val="auto"/>
              </w:rPr>
              <w:t>(1.9)</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(93)</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October 29, 2016</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173.2</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$2,651</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($1,742)</w:t>
            </w:r>
          </w:p>
        </w:tc>
        <w:tc>
          <w:tcPr>
            <w:tcW w:w="19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($49)</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r>
      <w:tr>
        <w:trPr>
          <w:trHeight w:val="20"/>
        </w:trPr>
        <w:tc>
          <w:tcPr>
            <w:tcW w:w="35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30</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$286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479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480</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impairment</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(62)</w:t>
            </w:r>
          </w:p>
        </w:tc>
        <w:tc>
          <w:tcPr>
            <w:tcW w:w="16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(82)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59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(11)</w:t>
            </w:r>
          </w:p>
        </w:tc>
        <w:tc>
          <w:tcPr>
            <w:tcW w:w="16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(465)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419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(22)</w:t>
            </w:r>
          </w:p>
        </w:tc>
        <w:tc>
          <w:tcPr>
            <w:tcW w:w="16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(53)</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55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1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597</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878</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(536)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29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(507)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91"/>
        </w:trPr>
        <w:tc>
          <w:tcPr>
            <w:tcW w:w="76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635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(658)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Decrease in cash book overdrafts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w:t>
            </w:r>
          </w:p>
        </w:tc>
        <w:tc>
          <w:tcPr>
            <w:tcW w:w="16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dividends paid</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(185)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(211)</w:t>
            </w:r>
          </w:p>
        </w:tc>
        <w:tc>
          <w:tcPr>
            <w:tcW w:w="16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Tax withholding on share-based awards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(7)</w:t>
            </w:r>
          </w:p>
        </w:tc>
        <w:tc>
          <w:tcPr>
            <w:tcW w:w="16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1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(425)</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(335)</w:t>
            </w:r>
          </w:p>
        </w:tc>
        <w:tc>
          <w:tcPr>
            <w:tcW w:w="16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1,007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$672</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91"/>
        </w:trPr>
        <w:tc>
          <w:tcPr>
            <w:tcW w:w="766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net</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$291</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net of capitalized interest</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106</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0"/>
        </w:trPr>
        <w:tc>
          <w:tcPr>
            <w:tcW w:w="76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30</w:t>
      </w:r>
    </w:p>
    <w:p>
      <w:pPr>
        <w:sectPr>
          <w:pgSz w:w="11900" w:h="16838" w:orient="portrait"/>
          <w:cols w:equalWidth="0" w:num="1">
            <w:col w:w="11420"/>
          </w:cols>
          <w:pgMar w:left="240" w:top="118" w:right="239" w:bottom="775"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2016 Annual Report on Form 10-K (“Annual Report”),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October 28, 2017 and October 29, 2016 are unaudited. The Condensed Consolidated Balance Sheet as of January 28, 2017 has been derived from the audited Consolidated Financial Statements included in our 2016 Annual Report. The interim Condensed Consolidated Financial Statements should be read together with the Consolidated Financial Statements and related footnote disclosures contained in our 2016 Annual Report.</w:t>
      </w:r>
    </w:p>
    <w:p>
      <w:pPr>
        <w:spacing w:after="0" w:line="13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business, like that of other retailers, is subject to seasonal fluctuations. Our sales are typically higher during our Anniversary Sale and the holidays in the fourth quarter. Consistent with the timing in 2016, our 2017 Anniversary Sale began in July and extended one week into the third quarter. Results for any quarter are not indicative of the results that may be achieved for a full fiscal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July 31, 2017, we entered into an agreement with TD Bank USA, N.A. (“TD”) to sell our employee credit card receivables for an amount equal to the gross value of the outstanding receivables. Additionally, we entered into an amended long-term program agreement under which TD will continue to be the exclusive issuer of all our U.S. Visa and private label credit cards and we will continue to perform account servicing functions. As of October 28, 2017, our employee credit card receivables of $54, included in accounts receivable, net on the Condensed Consolidated Balance Sheets, is “held for sale” and, as such, is recorded at the lower of cost or fair value (see Note 3: Fair Value Measurements). Subsequent to quarter end, on November 1, 2017, we completed the sale of our employee credit card receivables to TD.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was subsequently modified in August 2015 by ASU No. 2015-14,</w:t>
      </w:r>
      <w:r>
        <w:rPr>
          <w:rFonts w:ascii="Arial" w:cs="Arial" w:eastAsia="Arial" w:hAnsi="Arial"/>
          <w:sz w:val="16"/>
          <w:szCs w:val="16"/>
          <w:i w:val="1"/>
          <w:iCs w:val="1"/>
          <w:color w:val="auto"/>
        </w:rPr>
        <w:t xml:space="preserve"> Revenue from Contracts with Customers: Deferral of the Effective Date</w:t>
      </w:r>
      <w:r>
        <w:rPr>
          <w:rFonts w:ascii="Arial" w:cs="Arial" w:eastAsia="Arial" w:hAnsi="Arial"/>
          <w:sz w:val="16"/>
          <w:szCs w:val="16"/>
          <w:color w:val="auto"/>
        </w:rPr>
        <w:t>. The core principle of ASU No. 2014-09 is that companies should recognize revenue when the transfer of promised goods or services to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occurs in an amount that reflects what the company expects to receive. It requires additional disclosures to describe the nature, amount, timing and uncertainty of revenue and cash flows from contracts with customers. In 2016, the FASB issued additional ASUs which clarify the implementation guidance on principal versus agent considerations, on identifying performance obligations and licensing, on the revenue recognition criteria and other technical corrections. In our ongoing evaluation of this ASU, we have determined that the new standard will primarily impact us in the following ways: gift card breakage will be estimated based on expected customer redemption periods, rather than when redemption is considered remote; sales attributable to the loyalty program benefits (e.g., points, alterations) will be deferred rather than recording the loyalty program expenses as an increase to cost of sales; remaining unamortized balances of deferred revenue and the investment in contract asset related to the 2015 sale of our receivables to TD will be recorded as a cumulative-effect adjustment directly to retained earnings as of the beginning of the adoption period; revenue related to our online sales will be recognized at the shipping point rather than upon receipt by the customer; and estimated costs of returns will be recorded as a current asset rather than netted with our sales return reserve. We plan to adopt this ASU in the first quarter of 2018 and we anticipate using the modified retrospective adoption method. We are continuing to evaluate the impacts this ASU and related disclosures will have on our Consolidated Financial Statements.</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ASU increases transparency and comparability by recognizing a lessee’s rights and obligations resulting from leases by recording them on the balance sheet as right-of-use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Additional qualitative and quantitative disclosures will be required to give financial statement users information on the amount, timing and judgments related to a reporting entity’s cash flows arising from leases. This ASU is effective for us beginning in the first quarter of 2019. We are currently evaluating the impact of the standard, which will require recognizing and measuring leases at the beginning of the earliest period presented using a modified retrospective approach. We expect adoption of this standard will have a material impact on our Consolidated Financial Statements.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 of 30</w:t>
      </w:r>
    </w:p>
    <w:p>
      <w:pPr>
        <w:sectPr>
          <w:pgSz w:w="11900" w:h="16838" w:orient="portrait"/>
          <w:cols w:equalWidth="0" w:num="1">
            <w:col w:w="11380"/>
          </w:cols>
          <w:pgMar w:left="240" w:top="118" w:right="2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7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 Improvements to Employee Share-Based Payment Accounting</w:t>
      </w:r>
      <w:r>
        <w:rPr>
          <w:rFonts w:ascii="Arial" w:cs="Arial" w:eastAsia="Arial" w:hAnsi="Arial"/>
          <w:sz w:val="18"/>
          <w:szCs w:val="18"/>
          <w:color w:val="auto"/>
        </w:rPr>
        <w:t>, which simplifies several aspects of the accounting for share-based payments and presentation within the financial statements. We adopted ASU No. 2016-09 with an effective date of January 29, 2017. The impact of the adoption resulted in the following:</w:t>
      </w:r>
    </w:p>
    <w:p>
      <w:pPr>
        <w:spacing w:after="0" w:line="127" w:lineRule="exact"/>
        <w:rPr>
          <w:sz w:val="20"/>
          <w:szCs w:val="20"/>
          <w:color w:val="auto"/>
        </w:rPr>
      </w:pPr>
    </w:p>
    <w:p>
      <w:pPr>
        <w:ind w:left="340" w:right="60" w:hanging="332"/>
        <w:spacing w:after="0" w:line="29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Excess tax benefits and deficiencies resulting from stock-based compensation arrangements are now recorded within income tax expense on the Condensed Consolidated Statement of Earnings when the awards vest or are settled, rather than within equity. Additionally, excess tax benefits are now excluded from assumed future proceeds in our calculation of diluted shares for purposes of determining diluted earnings per share. The prospective adoption of this provision did not have a material effect on the Condensed Consolidated Financial Statements for the nine months ended October 28, 2017. We had no previously unrecognized excess tax benefits that would have resulted in a cumulative-effect adjustment to beginning retained earnings.</w:t>
      </w:r>
    </w:p>
    <w:p>
      <w:pPr>
        <w:spacing w:after="0" w:line="3" w:lineRule="exact"/>
        <w:rPr>
          <w:rFonts w:ascii="Arial" w:cs="Arial" w:eastAsia="Arial" w:hAnsi="Arial"/>
          <w:sz w:val="16"/>
          <w:szCs w:val="16"/>
          <w:color w:val="auto"/>
        </w:rPr>
      </w:pPr>
    </w:p>
    <w:p>
      <w:pPr>
        <w:ind w:left="340" w:right="2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Forfeitures on share-based awards are recorded as they occur, rather than our historical method of estimating forfeitures at the grant date. In evaluating the impact of this change, the adjustment to adopt on a modified retrospective basis was immaterial, therefore no adjustment has been made to beginning retained earnings.</w:t>
      </w:r>
    </w:p>
    <w:p>
      <w:pPr>
        <w:spacing w:after="0" w:line="19"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Excess tax benefits from stock-based compensation arrangements are classified as cash flows from operations, rather than as cash flows from financing activities. We adopted this change retrospectively, which resulted in an increase to net cash provided by operating activities and an increase in cash flows used in financing activities of $2 for the nine months ended October 29, 2016. Additionally, cash flows related to withholding shares for tax purposes on net-settled awards are classified as financing activities, rather than operating activities. This classification change was also adopted retrospectively, resulting in an increase of $4 to net cash provided by operating activities with an offsetting increase to net cash used in financing activities on the Condensed Consolidated Statement of Cash Flows for the nine months ended October 29, 2016.</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Simplifying the Test for Goodwill Impairment</w:t>
      </w:r>
      <w:r>
        <w:rPr>
          <w:rFonts w:ascii="Arial" w:cs="Arial" w:eastAsia="Arial" w:hAnsi="Arial"/>
          <w:sz w:val="17"/>
          <w:szCs w:val="17"/>
          <w:color w:val="auto"/>
        </w:rPr>
        <w:t>, which simplifies the accounting for goodwill impairment by eliminating step two from the goodwill impairment test. Under this new guidance, if the carrying amount of a reporting unit exceeds its estimated fair value, an impairment charge shall be recognized in an amount equal to that excess, limited to the total amount of goodwill allocated to that reporting unit. The ASU is effective prospectively for fiscal years and interim periods within those years beginning after December 15, 2019. Early adoption is permitted for interim or annual goodwill impairment tests performed on testing dates after January 1, 2017. We are currently evaluating the impact this guidance would have on our Consolidated Financial Statements.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 of 30</w:t>
      </w:r>
    </w:p>
    <w:p>
      <w:pPr>
        <w:sectPr>
          <w:pgSz w:w="11900" w:h="16838" w:orient="portrait"/>
          <w:cols w:equalWidth="0" w:num="1">
            <w:col w:w="11360"/>
          </w:cols>
          <w:pgMar w:left="240" w:top="118" w:right="29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October 28, 2017</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4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30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$24</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1"/>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secured debt</w:t>
            </w:r>
          </w:p>
        </w:tc>
        <w:tc>
          <w:tcPr>
            <w:tcW w:w="30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21</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27</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4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Unsecured</w:t>
            </w: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of unamortized discount:</w:t>
            </w:r>
          </w:p>
        </w:tc>
        <w:tc>
          <w:tcPr>
            <w:tcW w:w="30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500"/>
              <w:spacing w:after="0"/>
              <w:rPr>
                <w:sz w:val="20"/>
                <w:szCs w:val="20"/>
                <w:color w:val="auto"/>
              </w:rPr>
            </w:pPr>
            <w:r>
              <w:rPr>
                <w:rFonts w:ascii="Arial" w:cs="Arial" w:eastAsia="Arial" w:hAnsi="Arial"/>
                <w:sz w:val="16"/>
                <w:szCs w:val="16"/>
                <w:color w:val="auto"/>
              </w:rPr>
              <w:t>Senior notes, 6.25%, due January 2018</w:t>
            </w: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650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650</w:t>
            </w: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4.75%, due May 2020</w:t>
            </w:r>
          </w:p>
        </w:tc>
        <w:tc>
          <w:tcPr>
            <w:tcW w:w="30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499</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499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37"/>
        </w:trPr>
        <w:tc>
          <w:tcPr>
            <w:tcW w:w="4800" w:type="dxa"/>
            <w:vAlign w:val="bottom"/>
          </w:tcPr>
          <w:p>
            <w:pPr>
              <w:ind w:left="500"/>
              <w:spacing w:after="0"/>
              <w:rPr>
                <w:sz w:val="20"/>
                <w:szCs w:val="20"/>
                <w:color w:val="auto"/>
              </w:rPr>
            </w:pPr>
            <w:r>
              <w:rPr>
                <w:rFonts w:ascii="Arial" w:cs="Arial" w:eastAsia="Arial" w:hAnsi="Arial"/>
                <w:sz w:val="16"/>
                <w:szCs w:val="16"/>
                <w:color w:val="auto"/>
              </w:rPr>
              <w:t>Senior notes, 4.00%, due October 2021</w:t>
            </w: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March 2027</w:t>
            </w:r>
          </w:p>
        </w:tc>
        <w:tc>
          <w:tcPr>
            <w:tcW w:w="30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349</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00" w:type="dxa"/>
            <w:vAlign w:val="bottom"/>
          </w:tcPr>
          <w:p>
            <w:pPr>
              <w:ind w:left="500"/>
              <w:spacing w:after="0"/>
              <w:rPr>
                <w:sz w:val="20"/>
                <w:szCs w:val="20"/>
                <w:color w:val="auto"/>
              </w:rPr>
            </w:pPr>
            <w:r>
              <w:rPr>
                <w:rFonts w:ascii="Arial" w:cs="Arial" w:eastAsia="Arial" w:hAnsi="Arial"/>
                <w:sz w:val="16"/>
                <w:szCs w:val="16"/>
                <w:color w:val="auto"/>
              </w:rPr>
              <w:t>Senior debentures, 6.95%, due March 2028</w:t>
            </w: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300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7.00%, due January 2038</w:t>
            </w:r>
          </w:p>
        </w:tc>
        <w:tc>
          <w:tcPr>
            <w:tcW w:w="30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146</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146</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7"/>
        </w:trPr>
        <w:tc>
          <w:tcPr>
            <w:tcW w:w="4800" w:type="dxa"/>
            <w:vAlign w:val="bottom"/>
          </w:tcPr>
          <w:p>
            <w:pPr>
              <w:ind w:left="500"/>
              <w:spacing w:after="0"/>
              <w:rPr>
                <w:sz w:val="20"/>
                <w:szCs w:val="20"/>
                <w:color w:val="auto"/>
              </w:rPr>
            </w:pPr>
            <w:r>
              <w:rPr>
                <w:rFonts w:ascii="Arial" w:cs="Arial" w:eastAsia="Arial" w:hAnsi="Arial"/>
                <w:sz w:val="16"/>
                <w:szCs w:val="16"/>
                <w:color w:val="auto"/>
              </w:rPr>
              <w:t>Senior notes, 5.00%, due January 2044</w:t>
            </w: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891</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602</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602</w:t>
            </w: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32</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1"/>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unsecured debt</w:t>
            </w:r>
          </w:p>
        </w:tc>
        <w:tc>
          <w:tcPr>
            <w:tcW w:w="30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2,717</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2,747</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2,749</w:t>
            </w:r>
          </w:p>
        </w:tc>
      </w:tr>
      <w:tr>
        <w:trPr>
          <w:trHeight w:val="33"/>
        </w:trPr>
        <w:tc>
          <w:tcPr>
            <w:tcW w:w="4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3060" w:type="dxa"/>
            <w:vAlign w:val="bottom"/>
          </w:tcPr>
          <w:p>
            <w:pPr>
              <w:jc w:val="right"/>
              <w:ind w:right="339"/>
              <w:spacing w:after="0"/>
              <w:rPr>
                <w:sz w:val="20"/>
                <w:szCs w:val="20"/>
                <w:color w:val="auto"/>
              </w:rPr>
            </w:pPr>
            <w:r>
              <w:rPr>
                <w:rFonts w:ascii="Arial" w:cs="Arial" w:eastAsia="Arial" w:hAnsi="Arial"/>
                <w:sz w:val="16"/>
                <w:szCs w:val="16"/>
                <w:b w:val="1"/>
                <w:bCs w:val="1"/>
                <w:color w:val="auto"/>
              </w:rPr>
              <w:t>2,738</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2,778</w:t>
            </w:r>
          </w:p>
        </w:tc>
      </w:tr>
      <w:tr>
        <w:trPr>
          <w:trHeight w:val="33"/>
        </w:trPr>
        <w:tc>
          <w:tcPr>
            <w:tcW w:w="4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3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(57)</w:t>
            </w:r>
          </w:p>
        </w:tc>
        <w:tc>
          <w:tcPr>
            <w:tcW w:w="1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1"/>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30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$2,681</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$2,763</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$2,767</w:t>
            </w:r>
          </w:p>
        </w:tc>
      </w:tr>
      <w:tr>
        <w:trPr>
          <w:trHeight w:val="33"/>
        </w:trPr>
        <w:tc>
          <w:tcPr>
            <w:tcW w:w="4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first quarter of 2017, we issued $350 aggregate principal amount of 4.00% senior unsecured notes due March 2027 and $300 aggregate principal amount of 5.00% senior unsecured notes due January 2044. With the proceeds of these new notes, we retired our $650 senior unsecured notes that were due January 2018. We incurred $18 of net interest expense related to the refinancing, which included the write-off of unamortized balances associated with the debt discount, issue costs and fair value hedge adjustment resulting from the sale of our interest rate swap agreements in 2012. It also included a one-time payment of $24 to 2018 Senior Note holders under a make-whole provision, which represents the net present value of expected coupon payments had the notes been outstanding through the original maturity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of October 28,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available liquidity under the revolver until repaid.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As of October 28, 2017, we had no issuances outstanding under our commercial paper program and no borrowings outstanding under our revolver.</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As of October 28, 2017, we were in compliance with this covenant.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30</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Financial instruments not measured at fair value on a recurring basis include cash and cash equivalents, accounts receivable (excluding employee credit card receivables “held for sale”), accounts payable and certificates of deposit, which approximate fair value due to their short-term nature, and long-term debt.</w:t>
      </w:r>
    </w:p>
    <w:p>
      <w:pPr>
        <w:spacing w:after="0" w:line="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600" w:type="dxa"/>
            <w:vAlign w:val="bottom"/>
          </w:tcPr>
          <w:p>
            <w:pPr>
              <w:jc w:val="right"/>
              <w:ind w:right="299"/>
              <w:spacing w:after="0"/>
              <w:rPr>
                <w:sz w:val="20"/>
                <w:szCs w:val="20"/>
                <w:color w:val="auto"/>
              </w:rPr>
            </w:pPr>
            <w:r>
              <w:rPr>
                <w:rFonts w:ascii="Arial" w:cs="Arial" w:eastAsia="Arial" w:hAnsi="Arial"/>
                <w:sz w:val="16"/>
                <w:szCs w:val="16"/>
                <w:b w:val="1"/>
                <w:bCs w:val="1"/>
                <w:color w:val="auto"/>
              </w:rPr>
              <w:t>October 28, 2017</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28, 2017</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4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6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$2,738</w:t>
            </w:r>
          </w:p>
        </w:tc>
        <w:tc>
          <w:tcPr>
            <w:tcW w:w="1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$2,774</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$2,778</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600" w:type="dxa"/>
            <w:vAlign w:val="bottom"/>
          </w:tcPr>
          <w:p>
            <w:pPr>
              <w:jc w:val="right"/>
              <w:ind w:right="299"/>
              <w:spacing w:after="0"/>
              <w:rPr>
                <w:sz w:val="20"/>
                <w:szCs w:val="20"/>
                <w:color w:val="auto"/>
              </w:rPr>
            </w:pPr>
            <w:r>
              <w:rPr>
                <w:rFonts w:ascii="Arial" w:cs="Arial" w:eastAsia="Arial" w:hAnsi="Arial"/>
                <w:sz w:val="16"/>
                <w:szCs w:val="16"/>
                <w:b w:val="1"/>
                <w:bCs w:val="1"/>
                <w:color w:val="auto"/>
              </w:rPr>
              <w:t>2,840</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2,949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3,064</w:t>
            </w:r>
          </w:p>
        </w:tc>
      </w:tr>
      <w:tr>
        <w:trPr>
          <w:trHeight w:val="33"/>
        </w:trPr>
        <w:tc>
          <w:tcPr>
            <w:tcW w:w="4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Nonrecurring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employee credit card receivables are classified as “held for sale” (“receivables held for sale”) and are recorded at the lower of cost or fair value (see Note</w:t>
      </w:r>
    </w:p>
    <w:p>
      <w:pPr>
        <w:spacing w:after="0" w:line="32" w:lineRule="exact"/>
        <w:rPr>
          <w:sz w:val="20"/>
          <w:szCs w:val="20"/>
          <w:color w:val="auto"/>
        </w:rPr>
      </w:pPr>
    </w:p>
    <w:p>
      <w:pPr>
        <w:ind w:right="160" w:firstLine="8"/>
        <w:spacing w:after="0" w:line="255"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We estimate the fair value of our receivables held for sale based on a discounted cash flow model using estimates and assumptions regarding future credit card portfolio performance. This fair value estimate is primarily based on Level 3 inputs in the fair value hierarchy. Based upon this assessment, the carrying value of the receivables held for sale approximated fair value at October 28,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investment in contract asset and long-lived tangible and intangible assets, in connection with periodic evaluations for potential impairment. We estimate the fair value of these assets using primarily unobservable inputs and, as such, these are considered Level 3 fair value measurements.</w:t>
      </w:r>
    </w:p>
    <w:p>
      <w:pPr>
        <w:spacing w:after="0" w:line="13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During the third quarter of 2016, the long-term operating plan for Trunk Club was updated to reflect current expectations for future growth and profitability which were lower than previous expectations. Due to lowered expectations, we tested Trunk Club goodwill for impairment in the third quarter, one quarter prior to the annual evaluation. Step 1 test results indicated that the estimated fair value of the reporting unit was less than the carrying value.</w:t>
      </w:r>
    </w:p>
    <w:p>
      <w:pPr>
        <w:spacing w:after="0" w:line="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our Step 2 analysis, we used a combination of the expected present value of future cash flows (income approach) and comparable public companies (market approach) to determine the fair value of the reporting unit. These approaches use primarily unobservable inputs, including discount, sales growth and profit margin rates, which are considered Level 3 fair value measurements. The fair value analysis took into account recent and expected operating performance as well as the overall decline in the retail industry. Within our Retail Segment, we recognized a goodwill impairment charge of $197, reducing Trunk Club goodwill to $64 as of October 29, 2016 from $261 as of January 30,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impairment charges for these assets for the nine months ended October 28,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October 28, 2017, we had approximately $249 of fee interest in land, which is expected to convert to a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30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SHAREHOLDERS’ EQUITY</w:t>
      </w:r>
    </w:p>
    <w:p>
      <w:pPr>
        <w:spacing w:after="0" w:line="27"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In February 2017, our Board of Directors authorized a program to repurchase up to $500 of our outstanding common stock through August 31, 2018. Our October 1, 2015 Board authorized share repurchase program expired in March 2017, which had $409 of unused capacity upon program expiration.</w:t>
      </w:r>
    </w:p>
    <w:p>
      <w:pPr>
        <w:spacing w:after="0" w:line="8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During the nine months ended October 28, 2017, we repurchased 4.6 shares of our common stock for an aggregate purchase price of $206 and had $414 remaining in share repurchase capacity as of October 28, 2017. The actual timing, price, manner and amounts of future share repurchases, if any, will be subject to market and economic conditions and applicable Securities and Exchange Commission (“SEC”) rules.</w:t>
      </w:r>
    </w:p>
    <w:p>
      <w:pPr>
        <w:spacing w:after="0" w:line="111" w:lineRule="exact"/>
        <w:rPr>
          <w:sz w:val="20"/>
          <w:szCs w:val="20"/>
          <w:color w:val="auto"/>
        </w:rPr>
      </w:pPr>
    </w:p>
    <w:p>
      <w:pPr>
        <w:ind w:right="1180"/>
        <w:spacing w:after="0" w:line="352" w:lineRule="auto"/>
        <w:rPr>
          <w:sz w:val="20"/>
          <w:szCs w:val="20"/>
          <w:color w:val="auto"/>
        </w:rPr>
      </w:pPr>
      <w:r>
        <w:rPr>
          <w:rFonts w:ascii="Arial" w:cs="Arial" w:eastAsia="Arial" w:hAnsi="Arial"/>
          <w:sz w:val="18"/>
          <w:szCs w:val="18"/>
          <w:color w:val="auto"/>
        </w:rPr>
        <w:t xml:space="preserve">In November 2017, subsequent to quarter end, we declared a quarterly dividend of $0.37 per share, which will be paid on December 12, 2017. </w:t>
      </w:r>
      <w:r>
        <w:rPr>
          <w:rFonts w:ascii="Arial" w:cs="Arial" w:eastAsia="Arial" w:hAnsi="Arial"/>
          <w:sz w:val="18"/>
          <w:szCs w:val="18"/>
          <w:b w:val="1"/>
          <w:bCs w:val="1"/>
          <w:color w:val="auto"/>
        </w:rPr>
        <w:t>NOTE 6: STOCK-BASED COMPENSATION</w:t>
      </w:r>
    </w:p>
    <w:p>
      <w:pPr>
        <w:spacing w:after="0" w:line="1"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On May 16, 2017, our shareholders approved an amendment to the 2010 Equity Incentive Plan. The amendment increases common stock available for issuance by 6.2. As of October 28, 2017, the aggregate number of shares to be issued under the Plan may not exceed 36.6, plus any shares currently outstanding under the 2004 Plan that are forfeited or expire during the term of the 2010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28,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2016</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$13</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5</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13</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480" w:type="dxa"/>
            <w:vAlign w:val="bottom"/>
            <w:vMerge w:val="restart"/>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19</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59</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benefit</w:t>
            </w:r>
          </w:p>
        </w:tc>
        <w:tc>
          <w:tcPr>
            <w:tcW w:w="248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vMerge w:val="continue"/>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(7)</w:t>
            </w: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(22)</w:t>
            </w:r>
          </w:p>
        </w:tc>
        <w:tc>
          <w:tcPr>
            <w:tcW w:w="16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2014, restricted stock units became a growing component of our stock-based compensation mix. During 2017, this trend has continued as our annual grant allocation shifted towards more restricted stock units and less options to better align with our compensation program’s guiding principles. The following table summarizes our grants: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0" w:type="dxa"/>
            <w:vAlign w:val="bottom"/>
            <w:gridSpan w:val="3"/>
          </w:tcPr>
          <w:p>
            <w:pPr>
              <w:ind w:left="1140"/>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780" w:type="dxa"/>
            <w:vAlign w:val="bottom"/>
            <w:tcBorders>
              <w:bottom w:val="single" w:sz="8" w:color="auto"/>
            </w:tcBorders>
            <w:gridSpan w:val="4"/>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780" w:type="dxa"/>
            <w:vAlign w:val="bottom"/>
            <w:gridSpan w:val="4"/>
          </w:tcPr>
          <w:p>
            <w:pPr>
              <w:ind w:left="1320"/>
              <w:spacing w:after="0"/>
              <w:rPr>
                <w:sz w:val="20"/>
                <w:szCs w:val="20"/>
                <w:color w:val="auto"/>
              </w:rPr>
            </w:pPr>
            <w:r>
              <w:rPr>
                <w:rFonts w:ascii="Arial" w:cs="Arial" w:eastAsia="Arial" w:hAnsi="Arial"/>
                <w:sz w:val="16"/>
                <w:szCs w:val="16"/>
                <w:b w:val="1"/>
                <w:bCs w:val="1"/>
                <w:color w:val="auto"/>
              </w:rPr>
              <w:t>October 28, 2017</w:t>
            </w:r>
          </w:p>
        </w:tc>
        <w:tc>
          <w:tcPr>
            <w:tcW w:w="286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Weighted-average</w:t>
            </w:r>
          </w:p>
        </w:tc>
        <w:tc>
          <w:tcPr>
            <w:tcW w:w="108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grant-date fair value</w:t>
            </w:r>
          </w:p>
        </w:tc>
        <w:tc>
          <w:tcPr>
            <w:tcW w:w="108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per unit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1.9</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0.3</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0.1</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30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(LOSS)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(loss)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28,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2016</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28, 2017</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$286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166.6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166.7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w:t>
            </w:r>
          </w:p>
        </w:tc>
      </w:tr>
      <w:tr>
        <w:trPr>
          <w:trHeight w:val="27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Dilutive effect of common stock equivalents</w:t>
            </w:r>
            <w:r>
              <w:rPr>
                <w:rFonts w:ascii="Arial" w:cs="Arial" w:eastAsia="Arial" w:hAnsi="Arial"/>
                <w:sz w:val="21"/>
                <w:szCs w:val="21"/>
                <w:color w:val="auto"/>
                <w:vertAlign w:val="superscript"/>
              </w:rPr>
              <w:t>1</w:t>
            </w:r>
          </w:p>
        </w:tc>
        <w:tc>
          <w:tcPr>
            <w:tcW w:w="2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2.2</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2.1</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168.8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168.8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per basic share</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$0.68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$1.72</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Earnings (Loss) per diluted share</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$0.67</w:t>
            </w:r>
          </w:p>
        </w:tc>
        <w:tc>
          <w:tcPr>
            <w:tcW w:w="13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$1.70</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$0.87</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10.0</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10.8</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9.0</w:t>
            </w:r>
          </w:p>
        </w:tc>
      </w:tr>
    </w:tbl>
    <w:p>
      <w:pPr>
        <w:spacing w:after="0" w:line="28" w:lineRule="exact"/>
        <w:rPr>
          <w:sz w:val="20"/>
          <w:szCs w:val="20"/>
          <w:color w:val="auto"/>
        </w:rPr>
      </w:pPr>
    </w:p>
    <w:p>
      <w:pPr>
        <w:ind w:left="80" w:right="160" w:hanging="72"/>
        <w:spacing w:after="0" w:line="257" w:lineRule="auto"/>
        <w:tabs>
          <w:tab w:leader="none" w:pos="66" w:val="left"/>
        </w:tabs>
        <w:numPr>
          <w:ilvl w:val="0"/>
          <w:numId w:val="5"/>
        </w:numPr>
        <w:rPr>
          <w:rFonts w:ascii="Arial" w:cs="Arial" w:eastAsia="Arial" w:hAnsi="Arial"/>
          <w:sz w:val="9"/>
          <w:szCs w:val="9"/>
          <w:color w:val="auto"/>
        </w:rPr>
      </w:pPr>
      <w:r>
        <w:rPr>
          <w:rFonts w:ascii="Arial" w:cs="Arial" w:eastAsia="Arial" w:hAnsi="Arial"/>
          <w:sz w:val="14"/>
          <w:szCs w:val="14"/>
          <w:color w:val="auto"/>
        </w:rPr>
        <w:t>Due to the anti-dilutive effect resulting from the reported net loss for the quarter ended October 29, 2016, the impact of potentially dilutive securities on the weighted-average shares outstanding has been omitted from the quarterly calculation of loss per diluted share. The impact of these potentially dilutive securities has been included in the calculation of weighted-average shares for the nine months ended 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30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Retail</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Retail</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Corporate/Other</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Business</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Ended October 28, 2017</w:t>
            </w:r>
          </w:p>
        </w:tc>
        <w:tc>
          <w:tcPr>
            <w:tcW w:w="1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$3,351</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$190</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$3,541</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$3,541</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88</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168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(8)</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160</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48</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208</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(28)</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(28)</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168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(36)</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132</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48</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180</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4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Quarter Ended October 29, 2016</w:t>
            </w: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$3,317</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$155</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$3,472</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9"/>
              <w:spacing w:after="0"/>
              <w:rPr>
                <w:sz w:val="20"/>
                <w:szCs w:val="20"/>
                <w:color w:val="auto"/>
              </w:rPr>
            </w:pPr>
            <w:r>
              <w:rPr>
                <w:rFonts w:ascii="Arial" w:cs="Arial" w:eastAsia="Arial" w:hAnsi="Arial"/>
                <w:sz w:val="16"/>
                <w:szCs w:val="16"/>
                <w:color w:val="auto"/>
              </w:rPr>
              <w:t>70</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23</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32</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(30)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(30)</w:t>
            </w:r>
          </w:p>
        </w:tc>
        <w:tc>
          <w:tcPr>
            <w:tcW w:w="15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(7)</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32</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97"/>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October 28, 2017</w:t>
            </w:r>
          </w:p>
        </w:tc>
        <w:tc>
          <w:tcPr>
            <w:tcW w:w="1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$10,698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($161)</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$10,537</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$10,537</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239</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767</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(316)</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451</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124</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575</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(104)</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(104)</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767</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(420)</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347</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124</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471</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Nine Months Ended October 29, 2016</w:t>
            </w: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$10,446</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($191)</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$10,255</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9"/>
              <w:spacing w:after="0"/>
              <w:rPr>
                <w:sz w:val="20"/>
                <w:szCs w:val="20"/>
                <w:color w:val="auto"/>
              </w:rPr>
            </w:pPr>
            <w:r>
              <w:rPr>
                <w:rFonts w:ascii="Arial" w:cs="Arial" w:eastAsia="Arial" w:hAnsi="Arial"/>
                <w:sz w:val="16"/>
                <w:szCs w:val="16"/>
                <w:color w:val="auto"/>
              </w:rPr>
              <w:t>186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(274)</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316</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65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(90)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(90)</w:t>
            </w:r>
          </w:p>
        </w:tc>
        <w:tc>
          <w:tcPr>
            <w:tcW w:w="15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(364)</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226</w:t>
            </w:r>
          </w:p>
        </w:tc>
        <w:tc>
          <w:tcPr>
            <w:tcW w:w="15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65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0"/>
        </w:trPr>
        <w:tc>
          <w:tcPr>
            <w:tcW w:w="40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represents a subtotal of the Retail segment and Corporate/Other and is not a reportable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30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within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28,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2016</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r>
              <w:rPr>
                <w:rFonts w:ascii="Arial" w:cs="Arial" w:eastAsia="Arial" w:hAnsi="Arial"/>
                <w:sz w:val="21"/>
                <w:szCs w:val="21"/>
                <w:color w:val="auto"/>
                <w:vertAlign w:val="superscript"/>
              </w:rPr>
              <w:t>1</w:t>
            </w:r>
          </w:p>
        </w:tc>
        <w:tc>
          <w:tcPr>
            <w:tcW w:w="248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$1,488</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$4,858</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534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1,901</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1,675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6,759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6,803</w:t>
            </w:r>
          </w:p>
        </w:tc>
      </w:tr>
      <w:tr>
        <w:trPr>
          <w:trHeight w:val="297"/>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966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2,910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212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609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482</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1,178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3,519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3,259</w:t>
            </w:r>
          </w:p>
        </w:tc>
      </w:tr>
      <w:tr>
        <w:trPr>
          <w:trHeight w:val="297"/>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2</w:t>
            </w:r>
          </w:p>
        </w:tc>
        <w:tc>
          <w:tcPr>
            <w:tcW w:w="24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151</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420</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Retail segment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3,351</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10,698</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10,446</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190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24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$3,541</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$3,472</w:t>
            </w:r>
          </w:p>
        </w:tc>
        <w:tc>
          <w:tcPr>
            <w:tcW w:w="1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$10,537</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$10,255</w:t>
            </w:r>
          </w:p>
        </w:tc>
      </w:tr>
    </w:tbl>
    <w:p>
      <w:pPr>
        <w:spacing w:after="0" w:line="28"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Nordstrom full-line stores - U.S. includes Nordstrom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30</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our anticipated financial outlook for the fiscal year ending February 3, 2018, our anticipated annual total and comparable sales rates, our anticipated new store openings in existing, new and international markets, our anticipated Return on Invested Capital and trends in our operations. Such statements are based upon the current beliefs and expectations of our management and are subject to significant risks and uncertainties. Our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500" w:right="4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Arial" w:cs="Arial" w:eastAsia="Arial" w:hAnsi="Arial"/>
          <w:sz w:val="18"/>
          <w:szCs w:val="18"/>
          <w:color w:val="auto"/>
        </w:rPr>
      </w:pPr>
    </w:p>
    <w:p>
      <w:pPr>
        <w:ind w:left="500" w:right="10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respond to the business and retail environment, fashion trends and consumer preferences, including changing expectations of service and experience in stores and online, and evolve our business model,</w:t>
      </w:r>
    </w:p>
    <w:p>
      <w:pPr>
        <w:ind w:left="500" w:right="24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and effective execution of our ecommerce initiatives and ability to manage the costs and organizational changes associated with this evolving business model,</w:t>
      </w: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w:t>
      </w: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500" w:right="16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 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500" w:right="28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processes and systems, disruptions in our supply chain and our ability to control costs,</w:t>
      </w:r>
    </w:p>
    <w:p>
      <w:pPr>
        <w:ind w:left="500" w:right="34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the announcement by the members of the Nordstrom family relating to the exploration of a possible “going private transaction” on our relationships with our customers, employees, suppliers and partners, operating results and business generally,</w:t>
      </w: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500" w:right="20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 which could be impacted by the uncertainty about the possibility of a “going private transaction,”</w:t>
      </w:r>
    </w:p>
    <w:p>
      <w:pPr>
        <w:ind w:left="500" w:right="14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 Bank USA, N.A. (“TD”),</w:t>
      </w: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and promotional retail industry,</w:t>
      </w:r>
    </w:p>
    <w:p>
      <w:pPr>
        <w:spacing w:after="0" w:line="9" w:lineRule="exact"/>
        <w:rPr>
          <w:rFonts w:ascii="Arial" w:cs="Arial" w:eastAsia="Arial" w:hAnsi="Arial"/>
          <w:sz w:val="18"/>
          <w:szCs w:val="18"/>
          <w:color w:val="auto"/>
        </w:rPr>
      </w:pPr>
    </w:p>
    <w:p>
      <w:pPr>
        <w:ind w:left="500" w:right="68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w:t>
      </w:r>
    </w:p>
    <w:p>
      <w:pPr>
        <w:ind w:left="500" w:right="40" w:hanging="168"/>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the Company, if any, or any share issuances by the Company, including issuances associated with option exercises or 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patterns,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economic or political conditions in the U.S. and countries where our third party vendors operate,</w:t>
      </w:r>
    </w:p>
    <w:p>
      <w:pPr>
        <w:spacing w:after="0" w:line="9" w:lineRule="exact"/>
        <w:rPr>
          <w:rFonts w:ascii="Arial" w:cs="Arial" w:eastAsia="Arial" w:hAnsi="Arial"/>
          <w:sz w:val="18"/>
          <w:szCs w:val="18"/>
          <w:color w:val="auto"/>
        </w:rPr>
      </w:pPr>
    </w:p>
    <w:p>
      <w:pPr>
        <w:ind w:left="500" w:right="300" w:hanging="168"/>
        <w:spacing w:after="0" w:line="261"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disruptions, or the prospects of these events and the resulting impact on consumer spending patterns or information technology systems and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500" w:right="60" w:hanging="168"/>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500" w:hanging="168"/>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and health care reforms, and</w:t>
      </w:r>
    </w:p>
    <w:p>
      <w:pPr>
        <w:spacing w:after="0" w:line="9" w:lineRule="exact"/>
        <w:rPr>
          <w:rFonts w:ascii="Arial" w:cs="Arial" w:eastAsia="Arial" w:hAnsi="Arial"/>
          <w:sz w:val="18"/>
          <w:szCs w:val="18"/>
          <w:color w:val="auto"/>
        </w:rPr>
      </w:pPr>
    </w:p>
    <w:p>
      <w:pPr>
        <w:ind w:left="500" w:right="420" w:hanging="168"/>
        <w:spacing w:after="0" w:line="261"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debt covenants, availability and cost of credit, changes in our credit rating, changes in interest rates, debt repayment patterns and personal bankruptcies.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2016 Annual Report on Form 10-K and Part II, “Item 1A. Risk Factors” in this Quarterly Report on Form 10-Q could affect our financial results and cause actual results to differ materially from any forward-looking information we may provide. We undertake no obligation to update or revise any forward-looking statements to reflect subsequent events, new information or future circumstances, except as may be required by law.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 of 30</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Our third quarter net earnings were $114, or $0.67 per diluted share. The estimated reduction in earnings from three hurricanes affecting our business in Puerto Rico, Florida, and Texas in the quarter was approximately $0.04 per diluted share.</w:t>
      </w:r>
    </w:p>
    <w:p>
      <w:pPr>
        <w:spacing w:after="0" w:line="13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net sales increased 2.0%, and comparable sales decreased 0.9% during the quarter. The estimated lost sales impact from the hurricanes was approximately $20, or 60 basis points. When adjusted for this impact, our overall sales performance was generally in-line with our expectations. This reflected consistent trends in our full-price business while we experienced softer sales in our off-price business. Our merchandise margins continued to be relatively stable, reflecting our ongoing progress in supporting a healthy regular-price selling business. For the third quarter and the balance of the year, our inventory plans are aligned with our current sales trends.</w:t>
      </w:r>
    </w:p>
    <w:p>
      <w:pPr>
        <w:spacing w:after="0" w:line="13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Core to our strategy, we are focused on providing a differentiated selection of the best products, coupled with a high level of service and experience. We are continually testing and learning from new concepts to deliver experiences that improve speed, convenience, and personalization for our customers:</w:t>
      </w:r>
    </w:p>
    <w:p>
      <w:pPr>
        <w:spacing w:after="0" w:line="70" w:lineRule="exact"/>
        <w:rPr>
          <w:sz w:val="20"/>
          <w:szCs w:val="20"/>
          <w:color w:val="auto"/>
        </w:rPr>
      </w:pPr>
    </w:p>
    <w:p>
      <w:pPr>
        <w:ind w:left="340" w:right="2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most recent example is Nordstrom Local, a test retail concept in West Hollywood, California focused on services. This location allows customers more convenient access to personal stylists, alterations and online order pickups and returns.</w:t>
      </w:r>
    </w:p>
    <w:p>
      <w:pPr>
        <w:spacing w:after="0" w:line="8"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recently expanded Reserve Online and Try-In Store to more than 50 stores across the country. This service is a convenient way for customers to shop and it frees up their time. If they use that time to do additional shopping in our stores, it may result in a lift in their spend. Another way we are connecting the digital and in-store experience is through Style Boards. This digital selling tool leverages the expertise of our salespeople and enables customers to receive personalized product recommendations on their mobile phones.</w:t>
      </w:r>
    </w:p>
    <w:p>
      <w:pPr>
        <w:spacing w:after="0" w:line="24"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Collaborating with popular fashion influencer Something Navy, we launched an exclusive capsule collection with our in-house Treasure &amp; Bond brand. This launch was our largest ever, generating $2 in demand on the first day. We continue to grow limited distribution products and our private label brands continue to outperform the company average.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Looking ahead to the remainder of the year, we are focused on making Nordstrom a convenient place for customers to do their holiday shopping.</w:t>
      </w:r>
    </w:p>
    <w:p>
      <w:pPr>
        <w:spacing w:after="0" w:line="183" w:lineRule="exact"/>
        <w:rPr>
          <w:sz w:val="20"/>
          <w:szCs w:val="20"/>
          <w:color w:val="auto"/>
        </w:rPr>
      </w:pPr>
    </w:p>
    <w:p>
      <w:pPr>
        <w:ind w:left="340" w:right="26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invested in key categories and brands that resonate most with our customers. To support peak volumes we expect during the holidays, we are expanding our online selection.</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shopping faster and easier, we offer:</w:t>
      </w:r>
    </w:p>
    <w:p>
      <w:pPr>
        <w:spacing w:after="0" w:line="63"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Buy Online Pick up In-Store with an option for curbside service in our full-line stores. In major markets, including Seattle, Chicago, Dallas and San Diego, 24-hour curbside pickup will be available for the holidays.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 Online and Try In-Store in more than 50 of our full-line stores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Same-day delivery services in several markets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combination of our physical and digital assets represents a competitive advantage. Our omni-channel business model provides for favorable economics related to driving customer spend, reducing the cost of serving customers, and elevating the Nordstrom and Nordstrom Rack brands. We are well-positioned to execute on our customer strategy and remain focused on delivering a differentiated customer experience.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 of 30</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reportable segments are Retail and Credit. We analyze our results of operations through earnings before interest and income taxes for our Retail Business and Credit, while interest expense, income taxes and earnings per share are discussed on a total Company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Business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Retail Business includes our Nordstrom U.S. and Canada full-line stores (including Nordstrom Local), Nordstrom.com, Nordstrom Rack stores, Nordstromrack.com/HauteLook, Trunk Club, Jeffrey boutiques and Last Chance clearance stores. For purposes of discussion and analysis of our results of operations of our Retail Business, we combine our Retail segment results with revenues and expenses in the “Corporate/Other” column of Note 8: Segment Reporting in Item 1 (collectively, the “Retail Business”).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1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Sales – includes sales from stores that have been open at least one full year at the beginning of the year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Total Company comparable sales includes sales from our online channels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Turnover Rate – trailing 12-months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Sales Per Square Foot – net sales divided by weighted-average square footage</w:t>
      </w:r>
    </w:p>
    <w:p>
      <w:pPr>
        <w:spacing w:after="0" w:line="6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4-wall Sales Per Square Foot – sales for Nordstrom U.S. and Canada full-line stores, Nordstrom Rack stores, Trunk Club clubhouses, Jeffrey boutiques and Last Chance clearance stores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60" w:type="dxa"/>
            <w:vAlign w:val="bottom"/>
            <w:gridSpan w:val="3"/>
          </w:tcPr>
          <w:p>
            <w:pPr>
              <w:jc w:val="center"/>
              <w:ind w:left="939"/>
              <w:spacing w:after="0"/>
              <w:rPr>
                <w:sz w:val="20"/>
                <w:szCs w:val="20"/>
                <w:color w:val="auto"/>
              </w:rPr>
            </w:pPr>
            <w:r>
              <w:rPr>
                <w:rFonts w:ascii="Arial" w:cs="Arial" w:eastAsia="Arial" w:hAnsi="Arial"/>
                <w:sz w:val="16"/>
                <w:szCs w:val="16"/>
                <w:b w:val="1"/>
                <w:bCs w:val="1"/>
                <w:color w:val="auto"/>
                <w:w w:val="95"/>
              </w:rPr>
              <w:t>Quarter Ended</w:t>
            </w: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4860" w:type="dxa"/>
            <w:vAlign w:val="bottom"/>
            <w:tcBorders>
              <w:bottom w:val="single" w:sz="8" w:color="auto"/>
            </w:tcBorders>
            <w:gridSpan w:val="4"/>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4860" w:type="dxa"/>
            <w:vAlign w:val="bottom"/>
            <w:gridSpan w:val="4"/>
          </w:tcPr>
          <w:p>
            <w:pPr>
              <w:ind w:left="1400"/>
              <w:spacing w:after="0"/>
              <w:rPr>
                <w:sz w:val="20"/>
                <w:szCs w:val="20"/>
                <w:color w:val="auto"/>
              </w:rPr>
            </w:pPr>
            <w:r>
              <w:rPr>
                <w:rFonts w:ascii="Arial" w:cs="Arial" w:eastAsia="Arial" w:hAnsi="Arial"/>
                <w:sz w:val="16"/>
                <w:szCs w:val="16"/>
                <w:b w:val="1"/>
                <w:bCs w:val="1"/>
                <w:color w:val="auto"/>
              </w:rPr>
              <w:t>October 28, 2017</w:t>
            </w:r>
          </w:p>
        </w:tc>
        <w:tc>
          <w:tcPr>
            <w:tcW w:w="308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October 29, 2016</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2760" w:type="dxa"/>
            <w:vAlign w:val="bottom"/>
            <w:gridSpan w:val="3"/>
          </w:tcPr>
          <w:p>
            <w:pPr>
              <w:ind w:left="44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10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$3,541</w:t>
            </w:r>
          </w:p>
        </w:tc>
        <w:tc>
          <w:tcPr>
            <w:tcW w:w="18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$3,472</w:t>
            </w:r>
          </w:p>
        </w:tc>
        <w:tc>
          <w:tcPr>
            <w:tcW w:w="18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(2,311)</w:t>
            </w:r>
          </w:p>
        </w:tc>
        <w:tc>
          <w:tcPr>
            <w:tcW w:w="1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10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(2,262)</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1,230</w:t>
            </w:r>
          </w:p>
        </w:tc>
        <w:tc>
          <w:tcPr>
            <w:tcW w:w="1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1,210</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100" w:type="dxa"/>
            <w:vAlign w:val="bottom"/>
          </w:tcPr>
          <w:p>
            <w:pPr>
              <w:jc w:val="right"/>
              <w:ind w:right="379"/>
              <w:spacing w:after="0"/>
              <w:rPr>
                <w:sz w:val="20"/>
                <w:szCs w:val="20"/>
                <w:color w:val="auto"/>
              </w:rPr>
            </w:pPr>
            <w:r>
              <w:rPr>
                <w:rFonts w:ascii="Arial" w:cs="Arial" w:eastAsia="Arial" w:hAnsi="Arial"/>
                <w:sz w:val="16"/>
                <w:szCs w:val="16"/>
                <w:b w:val="1"/>
                <w:bCs w:val="1"/>
                <w:color w:val="auto"/>
              </w:rPr>
              <w:t>(1,070)</w:t>
            </w:r>
          </w:p>
        </w:tc>
        <w:tc>
          <w:tcPr>
            <w:tcW w:w="1820" w:type="dxa"/>
            <w:vAlign w:val="bottom"/>
          </w:tcPr>
          <w:p>
            <w:pPr>
              <w:jc w:val="right"/>
              <w:ind w:right="79"/>
              <w:spacing w:after="0"/>
              <w:rPr>
                <w:sz w:val="20"/>
                <w:szCs w:val="20"/>
                <w:color w:val="auto"/>
              </w:rPr>
            </w:pPr>
            <w:r>
              <w:rPr>
                <w:rFonts w:ascii="Arial" w:cs="Arial" w:eastAsia="Arial" w:hAnsi="Arial"/>
                <w:sz w:val="16"/>
                <w:szCs w:val="16"/>
                <w:b w:val="1"/>
                <w:bCs w:val="1"/>
                <w:color w:val="auto"/>
              </w:rPr>
              <w:t>(30.2%)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(990)</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t>
            </w:r>
          </w:p>
        </w:tc>
        <w:tc>
          <w:tcPr>
            <w:tcW w:w="276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(197)</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1"/>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1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$160</w:t>
            </w:r>
          </w:p>
        </w:tc>
        <w:tc>
          <w:tcPr>
            <w:tcW w:w="1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4.5%</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$23</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3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3"/>
              </w:rPr>
              <w:t>Nine Months Ended</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4860" w:type="dxa"/>
            <w:vAlign w:val="bottom"/>
            <w:tcBorders>
              <w:bottom w:val="single" w:sz="8" w:color="auto"/>
            </w:tcBorders>
            <w:gridSpan w:val="4"/>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4860" w:type="dxa"/>
            <w:vAlign w:val="bottom"/>
            <w:gridSpan w:val="4"/>
          </w:tcPr>
          <w:p>
            <w:pPr>
              <w:ind w:left="1400"/>
              <w:spacing w:after="0"/>
              <w:rPr>
                <w:sz w:val="20"/>
                <w:szCs w:val="20"/>
                <w:color w:val="auto"/>
              </w:rPr>
            </w:pPr>
            <w:r>
              <w:rPr>
                <w:rFonts w:ascii="Arial" w:cs="Arial" w:eastAsia="Arial" w:hAnsi="Arial"/>
                <w:sz w:val="16"/>
                <w:szCs w:val="16"/>
                <w:b w:val="1"/>
                <w:bCs w:val="1"/>
                <w:color w:val="auto"/>
              </w:rPr>
              <w:t>October 28, 2017</w:t>
            </w:r>
          </w:p>
        </w:tc>
        <w:tc>
          <w:tcPr>
            <w:tcW w:w="308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October 29, 2016</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2760" w:type="dxa"/>
            <w:vAlign w:val="bottom"/>
            <w:gridSpan w:val="3"/>
          </w:tcPr>
          <w:p>
            <w:pPr>
              <w:ind w:left="44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10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$10,537</w:t>
            </w:r>
          </w:p>
        </w:tc>
        <w:tc>
          <w:tcPr>
            <w:tcW w:w="18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$10,255</w:t>
            </w:r>
          </w:p>
        </w:tc>
        <w:tc>
          <w:tcPr>
            <w:tcW w:w="18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(6,914)</w:t>
            </w:r>
          </w:p>
        </w:tc>
        <w:tc>
          <w:tcPr>
            <w:tcW w:w="1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10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(6,718)</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3,623</w:t>
            </w:r>
          </w:p>
        </w:tc>
        <w:tc>
          <w:tcPr>
            <w:tcW w:w="1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3,537</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100" w:type="dxa"/>
            <w:vAlign w:val="bottom"/>
          </w:tcPr>
          <w:p>
            <w:pPr>
              <w:jc w:val="right"/>
              <w:ind w:right="379"/>
              <w:spacing w:after="0"/>
              <w:rPr>
                <w:sz w:val="20"/>
                <w:szCs w:val="20"/>
                <w:color w:val="auto"/>
              </w:rPr>
            </w:pPr>
            <w:r>
              <w:rPr>
                <w:rFonts w:ascii="Arial" w:cs="Arial" w:eastAsia="Arial" w:hAnsi="Arial"/>
                <w:sz w:val="16"/>
                <w:szCs w:val="16"/>
                <w:b w:val="1"/>
                <w:bCs w:val="1"/>
                <w:color w:val="auto"/>
              </w:rPr>
              <w:t>(3,172)</w:t>
            </w:r>
          </w:p>
        </w:tc>
        <w:tc>
          <w:tcPr>
            <w:tcW w:w="1820" w:type="dxa"/>
            <w:vAlign w:val="bottom"/>
          </w:tcPr>
          <w:p>
            <w:pPr>
              <w:jc w:val="right"/>
              <w:ind w:right="79"/>
              <w:spacing w:after="0"/>
              <w:rPr>
                <w:sz w:val="20"/>
                <w:szCs w:val="20"/>
                <w:color w:val="auto"/>
              </w:rPr>
            </w:pPr>
            <w:r>
              <w:rPr>
                <w:rFonts w:ascii="Arial" w:cs="Arial" w:eastAsia="Arial" w:hAnsi="Arial"/>
                <w:sz w:val="16"/>
                <w:szCs w:val="16"/>
                <w:b w:val="1"/>
                <w:bCs w:val="1"/>
                <w:color w:val="auto"/>
              </w:rPr>
              <w:t>(30.1%)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(3,024)</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t>
            </w:r>
          </w:p>
        </w:tc>
        <w:tc>
          <w:tcPr>
            <w:tcW w:w="276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(197)</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1"/>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1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$451</w:t>
            </w:r>
          </w:p>
        </w:tc>
        <w:tc>
          <w:tcPr>
            <w:tcW w:w="1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$316</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30</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The following is a summary of our net sales by channel for our Retail Business:</w:t>
      </w:r>
    </w:p>
    <w:p>
      <w:pPr>
        <w:sectPr>
          <w:pgSz w:w="11900" w:h="16838" w:orient="portrait"/>
          <w:cols w:equalWidth="0" w:num="1">
            <w:col w:w="11420"/>
          </w:cols>
          <w:pgMar w:left="240" w:top="118" w:right="239" w:bottom="1440" w:gutter="0" w:footer="0" w:header="0"/>
        </w:sectPr>
      </w:pPr>
    </w:p>
    <w:p>
      <w:pPr>
        <w:spacing w:after="0" w:line="133" w:lineRule="exact"/>
        <w:rPr>
          <w:sz w:val="20"/>
          <w:szCs w:val="20"/>
          <w:color w:val="auto"/>
        </w:rPr>
      </w:pPr>
    </w:p>
    <w:p>
      <w:pPr>
        <w:jc w:val="center"/>
        <w:ind w:left="372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37465</wp:posOffset>
            </wp:positionV>
            <wp:extent cx="2487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0" w:lineRule="exact"/>
        <w:rPr>
          <w:sz w:val="20"/>
          <w:szCs w:val="20"/>
          <w:color w:val="auto"/>
        </w:rPr>
      </w:pPr>
    </w:p>
    <w:p>
      <w:pPr>
        <w:ind w:left="3820"/>
        <w:spacing w:after="0"/>
        <w:tabs>
          <w:tab w:leader="none" w:pos="5820" w:val="left"/>
        </w:tabs>
        <w:rPr>
          <w:sz w:val="20"/>
          <w:szCs w:val="20"/>
          <w:color w:val="auto"/>
        </w:rPr>
      </w:pPr>
      <w:r>
        <w:rPr>
          <w:rFonts w:ascii="Arial" w:cs="Arial" w:eastAsia="Arial" w:hAnsi="Arial"/>
          <w:sz w:val="16"/>
          <w:szCs w:val="16"/>
          <w:b w:val="1"/>
          <w:bCs w:val="1"/>
          <w:color w:val="auto"/>
        </w:rPr>
        <w:t>October 28, 2017</w:t>
      </w:r>
      <w:r>
        <w:rPr>
          <w:sz w:val="20"/>
          <w:szCs w:val="20"/>
          <w:color w:val="auto"/>
        </w:rPr>
        <w:tab/>
      </w:r>
      <w:r>
        <w:rPr>
          <w:rFonts w:ascii="Arial" w:cs="Arial" w:eastAsia="Arial" w:hAnsi="Arial"/>
          <w:sz w:val="14"/>
          <w:szCs w:val="14"/>
          <w:b w:val="1"/>
          <w:bCs w:val="1"/>
          <w:color w:val="auto"/>
        </w:rPr>
        <w:t>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80"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October 28, 2017</w:t>
      </w:r>
      <w:r>
        <w:rPr>
          <w:sz w:val="20"/>
          <w:szCs w:val="20"/>
          <w:color w:val="auto"/>
        </w:rPr>
        <w:tab/>
      </w:r>
      <w:r>
        <w:rPr>
          <w:rFonts w:ascii="Arial" w:cs="Arial" w:eastAsia="Arial" w:hAnsi="Arial"/>
          <w:sz w:val="14"/>
          <w:szCs w:val="14"/>
          <w:b w:val="1"/>
          <w:bCs w:val="1"/>
          <w:color w:val="auto"/>
        </w:rPr>
        <w:t>October 29, 2016</w:t>
      </w:r>
    </w:p>
    <w:p>
      <w:pPr>
        <w:spacing w:after="0" w:line="100" w:lineRule="exact"/>
        <w:rPr>
          <w:sz w:val="20"/>
          <w:szCs w:val="20"/>
          <w:color w:val="auto"/>
        </w:rPr>
      </w:pPr>
    </w:p>
    <w:p>
      <w:pPr>
        <w:sectPr>
          <w:pgSz w:w="11900" w:h="16838" w:orient="portrait"/>
          <w:cols w:equalWidth="0" w:num="2">
            <w:col w:w="7140" w:space="720"/>
            <w:col w:w="356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Net sales by channel: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tcPr>
          <w:p>
            <w:pPr>
              <w:ind w:left="40"/>
              <w:spacing w:after="0"/>
              <w:rPr>
                <w:sz w:val="20"/>
                <w:szCs w:val="20"/>
                <w:color w:val="auto"/>
              </w:rPr>
            </w:pPr>
            <w:r>
              <w:rPr>
                <w:rFonts w:ascii="Arial" w:cs="Arial" w:eastAsia="Arial" w:hAnsi="Arial"/>
                <w:sz w:val="16"/>
                <w:szCs w:val="16"/>
                <w:color w:val="auto"/>
              </w:rPr>
              <w:t>Nordstrom full-line stores - U.S.</w:t>
            </w:r>
            <w:r>
              <w:rPr>
                <w:rFonts w:ascii="Arial" w:cs="Arial" w:eastAsia="Arial" w:hAnsi="Arial"/>
                <w:sz w:val="21"/>
                <w:szCs w:val="21"/>
                <w:color w:val="auto"/>
                <w:vertAlign w:val="superscript"/>
              </w:rPr>
              <w:t>1</w:t>
            </w:r>
          </w:p>
        </w:tc>
        <w:tc>
          <w:tcPr>
            <w:tcW w:w="2200" w:type="dxa"/>
            <w:vAlign w:val="bottom"/>
          </w:tcPr>
          <w:p>
            <w:pPr>
              <w:jc w:val="right"/>
              <w:ind w:right="799"/>
              <w:spacing w:after="0"/>
              <w:rPr>
                <w:sz w:val="20"/>
                <w:szCs w:val="20"/>
                <w:color w:val="auto"/>
              </w:rPr>
            </w:pPr>
            <w:r>
              <w:rPr>
                <w:rFonts w:ascii="Arial" w:cs="Arial" w:eastAsia="Arial" w:hAnsi="Arial"/>
                <w:sz w:val="16"/>
                <w:szCs w:val="16"/>
                <w:b w:val="1"/>
                <w:bCs w:val="1"/>
                <w:color w:val="auto"/>
              </w:rPr>
              <w:t>$1,488</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$1,568</w:t>
            </w:r>
          </w:p>
        </w:tc>
        <w:tc>
          <w:tcPr>
            <w:tcW w:w="2040" w:type="dxa"/>
            <w:vAlign w:val="bottom"/>
          </w:tcPr>
          <w:p>
            <w:pPr>
              <w:jc w:val="right"/>
              <w:ind w:right="799"/>
              <w:spacing w:after="0"/>
              <w:rPr>
                <w:sz w:val="20"/>
                <w:szCs w:val="20"/>
                <w:color w:val="auto"/>
              </w:rPr>
            </w:pPr>
            <w:r>
              <w:rPr>
                <w:rFonts w:ascii="Arial" w:cs="Arial" w:eastAsia="Arial" w:hAnsi="Arial"/>
                <w:sz w:val="16"/>
                <w:szCs w:val="16"/>
                <w:b w:val="1"/>
                <w:bCs w:val="1"/>
                <w:color w:val="auto"/>
              </w:rPr>
              <w:t>$4,858</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$5,128</w:t>
            </w:r>
          </w:p>
        </w:tc>
      </w:tr>
      <w:tr>
        <w:trPr>
          <w:trHeight w:val="275"/>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2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534</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497</w:t>
            </w:r>
          </w:p>
        </w:tc>
        <w:tc>
          <w:tcPr>
            <w:tcW w:w="2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1,901</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1,675</w:t>
            </w:r>
          </w:p>
        </w:tc>
      </w:tr>
      <w:tr>
        <w:trPr>
          <w:trHeight w:val="231"/>
        </w:trPr>
        <w:tc>
          <w:tcPr>
            <w:tcW w:w="3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220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2,022</w:t>
            </w:r>
          </w:p>
        </w:tc>
        <w:tc>
          <w:tcPr>
            <w:tcW w:w="1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2,065</w:t>
            </w:r>
          </w:p>
        </w:tc>
        <w:tc>
          <w:tcPr>
            <w:tcW w:w="204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6,759</w:t>
            </w:r>
          </w:p>
        </w:tc>
        <w:tc>
          <w:tcPr>
            <w:tcW w:w="15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6,803</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36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2200" w:type="dxa"/>
            <w:vAlign w:val="bottom"/>
          </w:tcPr>
          <w:p>
            <w:pPr>
              <w:jc w:val="right"/>
              <w:ind w:right="799"/>
              <w:spacing w:after="0"/>
              <w:rPr>
                <w:sz w:val="20"/>
                <w:szCs w:val="20"/>
                <w:color w:val="auto"/>
              </w:rPr>
            </w:pPr>
            <w:r>
              <w:rPr>
                <w:rFonts w:ascii="Arial" w:cs="Arial" w:eastAsia="Arial" w:hAnsi="Arial"/>
                <w:sz w:val="16"/>
                <w:szCs w:val="16"/>
                <w:b w:val="1"/>
                <w:bCs w:val="1"/>
                <w:color w:val="auto"/>
              </w:rPr>
              <w:t>966</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958</w:t>
            </w:r>
          </w:p>
        </w:tc>
        <w:tc>
          <w:tcPr>
            <w:tcW w:w="2040" w:type="dxa"/>
            <w:vAlign w:val="bottom"/>
          </w:tcPr>
          <w:p>
            <w:pPr>
              <w:jc w:val="right"/>
              <w:ind w:right="799"/>
              <w:spacing w:after="0"/>
              <w:rPr>
                <w:sz w:val="20"/>
                <w:szCs w:val="20"/>
                <w:color w:val="auto"/>
              </w:rPr>
            </w:pPr>
            <w:r>
              <w:rPr>
                <w:rFonts w:ascii="Arial" w:cs="Arial" w:eastAsia="Arial" w:hAnsi="Arial"/>
                <w:sz w:val="16"/>
                <w:szCs w:val="16"/>
                <w:b w:val="1"/>
                <w:bCs w:val="1"/>
                <w:color w:val="auto"/>
              </w:rPr>
              <w:t>2,910</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2,777</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22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212</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159</w:t>
            </w:r>
          </w:p>
        </w:tc>
        <w:tc>
          <w:tcPr>
            <w:tcW w:w="2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609</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482</w:t>
            </w:r>
          </w:p>
        </w:tc>
      </w:tr>
      <w:tr>
        <w:trPr>
          <w:trHeight w:val="231"/>
        </w:trPr>
        <w:tc>
          <w:tcPr>
            <w:tcW w:w="3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220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1,178</w:t>
            </w:r>
          </w:p>
        </w:tc>
        <w:tc>
          <w:tcPr>
            <w:tcW w:w="1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1,117</w:t>
            </w:r>
          </w:p>
        </w:tc>
        <w:tc>
          <w:tcPr>
            <w:tcW w:w="204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3,519</w:t>
            </w:r>
          </w:p>
        </w:tc>
        <w:tc>
          <w:tcPr>
            <w:tcW w:w="15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3,259</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36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0"/>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2</w:t>
            </w:r>
          </w:p>
        </w:tc>
        <w:tc>
          <w:tcPr>
            <w:tcW w:w="22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151</w:t>
            </w:r>
          </w:p>
        </w:tc>
        <w:tc>
          <w:tcPr>
            <w:tcW w:w="19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135</w:t>
            </w:r>
          </w:p>
        </w:tc>
        <w:tc>
          <w:tcPr>
            <w:tcW w:w="20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420</w:t>
            </w: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384</w:t>
            </w: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22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3,351</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3,317</w:t>
            </w:r>
          </w:p>
        </w:tc>
        <w:tc>
          <w:tcPr>
            <w:tcW w:w="2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10,698</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10,446</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2200" w:type="dxa"/>
            <w:vAlign w:val="bottom"/>
          </w:tcPr>
          <w:p>
            <w:pPr>
              <w:jc w:val="right"/>
              <w:ind w:right="799"/>
              <w:spacing w:after="0"/>
              <w:rPr>
                <w:sz w:val="20"/>
                <w:szCs w:val="20"/>
                <w:color w:val="auto"/>
              </w:rPr>
            </w:pPr>
            <w:r>
              <w:rPr>
                <w:rFonts w:ascii="Arial" w:cs="Arial" w:eastAsia="Arial" w:hAnsi="Arial"/>
                <w:sz w:val="16"/>
                <w:szCs w:val="16"/>
                <w:b w:val="1"/>
                <w:bCs w:val="1"/>
                <w:color w:val="auto"/>
              </w:rPr>
              <w:t>190</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155</w:t>
            </w:r>
          </w:p>
        </w:tc>
        <w:tc>
          <w:tcPr>
            <w:tcW w:w="2040" w:type="dxa"/>
            <w:vAlign w:val="bottom"/>
          </w:tcPr>
          <w:p>
            <w:pPr>
              <w:jc w:val="right"/>
              <w:ind w:right="739"/>
              <w:spacing w:after="0"/>
              <w:rPr>
                <w:sz w:val="20"/>
                <w:szCs w:val="20"/>
                <w:color w:val="auto"/>
              </w:rPr>
            </w:pPr>
            <w:r>
              <w:rPr>
                <w:rFonts w:ascii="Arial" w:cs="Arial" w:eastAsia="Arial" w:hAnsi="Arial"/>
                <w:sz w:val="16"/>
                <w:szCs w:val="16"/>
                <w:b w:val="1"/>
                <w:bCs w:val="1"/>
                <w:color w:val="auto"/>
              </w:rPr>
              <w:t>(161)</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(191)</w:t>
            </w:r>
          </w:p>
        </w:tc>
      </w:tr>
      <w:tr>
        <w:trPr>
          <w:trHeight w:val="33"/>
        </w:trPr>
        <w:tc>
          <w:tcPr>
            <w:tcW w:w="36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2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$3,541</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$3,472</w:t>
            </w:r>
          </w:p>
        </w:tc>
        <w:tc>
          <w:tcPr>
            <w:tcW w:w="2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$10,537</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$10,255</w:t>
            </w:r>
          </w:p>
        </w:tc>
      </w:tr>
      <w:tr>
        <w:trPr>
          <w:trHeight w:val="291"/>
        </w:trPr>
        <w:tc>
          <w:tcPr>
            <w:tcW w:w="36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increase</w:t>
            </w:r>
          </w:p>
        </w:tc>
        <w:tc>
          <w:tcPr>
            <w:tcW w:w="22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2.0%</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7.2%</w:t>
            </w:r>
          </w:p>
        </w:tc>
        <w:tc>
          <w:tcPr>
            <w:tcW w:w="20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2.7%</w:t>
            </w: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w:t>
            </w:r>
          </w:p>
        </w:tc>
      </w:tr>
      <w:tr>
        <w:trPr>
          <w:trHeight w:val="297"/>
        </w:trPr>
        <w:tc>
          <w:tcPr>
            <w:tcW w:w="3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3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w:t>
            </w:r>
          </w:p>
        </w:tc>
        <w:tc>
          <w:tcPr>
            <w:tcW w:w="2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channel:</w:t>
            </w:r>
          </w:p>
        </w:tc>
        <w:tc>
          <w:tcPr>
            <w:tcW w:w="22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37"/>
        </w:trPr>
        <w:tc>
          <w:tcPr>
            <w:tcW w:w="3680" w:type="dxa"/>
            <w:vAlign w:val="bottom"/>
          </w:tcPr>
          <w:p>
            <w:pPr>
              <w:ind w:left="280"/>
              <w:spacing w:after="0"/>
              <w:rPr>
                <w:sz w:val="20"/>
                <w:szCs w:val="20"/>
                <w:color w:val="auto"/>
              </w:rPr>
            </w:pPr>
            <w:r>
              <w:rPr>
                <w:rFonts w:ascii="Arial" w:cs="Arial" w:eastAsia="Arial" w:hAnsi="Arial"/>
                <w:sz w:val="16"/>
                <w:szCs w:val="16"/>
                <w:color w:val="auto"/>
              </w:rPr>
              <w:t>Nordstrom full-line stores - U.S.</w:t>
            </w:r>
          </w:p>
        </w:tc>
        <w:tc>
          <w:tcPr>
            <w:tcW w:w="2200" w:type="dxa"/>
            <w:vAlign w:val="bottom"/>
          </w:tcPr>
          <w:p>
            <w:pPr>
              <w:jc w:val="right"/>
              <w:ind w:right="599"/>
              <w:spacing w:after="0"/>
              <w:rPr>
                <w:sz w:val="20"/>
                <w:szCs w:val="20"/>
                <w:color w:val="auto"/>
              </w:rPr>
            </w:pPr>
            <w:r>
              <w:rPr>
                <w:rFonts w:ascii="Arial" w:cs="Arial" w:eastAsia="Arial" w:hAnsi="Arial"/>
                <w:sz w:val="16"/>
                <w:szCs w:val="16"/>
                <w:b w:val="1"/>
                <w:bCs w:val="1"/>
                <w:color w:val="auto"/>
              </w:rPr>
              <w:t>(4.9%)</w:t>
            </w:r>
          </w:p>
        </w:tc>
        <w:tc>
          <w:tcPr>
            <w:tcW w:w="1980" w:type="dxa"/>
            <w:vAlign w:val="bottom"/>
          </w:tcPr>
          <w:p>
            <w:pPr>
              <w:jc w:val="right"/>
              <w:ind w:right="579"/>
              <w:spacing w:after="0"/>
              <w:rPr>
                <w:sz w:val="20"/>
                <w:szCs w:val="20"/>
                <w:color w:val="auto"/>
              </w:rPr>
            </w:pPr>
            <w:r>
              <w:rPr>
                <w:rFonts w:ascii="Arial" w:cs="Arial" w:eastAsia="Arial" w:hAnsi="Arial"/>
                <w:sz w:val="16"/>
                <w:szCs w:val="16"/>
                <w:color w:val="auto"/>
              </w:rPr>
              <w:t>(4.5%)</w:t>
            </w:r>
          </w:p>
        </w:tc>
        <w:tc>
          <w:tcPr>
            <w:tcW w:w="2040" w:type="dxa"/>
            <w:vAlign w:val="bottom"/>
          </w:tcPr>
          <w:p>
            <w:pPr>
              <w:jc w:val="right"/>
              <w:ind w:right="579"/>
              <w:spacing w:after="0"/>
              <w:rPr>
                <w:sz w:val="20"/>
                <w:szCs w:val="20"/>
                <w:color w:val="auto"/>
              </w:rPr>
            </w:pPr>
            <w:r>
              <w:rPr>
                <w:rFonts w:ascii="Arial" w:cs="Arial" w:eastAsia="Arial" w:hAnsi="Arial"/>
                <w:sz w:val="16"/>
                <w:szCs w:val="16"/>
                <w:b w:val="1"/>
                <w:bCs w:val="1"/>
                <w:color w:val="auto"/>
              </w:rPr>
              <w:t>(5.2%)</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(6.3%)</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Nordstrom.com</w:t>
            </w:r>
          </w:p>
        </w:tc>
        <w:tc>
          <w:tcPr>
            <w:tcW w:w="22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7.5%</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20.1%</w:t>
            </w:r>
          </w:p>
        </w:tc>
        <w:tc>
          <w:tcPr>
            <w:tcW w:w="20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13.5%</w:t>
            </w: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10.3%</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200" w:type="dxa"/>
            <w:vAlign w:val="bottom"/>
          </w:tcPr>
          <w:p>
            <w:pPr>
              <w:jc w:val="right"/>
              <w:ind w:right="599"/>
              <w:spacing w:after="0"/>
              <w:rPr>
                <w:sz w:val="20"/>
                <w:szCs w:val="20"/>
                <w:color w:val="auto"/>
              </w:rPr>
            </w:pPr>
            <w:r>
              <w:rPr>
                <w:rFonts w:ascii="Arial" w:cs="Arial" w:eastAsia="Arial" w:hAnsi="Arial"/>
                <w:sz w:val="16"/>
                <w:szCs w:val="16"/>
                <w:b w:val="1"/>
                <w:bCs w:val="1"/>
                <w:color w:val="auto"/>
              </w:rPr>
              <w:t>(1.9%)</w:t>
            </w:r>
          </w:p>
        </w:tc>
        <w:tc>
          <w:tcPr>
            <w:tcW w:w="1980" w:type="dxa"/>
            <w:vAlign w:val="bottom"/>
          </w:tcPr>
          <w:p>
            <w:pPr>
              <w:jc w:val="right"/>
              <w:ind w:right="619"/>
              <w:spacing w:after="0"/>
              <w:rPr>
                <w:sz w:val="20"/>
                <w:szCs w:val="20"/>
                <w:color w:val="auto"/>
              </w:rPr>
            </w:pPr>
            <w:r>
              <w:rPr>
                <w:rFonts w:ascii="Arial" w:cs="Arial" w:eastAsia="Arial" w:hAnsi="Arial"/>
                <w:sz w:val="16"/>
                <w:szCs w:val="16"/>
                <w:color w:val="auto"/>
              </w:rPr>
              <w:t>0.5%</w:t>
            </w:r>
          </w:p>
        </w:tc>
        <w:tc>
          <w:tcPr>
            <w:tcW w:w="2040" w:type="dxa"/>
            <w:vAlign w:val="bottom"/>
          </w:tcPr>
          <w:p>
            <w:pPr>
              <w:jc w:val="right"/>
              <w:ind w:right="579"/>
              <w:spacing w:after="0"/>
              <w:rPr>
                <w:sz w:val="20"/>
                <w:szCs w:val="20"/>
                <w:color w:val="auto"/>
              </w:rPr>
            </w:pPr>
            <w:r>
              <w:rPr>
                <w:rFonts w:ascii="Arial" w:cs="Arial" w:eastAsia="Arial" w:hAnsi="Arial"/>
                <w:sz w:val="16"/>
                <w:szCs w:val="16"/>
                <w:b w:val="1"/>
                <w:bCs w:val="1"/>
                <w:color w:val="auto"/>
              </w:rPr>
              <w:t>(0.5%)</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(2.6%)</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Nordstrom Rack</w:t>
            </w:r>
          </w:p>
        </w:tc>
        <w:tc>
          <w:tcPr>
            <w:tcW w:w="22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(5.0%)</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0.9%</w:t>
            </w:r>
          </w:p>
        </w:tc>
        <w:tc>
          <w:tcPr>
            <w:tcW w:w="20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(2.3%)</w:t>
            </w: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r>
      <w:tr>
        <w:trPr>
          <w:trHeight w:val="237"/>
        </w:trPr>
        <w:tc>
          <w:tcPr>
            <w:tcW w:w="3680" w:type="dxa"/>
            <w:vAlign w:val="bottom"/>
          </w:tcPr>
          <w:p>
            <w:pPr>
              <w:ind w:left="280"/>
              <w:spacing w:after="0"/>
              <w:rPr>
                <w:sz w:val="20"/>
                <w:szCs w:val="20"/>
                <w:color w:val="auto"/>
              </w:rPr>
            </w:pPr>
            <w:r>
              <w:rPr>
                <w:rFonts w:ascii="Arial" w:cs="Arial" w:eastAsia="Arial" w:hAnsi="Arial"/>
                <w:sz w:val="16"/>
                <w:szCs w:val="16"/>
                <w:color w:val="auto"/>
              </w:rPr>
              <w:t>Nordstromrack.com/HauteLook</w:t>
            </w:r>
          </w:p>
        </w:tc>
        <w:tc>
          <w:tcPr>
            <w:tcW w:w="2200" w:type="dxa"/>
            <w:vAlign w:val="bottom"/>
          </w:tcPr>
          <w:p>
            <w:pPr>
              <w:jc w:val="right"/>
              <w:ind w:right="639"/>
              <w:spacing w:after="0"/>
              <w:rPr>
                <w:sz w:val="20"/>
                <w:szCs w:val="20"/>
                <w:color w:val="auto"/>
              </w:rPr>
            </w:pPr>
            <w:r>
              <w:rPr>
                <w:rFonts w:ascii="Arial" w:cs="Arial" w:eastAsia="Arial" w:hAnsi="Arial"/>
                <w:sz w:val="16"/>
                <w:szCs w:val="16"/>
                <w:b w:val="1"/>
                <w:bCs w:val="1"/>
                <w:color w:val="auto"/>
              </w:rPr>
              <w:t>33.6%</w:t>
            </w:r>
          </w:p>
        </w:tc>
        <w:tc>
          <w:tcPr>
            <w:tcW w:w="1980" w:type="dxa"/>
            <w:vAlign w:val="bottom"/>
          </w:tcPr>
          <w:p>
            <w:pPr>
              <w:jc w:val="right"/>
              <w:ind w:right="619"/>
              <w:spacing w:after="0"/>
              <w:rPr>
                <w:sz w:val="20"/>
                <w:szCs w:val="20"/>
                <w:color w:val="auto"/>
              </w:rPr>
            </w:pPr>
            <w:r>
              <w:rPr>
                <w:rFonts w:ascii="Arial" w:cs="Arial" w:eastAsia="Arial" w:hAnsi="Arial"/>
                <w:sz w:val="16"/>
                <w:szCs w:val="16"/>
                <w:color w:val="auto"/>
              </w:rPr>
              <w:t>23.2%</w:t>
            </w:r>
          </w:p>
        </w:tc>
        <w:tc>
          <w:tcPr>
            <w:tcW w:w="2040" w:type="dxa"/>
            <w:vAlign w:val="bottom"/>
          </w:tcPr>
          <w:p>
            <w:pPr>
              <w:jc w:val="right"/>
              <w:ind w:right="619"/>
              <w:spacing w:after="0"/>
              <w:rPr>
                <w:sz w:val="20"/>
                <w:szCs w:val="20"/>
                <w:color w:val="auto"/>
              </w:rPr>
            </w:pPr>
            <w:r>
              <w:rPr>
                <w:rFonts w:ascii="Arial" w:cs="Arial" w:eastAsia="Arial" w:hAnsi="Arial"/>
                <w:sz w:val="16"/>
                <w:szCs w:val="16"/>
                <w:b w:val="1"/>
                <w:bCs w:val="1"/>
                <w:color w:val="auto"/>
              </w:rPr>
              <w:t>26.3%</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32.9%</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2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0.8%</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3.9%</w:t>
            </w:r>
          </w:p>
        </w:tc>
        <w:tc>
          <w:tcPr>
            <w:tcW w:w="20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2.0%</w:t>
            </w: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200" w:type="dxa"/>
            <w:vAlign w:val="bottom"/>
          </w:tcPr>
          <w:p>
            <w:pPr>
              <w:jc w:val="right"/>
              <w:ind w:right="599"/>
              <w:spacing w:after="0"/>
              <w:rPr>
                <w:sz w:val="20"/>
                <w:szCs w:val="20"/>
                <w:color w:val="auto"/>
              </w:rPr>
            </w:pPr>
            <w:r>
              <w:rPr>
                <w:rFonts w:ascii="Arial" w:cs="Arial" w:eastAsia="Arial" w:hAnsi="Arial"/>
                <w:sz w:val="16"/>
                <w:szCs w:val="16"/>
                <w:b w:val="1"/>
                <w:bCs w:val="1"/>
                <w:color w:val="auto"/>
              </w:rPr>
              <w:t>(0.9%)</w:t>
            </w:r>
          </w:p>
        </w:tc>
        <w:tc>
          <w:tcPr>
            <w:tcW w:w="1980" w:type="dxa"/>
            <w:vAlign w:val="bottom"/>
          </w:tcPr>
          <w:p>
            <w:pPr>
              <w:jc w:val="right"/>
              <w:ind w:right="619"/>
              <w:spacing w:after="0"/>
              <w:rPr>
                <w:sz w:val="20"/>
                <w:szCs w:val="20"/>
                <w:color w:val="auto"/>
              </w:rPr>
            </w:pPr>
            <w:r>
              <w:rPr>
                <w:rFonts w:ascii="Arial" w:cs="Arial" w:eastAsia="Arial" w:hAnsi="Arial"/>
                <w:sz w:val="16"/>
                <w:szCs w:val="16"/>
                <w:color w:val="auto"/>
              </w:rPr>
              <w:t>2.4%</w:t>
            </w:r>
          </w:p>
        </w:tc>
        <w:tc>
          <w:tcPr>
            <w:tcW w:w="2040" w:type="dxa"/>
            <w:vAlign w:val="bottom"/>
          </w:tcPr>
          <w:p>
            <w:pPr>
              <w:jc w:val="right"/>
              <w:ind w:right="619"/>
              <w:spacing w:after="0"/>
              <w:rPr>
                <w:sz w:val="20"/>
                <w:szCs w:val="20"/>
                <w:color w:val="auto"/>
              </w:rPr>
            </w:pPr>
            <w:r>
              <w:rPr>
                <w:rFonts w:ascii="Arial" w:cs="Arial" w:eastAsia="Arial" w:hAnsi="Arial"/>
                <w:sz w:val="16"/>
                <w:szCs w:val="16"/>
                <w:b w:val="1"/>
                <w:bCs w:val="1"/>
                <w:color w:val="auto"/>
              </w:rPr>
              <w:t>0.1%</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36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2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22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$118</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$119</w:t>
            </w:r>
          </w:p>
        </w:tc>
        <w:tc>
          <w:tcPr>
            <w:tcW w:w="2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$353</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$355</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2200" w:type="dxa"/>
            <w:vAlign w:val="bottom"/>
          </w:tcPr>
          <w:p>
            <w:pPr>
              <w:jc w:val="right"/>
              <w:ind w:right="799"/>
              <w:spacing w:after="0"/>
              <w:rPr>
                <w:sz w:val="20"/>
                <w:szCs w:val="20"/>
                <w:color w:val="auto"/>
              </w:rPr>
            </w:pPr>
            <w:r>
              <w:rPr>
                <w:rFonts w:ascii="Arial" w:cs="Arial" w:eastAsia="Arial" w:hAnsi="Arial"/>
                <w:sz w:val="16"/>
                <w:szCs w:val="16"/>
                <w:b w:val="1"/>
                <w:bCs w:val="1"/>
                <w:color w:val="auto"/>
              </w:rPr>
              <w:t>86</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90</w:t>
            </w:r>
          </w:p>
        </w:tc>
        <w:tc>
          <w:tcPr>
            <w:tcW w:w="2040" w:type="dxa"/>
            <w:vAlign w:val="bottom"/>
          </w:tcPr>
          <w:p>
            <w:pPr>
              <w:jc w:val="right"/>
              <w:ind w:right="799"/>
              <w:spacing w:after="0"/>
              <w:rPr>
                <w:sz w:val="20"/>
                <w:szCs w:val="20"/>
                <w:color w:val="auto"/>
              </w:rPr>
            </w:pPr>
            <w:r>
              <w:rPr>
                <w:rFonts w:ascii="Arial" w:cs="Arial" w:eastAsia="Arial" w:hAnsi="Arial"/>
                <w:sz w:val="16"/>
                <w:szCs w:val="16"/>
                <w:b w:val="1"/>
                <w:bCs w:val="1"/>
                <w:color w:val="auto"/>
              </w:rPr>
              <w:t>271</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283</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22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72</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76</w:t>
            </w:r>
          </w:p>
        </w:tc>
        <w:tc>
          <w:tcPr>
            <w:tcW w:w="2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235</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247</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2200" w:type="dxa"/>
            <w:vAlign w:val="bottom"/>
          </w:tcPr>
          <w:p>
            <w:pPr>
              <w:jc w:val="right"/>
              <w:ind w:right="799"/>
              <w:spacing w:after="0"/>
              <w:rPr>
                <w:sz w:val="20"/>
                <w:szCs w:val="20"/>
                <w:color w:val="auto"/>
              </w:rPr>
            </w:pPr>
            <w:r>
              <w:rPr>
                <w:rFonts w:ascii="Arial" w:cs="Arial" w:eastAsia="Arial" w:hAnsi="Arial"/>
                <w:sz w:val="16"/>
                <w:szCs w:val="16"/>
                <w:b w:val="1"/>
                <w:bCs w:val="1"/>
                <w:color w:val="auto"/>
              </w:rPr>
              <w:t>118</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127</w:t>
            </w:r>
          </w:p>
        </w:tc>
        <w:tc>
          <w:tcPr>
            <w:tcW w:w="2040" w:type="dxa"/>
            <w:vAlign w:val="bottom"/>
          </w:tcPr>
          <w:p>
            <w:pPr>
              <w:jc w:val="right"/>
              <w:ind w:right="799"/>
              <w:spacing w:after="0"/>
              <w:rPr>
                <w:sz w:val="20"/>
                <w:szCs w:val="20"/>
                <w:color w:val="auto"/>
              </w:rPr>
            </w:pPr>
            <w:r>
              <w:rPr>
                <w:rFonts w:ascii="Arial" w:cs="Arial" w:eastAsia="Arial" w:hAnsi="Arial"/>
                <w:sz w:val="16"/>
                <w:szCs w:val="16"/>
                <w:b w:val="1"/>
                <w:bCs w:val="1"/>
                <w:color w:val="auto"/>
              </w:rPr>
              <w:t>361</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376</w:t>
            </w:r>
          </w:p>
        </w:tc>
      </w:tr>
    </w:tbl>
    <w:p>
      <w:pPr>
        <w:spacing w:after="0" w:line="28" w:lineRule="exact"/>
        <w:rPr>
          <w:sz w:val="20"/>
          <w:szCs w:val="20"/>
          <w:color w:val="auto"/>
        </w:rPr>
      </w:pPr>
    </w:p>
    <w:p>
      <w:pPr>
        <w:ind w:left="80" w:hanging="72"/>
        <w:spacing w:after="0"/>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Nordstrom full-line stores - U.S. includes Nordstrom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1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Total Company net sales increased 2.0% for the third quarter and 2.7% for the nine months ended October 28, 2017, compared with the same periods in 2016, while comparable sales decreased 0.9% for the third quarter and increased 0.1% for the nine months ended October 28, 2017. The estimated lost sales impact from the hurricanes impacting Puerto Rico, Florida and Texas was approximately $20, or 60 basis points for the third quarter and 20 basis points for the nine months ended October 28, 2017. To date in fiscal 2017, we opened 17 Nordstrom Rack stores, one Canada full-line store and one Nordstrom Local store, relocated two U.S. full-line stores and one Nordstrom Rack store and closed two U.S. full-line stores.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30</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Full-price net sales, which consists of U.S. full-line and Nordstrom.com channels, decreased 2.1% for the third quarter and 0.7% for the nine months ended October 28, 2017, compared with the same periods in 2016, while comparable sales decreased 1.9% for the third quarter and 0.5% for the nine months ended October 28, 2017. Also on a comparable basis for the third quarter and the nine months ended October 28, 2017, full-price experienced a decrease in the total number of items sold, partially offset by an increase in the average selling price per item sold. The top-performing merchandise category was Men’s Apparel for the third quarter and Women’s Apparel for the nine months ended October 28, 2017. The West was the top-performing U.S. geographic region for the third quarter and the nine months ended October 28, 2017.</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Off-price net sales, which consists of Nordstrom Rack and Nordstromrack.com/HauteLook channels, increased 5.5% for the third quarter and 8.0% for the nine months ended October 28, 2017, compared with the same periods in 2016, while comparable sales increased 0.8% and 2.0% for the third quarter and nine months ended October 28, 2017. For the quarter and year-to-date period ended October 28, 2017, Nordstrom Rack experienced a decrease in the average selling price per item sold and in the total number of items sold on a comparable basis. The top-performing Nordstrom Rack merchandise category was Cosmetics for the third quarter and the nine months ended October 28, 2017. The West was the top-performing geographic region for the third quarter and the nine months ended October 28, 2017.</w:t>
      </w:r>
    </w:p>
    <w:p>
      <w:pPr>
        <w:spacing w:after="0" w:line="1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retail net sales increased for the third quarter and nine months ended October 28, 2017, compared with the same periods in 2016 due to increases in Canada sales, partially offset by lower sales in Trunk Club.</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4000" w:type="dxa"/>
            <w:vAlign w:val="bottom"/>
            <w:gridSpan w:val="3"/>
          </w:tcPr>
          <w:p>
            <w:pPr>
              <w:ind w:left="1440"/>
              <w:spacing w:after="0"/>
              <w:rPr>
                <w:sz w:val="20"/>
                <w:szCs w:val="20"/>
                <w:color w:val="auto"/>
              </w:rPr>
            </w:pPr>
            <w:r>
              <w:rPr>
                <w:rFonts w:ascii="Arial" w:cs="Arial" w:eastAsia="Arial" w:hAnsi="Arial"/>
                <w:sz w:val="16"/>
                <w:szCs w:val="16"/>
                <w:b w:val="1"/>
                <w:bCs w:val="1"/>
                <w:color w:val="auto"/>
              </w:rPr>
              <w:t>Quarter Ended</w:t>
            </w:r>
          </w:p>
        </w:tc>
        <w:tc>
          <w:tcPr>
            <w:tcW w:w="3920" w:type="dxa"/>
            <w:vAlign w:val="bottom"/>
            <w:gridSpan w:val="2"/>
          </w:tcPr>
          <w:p>
            <w:pPr>
              <w:jc w:val="right"/>
              <w:ind w:right="11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5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3500" w:type="dxa"/>
            <w:vAlign w:val="bottom"/>
          </w:tcPr>
          <w:p>
            <w:pPr>
              <w:spacing w:after="0"/>
              <w:rPr>
                <w:sz w:val="20"/>
                <w:szCs w:val="20"/>
                <w:color w:val="auto"/>
              </w:rPr>
            </w:pPr>
          </w:p>
        </w:tc>
        <w:tc>
          <w:tcPr>
            <w:tcW w:w="208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28, 2017</w:t>
            </w:r>
          </w:p>
        </w:tc>
        <w:tc>
          <w:tcPr>
            <w:tcW w:w="1920" w:type="dxa"/>
            <w:vAlign w:val="bottom"/>
            <w:gridSpan w:val="2"/>
          </w:tcPr>
          <w:p>
            <w:pPr>
              <w:ind w:left="340"/>
              <w:spacing w:after="0"/>
              <w:rPr>
                <w:sz w:val="20"/>
                <w:szCs w:val="20"/>
                <w:color w:val="auto"/>
              </w:rPr>
            </w:pPr>
            <w:r>
              <w:rPr>
                <w:rFonts w:ascii="Arial" w:cs="Arial" w:eastAsia="Arial" w:hAnsi="Arial"/>
                <w:sz w:val="16"/>
                <w:szCs w:val="16"/>
                <w:b w:val="1"/>
                <w:bCs w:val="1"/>
                <w:color w:val="auto"/>
              </w:rPr>
              <w:t>October 29, 2016</w:t>
            </w: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28, 2017</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20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$1,230</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$3,623</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$3,537</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34.7%</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0"/>
                <w:szCs w:val="20"/>
                <w:color w:val="auto"/>
              </w:rPr>
            </w:pPr>
          </w:p>
        </w:tc>
        <w:tc>
          <w:tcPr>
            <w:tcW w:w="2100" w:type="dxa"/>
            <w:vAlign w:val="bottom"/>
          </w:tcPr>
          <w:p>
            <w:pPr>
              <w:jc w:val="right"/>
              <w:ind w:right="259"/>
              <w:spacing w:after="0"/>
              <w:rPr>
                <w:sz w:val="20"/>
                <w:szCs w:val="20"/>
                <w:color w:val="auto"/>
              </w:rPr>
            </w:pPr>
            <w:r>
              <w:rPr>
                <w:rFonts w:ascii="Arial" w:cs="Arial" w:eastAsia="Arial" w:hAnsi="Arial"/>
                <w:sz w:val="16"/>
                <w:szCs w:val="16"/>
                <w:b w:val="1"/>
                <w:bCs w:val="1"/>
                <w:color w:val="auto"/>
              </w:rPr>
              <w:t>34.4%</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34.5%</w:t>
            </w:r>
          </w:p>
        </w:tc>
      </w:tr>
      <w:tr>
        <w:trPr>
          <w:trHeight w:val="33"/>
        </w:trPr>
        <w:tc>
          <w:tcPr>
            <w:tcW w:w="3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5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28, 2017</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5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inventory per square foot</w:t>
            </w:r>
          </w:p>
        </w:tc>
        <w:tc>
          <w:tcPr>
            <w:tcW w:w="20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$80.54</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$80.94</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Inventory turnover rate</w:t>
            </w: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4.39</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4.31</w:t>
            </w:r>
          </w:p>
        </w:tc>
      </w:tr>
      <w:tr>
        <w:trPr>
          <w:trHeight w:val="33"/>
        </w:trPr>
        <w:tc>
          <w:tcPr>
            <w:tcW w:w="3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Retail GP decreased 12 basis points for the third quarter and 11 basis points for the nine months ended October 28, 2017, compared with the same periods in 2016, primarily due to higher planned occupancy expenses related to new store growth for Nordstrom Rack and Canada. Continued focus on inventory execution led to improvements in both ending inventory per square foot and the inventory turnover rate as of October 28,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40" w:type="dxa"/>
            <w:vAlign w:val="bottom"/>
            <w:gridSpan w:val="2"/>
          </w:tcPr>
          <w:p>
            <w:pPr>
              <w:jc w:val="right"/>
              <w:ind w:right="11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212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28, 2017</w:t>
            </w:r>
          </w:p>
        </w:tc>
        <w:tc>
          <w:tcPr>
            <w:tcW w:w="1940" w:type="dxa"/>
            <w:vAlign w:val="bottom"/>
            <w:gridSpan w:val="2"/>
          </w:tcPr>
          <w:p>
            <w:pPr>
              <w:ind w:left="360"/>
              <w:spacing w:after="0"/>
              <w:rPr>
                <w:sz w:val="20"/>
                <w:szCs w:val="20"/>
                <w:color w:val="auto"/>
              </w:rPr>
            </w:pPr>
            <w:r>
              <w:rPr>
                <w:rFonts w:ascii="Arial" w:cs="Arial" w:eastAsia="Arial" w:hAnsi="Arial"/>
                <w:sz w:val="16"/>
                <w:szCs w:val="16"/>
                <w:b w:val="1"/>
                <w:bCs w:val="1"/>
                <w:color w:val="auto"/>
              </w:rPr>
              <w:t>October 29, 2016</w:t>
            </w:r>
          </w:p>
        </w:tc>
        <w:tc>
          <w:tcPr>
            <w:tcW w:w="2120" w:type="dxa"/>
            <w:vAlign w:val="bottom"/>
          </w:tcPr>
          <w:p>
            <w:pPr>
              <w:jc w:val="right"/>
              <w:ind w:right="439"/>
              <w:spacing w:after="0"/>
              <w:rPr>
                <w:sz w:val="20"/>
                <w:szCs w:val="20"/>
                <w:color w:val="auto"/>
              </w:rPr>
            </w:pPr>
            <w:r>
              <w:rPr>
                <w:rFonts w:ascii="Arial" w:cs="Arial" w:eastAsia="Arial" w:hAnsi="Arial"/>
                <w:sz w:val="16"/>
                <w:szCs w:val="16"/>
                <w:b w:val="1"/>
                <w:bCs w:val="1"/>
                <w:color w:val="auto"/>
              </w:rPr>
              <w:t>October 28, 2017</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29, 2016</w:t>
            </w: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Retail selling, general and administrative expenses</w:t>
            </w:r>
          </w:p>
        </w:tc>
        <w:tc>
          <w:tcPr>
            <w:tcW w:w="21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$1,070</w:t>
            </w:r>
          </w:p>
        </w:tc>
        <w:tc>
          <w:tcPr>
            <w:tcW w:w="18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$3,172</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$3,024</w:t>
            </w:r>
          </w:p>
        </w:tc>
        <w:tc>
          <w:tcPr>
            <w:tcW w:w="0" w:type="dxa"/>
            <w:vAlign w:val="bottom"/>
          </w:tcPr>
          <w:p>
            <w:pPr>
              <w:spacing w:after="0"/>
              <w:rPr>
                <w:sz w:val="1"/>
                <w:szCs w:val="1"/>
                <w:color w:val="auto"/>
              </w:rPr>
            </w:pPr>
          </w:p>
        </w:tc>
      </w:tr>
      <w:tr>
        <w:trPr>
          <w:trHeight w:val="220"/>
        </w:trPr>
        <w:tc>
          <w:tcPr>
            <w:tcW w:w="3420" w:type="dxa"/>
            <w:vAlign w:val="bottom"/>
          </w:tcPr>
          <w:p>
            <w:pPr>
              <w:ind w:left="40"/>
              <w:spacing w:after="0"/>
              <w:rPr>
                <w:sz w:val="20"/>
                <w:szCs w:val="20"/>
                <w:color w:val="auto"/>
              </w:rPr>
            </w:pPr>
            <w:r>
              <w:rPr>
                <w:rFonts w:ascii="Arial" w:cs="Arial" w:eastAsia="Arial" w:hAnsi="Arial"/>
                <w:sz w:val="16"/>
                <w:szCs w:val="16"/>
                <w:color w:val="auto"/>
                <w:w w:val="93"/>
              </w:rPr>
              <w:t>Retail selling, general and administrative expenses</w:t>
            </w:r>
          </w:p>
        </w:tc>
        <w:tc>
          <w:tcPr>
            <w:tcW w:w="2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30.2%</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30.1%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280"/>
              <w:spacing w:after="0"/>
              <w:rPr>
                <w:sz w:val="20"/>
                <w:szCs w:val="20"/>
                <w:color w:val="auto"/>
              </w:rPr>
            </w:pPr>
            <w:r>
              <w:rPr>
                <w:rFonts w:ascii="Arial" w:cs="Arial" w:eastAsia="Arial" w:hAnsi="Arial"/>
                <w:sz w:val="16"/>
                <w:szCs w:val="16"/>
                <w:color w:val="auto"/>
              </w:rPr>
              <w:t>as a % of net sales</w:t>
            </w:r>
          </w:p>
        </w:tc>
        <w:tc>
          <w:tcPr>
            <w:tcW w:w="2120" w:type="dxa"/>
            <w:vAlign w:val="bottom"/>
            <w:vMerge w:val="continue"/>
          </w:tcPr>
          <w:p>
            <w:pPr>
              <w:spacing w:after="0"/>
              <w:rPr>
                <w:sz w:val="17"/>
                <w:szCs w:val="17"/>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Retail SG&amp;A increased $80 and 168 basis points for the third quarter and increased $148 and 61 basis points for the nine months ended October 28, 2017, primarily due to planned increases in technology and supply chain expenses associated with our growth initiatives.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30</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Segment</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Nordstrom credit and debit card products are designed to strengthen customer relationships and grow retail sales by providing loyalty benefits, valuable services and payment products. We believe our credit business allows us to build deeper relationships with our customers by fully integrating the Nordstrom Rewards program with our retail business and provide better service, which in turn fosters greater customer loyalty. Nordstrom cardholders tend to visit our stores more frequently and spend more than non-cardholders. Nordstrom private label credit and debit cards can be used at all of our U.S. retail channels, while Nordstrom Visa credit cards may also be used for purchases outside of Nordstrom (“outside volume”).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detailed view of the operational results of our Credit segment, consistent with Note 8: Segment Reporting in Item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2480" w:type="dxa"/>
            <w:vAlign w:val="bottom"/>
          </w:tcPr>
          <w:p>
            <w:pPr>
              <w:jc w:val="right"/>
              <w:ind w:right="739"/>
              <w:spacing w:after="0"/>
              <w:rPr>
                <w:sz w:val="20"/>
                <w:szCs w:val="20"/>
                <w:color w:val="auto"/>
              </w:rPr>
            </w:pPr>
            <w:r>
              <w:rPr>
                <w:rFonts w:ascii="Arial" w:cs="Arial" w:eastAsia="Arial" w:hAnsi="Arial"/>
                <w:sz w:val="16"/>
                <w:szCs w:val="16"/>
                <w:b w:val="1"/>
                <w:bCs w:val="1"/>
                <w:color w:val="auto"/>
              </w:rPr>
              <w:t>October 28, 2017</w:t>
            </w: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October 29, 2016</w:t>
            </w:r>
          </w:p>
        </w:tc>
        <w:tc>
          <w:tcPr>
            <w:tcW w:w="2100" w:type="dxa"/>
            <w:vAlign w:val="bottom"/>
          </w:tcPr>
          <w:p>
            <w:pPr>
              <w:jc w:val="right"/>
              <w:ind w:right="359"/>
              <w:spacing w:after="0"/>
              <w:rPr>
                <w:sz w:val="20"/>
                <w:szCs w:val="20"/>
                <w:color w:val="auto"/>
              </w:rPr>
            </w:pPr>
            <w:r>
              <w:rPr>
                <w:rFonts w:ascii="Arial" w:cs="Arial" w:eastAsia="Arial" w:hAnsi="Arial"/>
                <w:sz w:val="16"/>
                <w:szCs w:val="16"/>
                <w:b w:val="1"/>
                <w:bCs w:val="1"/>
                <w:color w:val="auto"/>
              </w:rPr>
              <w:t>October 28, 2017</w:t>
            </w: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24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$88</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$239</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$186</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(40)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auto"/>
              </w:rPr>
              <w:t>(115)</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(121)</w:t>
            </w:r>
          </w:p>
        </w:tc>
      </w:tr>
      <w:tr>
        <w:trPr>
          <w:trHeight w:val="33"/>
        </w:trPr>
        <w:tc>
          <w:tcPr>
            <w:tcW w:w="3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4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$48</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124</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r>
      <w:tr>
        <w:trPr>
          <w:trHeight w:val="291"/>
        </w:trPr>
        <w:tc>
          <w:tcPr>
            <w:tcW w:w="35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4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7"/>
        </w:trPr>
        <w:tc>
          <w:tcPr>
            <w:tcW w:w="3580" w:type="dxa"/>
            <w:vAlign w:val="bottom"/>
          </w:tcPr>
          <w:p>
            <w:pPr>
              <w:ind w:left="280"/>
              <w:spacing w:after="0"/>
              <w:rPr>
                <w:sz w:val="20"/>
                <w:szCs w:val="20"/>
                <w:color w:val="auto"/>
              </w:rPr>
            </w:pPr>
            <w:r>
              <w:rPr>
                <w:rFonts w:ascii="Arial" w:cs="Arial" w:eastAsia="Arial" w:hAnsi="Arial"/>
                <w:sz w:val="16"/>
                <w:szCs w:val="16"/>
                <w:color w:val="auto"/>
              </w:rPr>
              <w:t>Inside</w:t>
            </w:r>
          </w:p>
        </w:tc>
        <w:tc>
          <w:tcPr>
            <w:tcW w:w="2480" w:type="dxa"/>
            <w:vAlign w:val="bottom"/>
          </w:tcPr>
          <w:p>
            <w:pPr>
              <w:jc w:val="right"/>
              <w:ind w:right="739"/>
              <w:spacing w:after="0"/>
              <w:rPr>
                <w:sz w:val="20"/>
                <w:szCs w:val="20"/>
                <w:color w:val="auto"/>
              </w:rPr>
            </w:pPr>
            <w:r>
              <w:rPr>
                <w:rFonts w:ascii="Arial" w:cs="Arial" w:eastAsia="Arial" w:hAnsi="Arial"/>
                <w:sz w:val="16"/>
                <w:szCs w:val="16"/>
                <w:b w:val="1"/>
                <w:bCs w:val="1"/>
                <w:color w:val="auto"/>
              </w:rPr>
              <w:t>$1,205</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$1,239</w:t>
            </w:r>
          </w:p>
        </w:tc>
        <w:tc>
          <w:tcPr>
            <w:tcW w:w="120" w:type="dxa"/>
            <w:vAlign w:val="bottom"/>
          </w:tcPr>
          <w:p>
            <w:pPr>
              <w:spacing w:after="0"/>
              <w:rPr>
                <w:sz w:val="20"/>
                <w:szCs w:val="20"/>
                <w:color w:val="auto"/>
              </w:rPr>
            </w:pPr>
          </w:p>
        </w:tc>
        <w:tc>
          <w:tcPr>
            <w:tcW w:w="2100" w:type="dxa"/>
            <w:vAlign w:val="bottom"/>
          </w:tcPr>
          <w:p>
            <w:pPr>
              <w:jc w:val="right"/>
              <w:ind w:right="359"/>
              <w:spacing w:after="0"/>
              <w:rPr>
                <w:sz w:val="20"/>
                <w:szCs w:val="20"/>
                <w:color w:val="auto"/>
              </w:rPr>
            </w:pPr>
            <w:r>
              <w:rPr>
                <w:rFonts w:ascii="Arial" w:cs="Arial" w:eastAsia="Arial" w:hAnsi="Arial"/>
                <w:sz w:val="16"/>
                <w:szCs w:val="16"/>
                <w:b w:val="1"/>
                <w:bCs w:val="1"/>
                <w:color w:val="auto"/>
              </w:rPr>
              <w:t>$4,202</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$4,215</w:t>
            </w:r>
          </w:p>
        </w:tc>
      </w:tr>
      <w:tr>
        <w:trPr>
          <w:trHeight w:val="33"/>
        </w:trPr>
        <w:tc>
          <w:tcPr>
            <w:tcW w:w="3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Outside</w:t>
            </w:r>
          </w:p>
        </w:tc>
        <w:tc>
          <w:tcPr>
            <w:tcW w:w="24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1,084</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3,146</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3,106</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volume</w:t>
            </w:r>
          </w:p>
        </w:tc>
        <w:tc>
          <w:tcPr>
            <w:tcW w:w="248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$2,289</w:t>
            </w: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$2,262</w:t>
            </w:r>
          </w:p>
        </w:tc>
        <w:tc>
          <w:tcPr>
            <w:tcW w:w="1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$7,348</w:t>
            </w:r>
          </w:p>
        </w:tc>
        <w:tc>
          <w:tcPr>
            <w:tcW w:w="17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$7,321</w:t>
            </w:r>
          </w:p>
        </w:tc>
      </w:tr>
    </w:tbl>
    <w:p>
      <w:pPr>
        <w:spacing w:after="0" w:line="28"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Credit and debit card volume represents sales on the total portfolio plus applicable sales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28,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2016</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28, 2017</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program revenues, net</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$85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$229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3</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10</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$88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$239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0"/>
        </w:trPr>
        <w:tc>
          <w:tcPr>
            <w:tcW w:w="37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Pursuant to our program agreement with TD, we receive our portion of the ongoing credit card revenue, net of credit losses, from both sold and newly generated credit card receivables, which is recorded in credit program revenues, net. Asset amortization and deferred revenue recognition associated with the assets and liabilities recorded as part of the transaction are also recognized in credit program revenues, net. Revenue earned under the program agreement is impacted by the credit quality of receivables, both owned and serviced, and factors such as deteriorating economic conditions, declining creditworthiness of cardholders and the execution of account management and collection activities may heighten the risk of credit losses. Other credit card revenues include finance charge revenue, interchange fees and late fees on our accounts receivable retained (including debit and employee receivables). Subsequent to quarter end, on November 1, 2017, we completed the sale of our employee credit card receivables to TD (see Note 1: Basis of Presentation in Item 1).</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Credit card revenues, net increased $18 for the third quarter and $53 for the nine months ended October 28, 2017, compared with the same periods in 2016, reflecting our strategic partnership with TD to responsibly grow our receivables and associated revenues. There was also a reduction in amortization expense related to the sale of the credit card portfolio.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Total credit expenses were relatively flat for the third quarter, compared with the same period in 2016, and decreased $6 for the nine months ended October 28, 2017, primarily due to lower processing costs driven by operational efficiencies.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30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Company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Interest expense, net was $28 for the third quarter, compared with $30 for the same period in 2016, and $104 for the nine months ended October 28, 2017, compared with $90 for the same period in 2016. The increase for the nine months ended October 28, 2017 was primarily due to a net interest expense charge of $18 related to the $650 debt refinancing completed in the first quarter of 2017 (see Note 2: Debt and Credit Facilities in Item 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8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140" w:type="dxa"/>
            <w:vAlign w:val="bottom"/>
          </w:tcPr>
          <w:p>
            <w:pPr>
              <w:jc w:val="right"/>
              <w:ind w:right="439"/>
              <w:spacing w:after="0"/>
              <w:rPr>
                <w:sz w:val="20"/>
                <w:szCs w:val="20"/>
                <w:color w:val="auto"/>
              </w:rPr>
            </w:pPr>
            <w:r>
              <w:rPr>
                <w:rFonts w:ascii="Arial" w:cs="Arial" w:eastAsia="Arial" w:hAnsi="Arial"/>
                <w:sz w:val="16"/>
                <w:szCs w:val="16"/>
                <w:b w:val="1"/>
                <w:bCs w:val="1"/>
                <w:color w:val="auto"/>
              </w:rPr>
              <w:t>October 28, 2017</w:t>
            </w:r>
          </w:p>
        </w:tc>
        <w:tc>
          <w:tcPr>
            <w:tcW w:w="1920" w:type="dxa"/>
            <w:vAlign w:val="bottom"/>
            <w:gridSpan w:val="2"/>
          </w:tcPr>
          <w:p>
            <w:pPr>
              <w:ind w:left="360"/>
              <w:spacing w:after="0"/>
              <w:rPr>
                <w:sz w:val="20"/>
                <w:szCs w:val="20"/>
                <w:color w:val="auto"/>
              </w:rPr>
            </w:pPr>
            <w:r>
              <w:rPr>
                <w:rFonts w:ascii="Arial" w:cs="Arial" w:eastAsia="Arial" w:hAnsi="Arial"/>
                <w:sz w:val="16"/>
                <w:szCs w:val="16"/>
                <w:b w:val="1"/>
                <w:bCs w:val="1"/>
                <w:color w:val="auto"/>
              </w:rPr>
              <w:t>October 29, 2016</w:t>
            </w:r>
          </w:p>
        </w:tc>
        <w:tc>
          <w:tcPr>
            <w:tcW w:w="2160" w:type="dxa"/>
            <w:vAlign w:val="bottom"/>
          </w:tcPr>
          <w:p>
            <w:pPr>
              <w:jc w:val="right"/>
              <w:ind w:right="439"/>
              <w:spacing w:after="0"/>
              <w:rPr>
                <w:sz w:val="20"/>
                <w:szCs w:val="20"/>
                <w:color w:val="auto"/>
              </w:rPr>
            </w:pPr>
            <w:r>
              <w:rPr>
                <w:rFonts w:ascii="Arial" w:cs="Arial" w:eastAsia="Arial" w:hAnsi="Arial"/>
                <w:sz w:val="16"/>
                <w:szCs w:val="16"/>
                <w:b w:val="1"/>
                <w:bCs w:val="1"/>
                <w:color w:val="auto"/>
              </w:rPr>
              <w:t>October 28, 2017</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1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$66</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$185</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$138</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36.7%</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20"/>
                <w:szCs w:val="20"/>
                <w:color w:val="auto"/>
              </w:rPr>
            </w:pPr>
          </w:p>
        </w:tc>
        <w:tc>
          <w:tcPr>
            <w:tcW w:w="2160" w:type="dxa"/>
            <w:vAlign w:val="bottom"/>
          </w:tcPr>
          <w:p>
            <w:pPr>
              <w:jc w:val="right"/>
              <w:ind w:right="279"/>
              <w:spacing w:after="0"/>
              <w:rPr>
                <w:sz w:val="20"/>
                <w:szCs w:val="20"/>
                <w:color w:val="auto"/>
              </w:rPr>
            </w:pPr>
            <w:r>
              <w:rPr>
                <w:rFonts w:ascii="Arial" w:cs="Arial" w:eastAsia="Arial" w:hAnsi="Arial"/>
                <w:sz w:val="16"/>
                <w:szCs w:val="16"/>
                <w:b w:val="1"/>
                <w:bCs w:val="1"/>
                <w:color w:val="auto"/>
              </w:rPr>
              <w:t>39.2%</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47.4%</w:t>
            </w:r>
          </w:p>
        </w:tc>
      </w:tr>
      <w:tr>
        <w:trPr>
          <w:trHeight w:val="33"/>
        </w:trPr>
        <w:tc>
          <w:tcPr>
            <w:tcW w:w="3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effective tax rate decreased for the third quarter and nine months ended October 28, 2017, compared with the same periods in 2016, primarily due to the non-deductible goodwill impairment charge of $197 related to Trunk Club in the third quarter of 2016. Excluding the impact of the Trunk Club impairment, our effective tax rate for both the third quarter and nine months ended October 28, 2017 increased approximately 300 basis points primarily due to changes in tax reserves and an increase in the valuation allowance for foreign net operating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960" w:type="dxa"/>
            <w:vAlign w:val="bottom"/>
            <w:gridSpan w:val="3"/>
          </w:tcPr>
          <w:p>
            <w:pPr>
              <w:ind w:left="1420"/>
              <w:spacing w:after="0"/>
              <w:rPr>
                <w:sz w:val="20"/>
                <w:szCs w:val="20"/>
                <w:color w:val="auto"/>
              </w:rPr>
            </w:pPr>
            <w:r>
              <w:rPr>
                <w:rFonts w:ascii="Arial" w:cs="Arial" w:eastAsia="Arial" w:hAnsi="Arial"/>
                <w:sz w:val="16"/>
                <w:szCs w:val="16"/>
                <w:b w:val="1"/>
                <w:bCs w:val="1"/>
                <w:color w:val="auto"/>
              </w:rPr>
              <w:t>Quarter Ended</w:t>
            </w: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08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28, 2017</w:t>
            </w:r>
          </w:p>
        </w:tc>
        <w:tc>
          <w:tcPr>
            <w:tcW w:w="1880" w:type="dxa"/>
            <w:vAlign w:val="bottom"/>
            <w:gridSpan w:val="2"/>
          </w:tcPr>
          <w:p>
            <w:pPr>
              <w:ind w:left="380"/>
              <w:spacing w:after="0"/>
              <w:rPr>
                <w:sz w:val="20"/>
                <w:szCs w:val="20"/>
                <w:color w:val="auto"/>
              </w:rPr>
            </w:pPr>
            <w:r>
              <w:rPr>
                <w:rFonts w:ascii="Arial" w:cs="Arial" w:eastAsia="Arial" w:hAnsi="Arial"/>
                <w:sz w:val="16"/>
                <w:szCs w:val="16"/>
                <w:b w:val="1"/>
                <w:bCs w:val="1"/>
                <w:color w:val="auto"/>
              </w:rPr>
              <w:t>October 29, 2016</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28, 2017</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3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$0.68</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$1.72</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Diluted</w:t>
            </w:r>
          </w:p>
        </w:tc>
        <w:tc>
          <w:tcPr>
            <w:tcW w:w="2080" w:type="dxa"/>
            <w:vAlign w:val="bottom"/>
          </w:tcPr>
          <w:p>
            <w:pPr>
              <w:jc w:val="right"/>
              <w:ind w:right="279"/>
              <w:spacing w:after="0"/>
              <w:rPr>
                <w:sz w:val="20"/>
                <w:szCs w:val="20"/>
                <w:color w:val="auto"/>
              </w:rPr>
            </w:pPr>
            <w:r>
              <w:rPr>
                <w:rFonts w:ascii="Arial" w:cs="Arial" w:eastAsia="Arial" w:hAnsi="Arial"/>
                <w:sz w:val="16"/>
                <w:szCs w:val="16"/>
                <w:b w:val="1"/>
                <w:bCs w:val="1"/>
                <w:color w:val="auto"/>
              </w:rPr>
              <w:t>$0.67</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$1.70</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$0.87</w:t>
            </w:r>
          </w:p>
        </w:tc>
      </w:tr>
      <w:tr>
        <w:trPr>
          <w:trHeight w:val="33"/>
        </w:trPr>
        <w:tc>
          <w:tcPr>
            <w:tcW w:w="3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Earnings per diluted share increased for the third quarter and nine months ended October 28, 2017 primarily due to the Trunk Club goodwill impairment charge of $197 in 2016, which had an impact of approximately $0.90 per share for both the quarter and nine months ended October 29, 2016. Excluding the impact of the impairment, earnings per diluted share decreased for the quarter and nine months ended October 28, 2017 primarily due to planned increases in technology and supply chain expenses associated with our growth initiatives. Additionally, the estimated reduction in earnings from three hurricanes affecting stores in Puerto Rico, Florida and Texas in the quarter was approximately $0.04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updated our annual earnings per diluted share expectations to incorporate our third quarter results and the estimated impacts of the three hurricanes.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Nordstrom’s expectations for fiscal 2017, which include the impact of the 53rd week,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76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(percent)</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Approximately 4</w:t>
            </w:r>
          </w:p>
        </w:tc>
      </w:tr>
      <w:tr>
        <w:trPr>
          <w:trHeight w:val="224"/>
        </w:trPr>
        <w:tc>
          <w:tcPr>
            <w:tcW w:w="768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3740" w:type="dxa"/>
            <w:vAlign w:val="bottom"/>
          </w:tcPr>
          <w:p>
            <w:pPr>
              <w:jc w:val="right"/>
              <w:spacing w:after="0"/>
              <w:rPr>
                <w:sz w:val="20"/>
                <w:szCs w:val="20"/>
                <w:color w:val="auto"/>
              </w:rPr>
            </w:pPr>
            <w:r>
              <w:rPr>
                <w:rFonts w:ascii="Arial" w:cs="Arial" w:eastAsia="Arial" w:hAnsi="Arial"/>
                <w:sz w:val="16"/>
                <w:szCs w:val="16"/>
                <w:color w:val="auto"/>
              </w:rPr>
              <w:t>Approximately flat</w:t>
            </w:r>
          </w:p>
        </w:tc>
      </w:tr>
      <w:tr>
        <w:trPr>
          <w:trHeight w:val="33"/>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EBIT</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 to $785</w:t>
            </w:r>
          </w:p>
        </w:tc>
      </w:tr>
      <w:tr>
        <w:trPr>
          <w:trHeight w:val="224"/>
        </w:trPr>
        <w:tc>
          <w:tcPr>
            <w:tcW w:w="7680" w:type="dxa"/>
            <w:vAlign w:val="bottom"/>
          </w:tcPr>
          <w:p>
            <w:pPr>
              <w:ind w:left="40"/>
              <w:spacing w:after="0"/>
              <w:rPr>
                <w:sz w:val="20"/>
                <w:szCs w:val="20"/>
                <w:color w:val="auto"/>
              </w:rPr>
            </w:pPr>
            <w:r>
              <w:rPr>
                <w:rFonts w:ascii="Arial" w:cs="Arial" w:eastAsia="Arial" w:hAnsi="Arial"/>
                <w:sz w:val="16"/>
                <w:szCs w:val="16"/>
                <w:color w:val="auto"/>
              </w:rPr>
              <w:t>Credit EBIT</w:t>
            </w:r>
          </w:p>
        </w:tc>
        <w:tc>
          <w:tcPr>
            <w:tcW w:w="3740" w:type="dxa"/>
            <w:vAlign w:val="bottom"/>
          </w:tcPr>
          <w:p>
            <w:pPr>
              <w:jc w:val="right"/>
              <w:spacing w:after="0"/>
              <w:rPr>
                <w:sz w:val="20"/>
                <w:szCs w:val="20"/>
                <w:color w:val="auto"/>
              </w:rPr>
            </w:pPr>
            <w:r>
              <w:rPr>
                <w:rFonts w:ascii="Arial" w:cs="Arial" w:eastAsia="Arial" w:hAnsi="Arial"/>
                <w:sz w:val="16"/>
                <w:szCs w:val="16"/>
                <w:color w:val="auto"/>
              </w:rPr>
              <w:t>Approximately $165</w:t>
            </w:r>
          </w:p>
        </w:tc>
      </w:tr>
      <w:tr>
        <w:trPr>
          <w:trHeight w:val="33"/>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future share repurchases)</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 to $2.95</w:t>
            </w:r>
          </w:p>
        </w:tc>
      </w:tr>
      <w:tr>
        <w:trPr>
          <w:trHeight w:val="20"/>
        </w:trPr>
        <w:tc>
          <w:tcPr>
            <w:tcW w:w="768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income tax rate is estimated to be approximately in line with the rate for the nine months ended October 28, 2017. The 53rd week is expected to add approximately $200 to net sales and approximately $0.02 to $0.03 to earnings per diluted share. The 53rd week is not included in comparable sales calculations. The full-year impact from three hurricanes that occurred in the third quarter is estimated to impact sales by $26, EBIT by $17 and EPS by $0.06 per share. The damage in Puerto Rico was extensive, requiring us to close the store as we continue our repair efforts.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30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(Non-GAAP financial measure)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October 28, 2017, our ROIC increased to 10.7% compared with 7.2% for the 12 fiscal months ended October 29, 2016. Results for the prior period were negatively impacted by approximately 340 basis points due to the Trunk Club non-cash goodwill impairment charge in the third quarter of 2016.</w:t>
      </w:r>
    </w:p>
    <w:p>
      <w:pPr>
        <w:spacing w:after="0" w:line="1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408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12 Fiscal Months Ended</w:t>
            </w:r>
          </w:p>
        </w:tc>
      </w:tr>
      <w:tr>
        <w:trPr>
          <w:trHeight w:val="33"/>
        </w:trPr>
        <w:tc>
          <w:tcPr>
            <w:tcW w:w="73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7340" w:type="dxa"/>
            <w:vAlign w:val="bottom"/>
          </w:tcPr>
          <w:p>
            <w:pPr>
              <w:spacing w:after="0"/>
              <w:rPr>
                <w:sz w:val="20"/>
                <w:szCs w:val="20"/>
                <w:color w:val="auto"/>
              </w:rPr>
            </w:pPr>
          </w:p>
        </w:tc>
        <w:tc>
          <w:tcPr>
            <w:tcW w:w="2220" w:type="dxa"/>
            <w:vAlign w:val="bottom"/>
          </w:tcPr>
          <w:p>
            <w:pPr>
              <w:jc w:val="right"/>
              <w:ind w:right="459"/>
              <w:spacing w:after="0"/>
              <w:rPr>
                <w:sz w:val="20"/>
                <w:szCs w:val="20"/>
                <w:color w:val="auto"/>
              </w:rPr>
            </w:pPr>
            <w:r>
              <w:rPr>
                <w:rFonts w:ascii="Arial" w:cs="Arial" w:eastAsia="Arial" w:hAnsi="Arial"/>
                <w:sz w:val="16"/>
                <w:szCs w:val="16"/>
                <w:b w:val="1"/>
                <w:bCs w:val="1"/>
                <w:color w:val="auto"/>
              </w:rPr>
              <w:t>October 28, 2017</w:t>
            </w: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7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2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$488</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$333</w:t>
            </w: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220" w:type="dxa"/>
            <w:vAlign w:val="bottom"/>
          </w:tcPr>
          <w:p>
            <w:pPr>
              <w:jc w:val="right"/>
              <w:ind w:right="459"/>
              <w:spacing w:after="0"/>
              <w:rPr>
                <w:sz w:val="20"/>
                <w:szCs w:val="20"/>
                <w:color w:val="auto"/>
              </w:rPr>
            </w:pPr>
            <w:r>
              <w:rPr>
                <w:rFonts w:ascii="Arial" w:cs="Arial" w:eastAsia="Arial" w:hAnsi="Arial"/>
                <w:sz w:val="16"/>
                <w:szCs w:val="16"/>
                <w:b w:val="1"/>
                <w:bCs w:val="1"/>
                <w:color w:val="auto"/>
              </w:rPr>
              <w:t>376</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252</w:t>
            </w:r>
          </w:p>
        </w:tc>
      </w:tr>
      <w:tr>
        <w:trPr>
          <w:trHeight w:val="33"/>
        </w:trPr>
        <w:tc>
          <w:tcPr>
            <w:tcW w:w="7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2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139</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121</w:t>
            </w:r>
          </w:p>
        </w:tc>
      </w:tr>
      <w:tr>
        <w:trPr>
          <w:trHeight w:val="231"/>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2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1,003</w:t>
            </w:r>
          </w:p>
        </w:tc>
        <w:tc>
          <w:tcPr>
            <w:tcW w:w="18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706</w:t>
            </w:r>
          </w:p>
        </w:tc>
      </w:tr>
      <w:tr>
        <w:trPr>
          <w:trHeight w:val="33"/>
        </w:trPr>
        <w:tc>
          <w:tcPr>
            <w:tcW w:w="7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97"/>
        </w:trPr>
        <w:tc>
          <w:tcPr>
            <w:tcW w:w="73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2220" w:type="dxa"/>
            <w:vAlign w:val="bottom"/>
          </w:tcPr>
          <w:p>
            <w:pPr>
              <w:jc w:val="right"/>
              <w:ind w:right="459"/>
              <w:spacing w:after="0"/>
              <w:rPr>
                <w:sz w:val="20"/>
                <w:szCs w:val="20"/>
                <w:color w:val="auto"/>
              </w:rPr>
            </w:pPr>
            <w:r>
              <w:rPr>
                <w:rFonts w:ascii="Arial" w:cs="Arial" w:eastAsia="Arial" w:hAnsi="Arial"/>
                <w:sz w:val="16"/>
                <w:szCs w:val="16"/>
                <w:b w:val="1"/>
                <w:bCs w:val="1"/>
                <w:color w:val="auto"/>
              </w:rPr>
              <w:t>237</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195</w:t>
            </w:r>
          </w:p>
        </w:tc>
      </w:tr>
      <w:tr>
        <w:trPr>
          <w:trHeight w:val="33"/>
        </w:trPr>
        <w:tc>
          <w:tcPr>
            <w:tcW w:w="7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1</w:t>
            </w:r>
          </w:p>
        </w:tc>
        <w:tc>
          <w:tcPr>
            <w:tcW w:w="22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(126)</w:t>
            </w:r>
          </w:p>
        </w:tc>
        <w:tc>
          <w:tcPr>
            <w:tcW w:w="18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(103)</w:t>
            </w:r>
          </w:p>
        </w:tc>
      </w:tr>
      <w:tr>
        <w:trPr>
          <w:trHeight w:val="231"/>
        </w:trPr>
        <w:tc>
          <w:tcPr>
            <w:tcW w:w="7340" w:type="dxa"/>
            <w:vAlign w:val="bottom"/>
          </w:tcPr>
          <w:p>
            <w:pPr>
              <w:ind w:left="40"/>
              <w:spacing w:after="0"/>
              <w:rPr>
                <w:sz w:val="20"/>
                <w:szCs w:val="20"/>
                <w:color w:val="auto"/>
              </w:rPr>
            </w:pPr>
            <w:r>
              <w:rPr>
                <w:rFonts w:ascii="Arial" w:cs="Arial" w:eastAsia="Arial" w:hAnsi="Arial"/>
                <w:sz w:val="16"/>
                <w:szCs w:val="16"/>
                <w:color w:val="auto"/>
              </w:rPr>
              <w:t>Net operating profit</w:t>
            </w:r>
          </w:p>
        </w:tc>
        <w:tc>
          <w:tcPr>
            <w:tcW w:w="2220" w:type="dxa"/>
            <w:vAlign w:val="bottom"/>
          </w:tcPr>
          <w:p>
            <w:pPr>
              <w:jc w:val="right"/>
              <w:ind w:right="459"/>
              <w:spacing w:after="0"/>
              <w:rPr>
                <w:sz w:val="20"/>
                <w:szCs w:val="20"/>
                <w:color w:val="auto"/>
              </w:rPr>
            </w:pPr>
            <w:r>
              <w:rPr>
                <w:rFonts w:ascii="Arial" w:cs="Arial" w:eastAsia="Arial" w:hAnsi="Arial"/>
                <w:sz w:val="16"/>
                <w:szCs w:val="16"/>
                <w:b w:val="1"/>
                <w:bCs w:val="1"/>
                <w:color w:val="auto"/>
              </w:rPr>
              <w:t>1,114</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798</w:t>
            </w:r>
          </w:p>
        </w:tc>
      </w:tr>
      <w:tr>
        <w:trPr>
          <w:trHeight w:val="33"/>
        </w:trPr>
        <w:tc>
          <w:tcPr>
            <w:tcW w:w="7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97"/>
        </w:trPr>
        <w:tc>
          <w:tcPr>
            <w:tcW w:w="73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220" w:type="dxa"/>
            <w:vAlign w:val="bottom"/>
          </w:tcPr>
          <w:p>
            <w:pPr>
              <w:jc w:val="right"/>
              <w:ind w:right="399"/>
              <w:spacing w:after="0"/>
              <w:rPr>
                <w:sz w:val="20"/>
                <w:szCs w:val="20"/>
                <w:color w:val="auto"/>
              </w:rPr>
            </w:pPr>
            <w:r>
              <w:rPr>
                <w:rFonts w:ascii="Arial" w:cs="Arial" w:eastAsia="Arial" w:hAnsi="Arial"/>
                <w:sz w:val="16"/>
                <w:szCs w:val="16"/>
                <w:b w:val="1"/>
                <w:bCs w:val="1"/>
                <w:color w:val="auto"/>
              </w:rPr>
              <w:t>(486)</w:t>
            </w:r>
          </w:p>
        </w:tc>
        <w:tc>
          <w:tcPr>
            <w:tcW w:w="1860" w:type="dxa"/>
            <w:vAlign w:val="bottom"/>
          </w:tcPr>
          <w:p>
            <w:pPr>
              <w:jc w:val="right"/>
              <w:ind w:right="159"/>
              <w:spacing w:after="0"/>
              <w:rPr>
                <w:sz w:val="20"/>
                <w:szCs w:val="20"/>
                <w:color w:val="auto"/>
              </w:rPr>
            </w:pPr>
            <w:r>
              <w:rPr>
                <w:rFonts w:ascii="Arial" w:cs="Arial" w:eastAsia="Arial" w:hAnsi="Arial"/>
                <w:sz w:val="16"/>
                <w:szCs w:val="16"/>
                <w:color w:val="auto"/>
              </w:rPr>
              <w:t>(383)</w:t>
            </w:r>
          </w:p>
        </w:tc>
      </w:tr>
      <w:tr>
        <w:trPr>
          <w:trHeight w:val="33"/>
        </w:trPr>
        <w:tc>
          <w:tcPr>
            <w:tcW w:w="7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22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$628</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$415</w:t>
            </w:r>
          </w:p>
        </w:tc>
      </w:tr>
      <w:tr>
        <w:trPr>
          <w:trHeight w:val="291"/>
        </w:trPr>
        <w:tc>
          <w:tcPr>
            <w:tcW w:w="734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2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$8,009</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$7,987</w:t>
            </w:r>
          </w:p>
        </w:tc>
      </w:tr>
      <w:tr>
        <w:trPr>
          <w:trHeight w:val="270"/>
        </w:trPr>
        <w:tc>
          <w:tcPr>
            <w:tcW w:w="7340" w:type="dxa"/>
            <w:vAlign w:val="bottom"/>
          </w:tcPr>
          <w:p>
            <w:pPr>
              <w:ind w:left="40"/>
              <w:spacing w:after="0"/>
              <w:rPr>
                <w:sz w:val="20"/>
                <w:szCs w:val="20"/>
                <w:color w:val="auto"/>
              </w:rPr>
            </w:pPr>
            <w:r>
              <w:rPr>
                <w:rFonts w:ascii="Arial" w:cs="Arial" w:eastAsia="Arial" w:hAnsi="Arial"/>
                <w:sz w:val="16"/>
                <w:szCs w:val="16"/>
                <w:color w:val="auto"/>
              </w:rPr>
              <w:t>Less: average non-interest-bearing current liabilities</w:t>
            </w:r>
            <w:r>
              <w:rPr>
                <w:rFonts w:ascii="Arial" w:cs="Arial" w:eastAsia="Arial" w:hAnsi="Arial"/>
                <w:sz w:val="21"/>
                <w:szCs w:val="21"/>
                <w:color w:val="auto"/>
                <w:vertAlign w:val="superscript"/>
              </w:rPr>
              <w:t>2</w:t>
            </w:r>
          </w:p>
        </w:tc>
        <w:tc>
          <w:tcPr>
            <w:tcW w:w="2220" w:type="dxa"/>
            <w:vAlign w:val="bottom"/>
          </w:tcPr>
          <w:p>
            <w:pPr>
              <w:jc w:val="right"/>
              <w:ind w:right="399"/>
              <w:spacing w:after="0"/>
              <w:rPr>
                <w:sz w:val="20"/>
                <w:szCs w:val="20"/>
                <w:color w:val="auto"/>
              </w:rPr>
            </w:pPr>
            <w:r>
              <w:rPr>
                <w:rFonts w:ascii="Arial" w:cs="Arial" w:eastAsia="Arial" w:hAnsi="Arial"/>
                <w:sz w:val="16"/>
                <w:szCs w:val="16"/>
                <w:b w:val="1"/>
                <w:bCs w:val="1"/>
                <w:color w:val="auto"/>
              </w:rPr>
              <w:t>(3,211)</w:t>
            </w:r>
          </w:p>
        </w:tc>
        <w:tc>
          <w:tcPr>
            <w:tcW w:w="1860" w:type="dxa"/>
            <w:vAlign w:val="bottom"/>
          </w:tcPr>
          <w:p>
            <w:pPr>
              <w:jc w:val="right"/>
              <w:ind w:right="159"/>
              <w:spacing w:after="0"/>
              <w:rPr>
                <w:sz w:val="20"/>
                <w:szCs w:val="20"/>
                <w:color w:val="auto"/>
              </w:rPr>
            </w:pPr>
            <w:r>
              <w:rPr>
                <w:rFonts w:ascii="Arial" w:cs="Arial" w:eastAsia="Arial" w:hAnsi="Arial"/>
                <w:sz w:val="16"/>
                <w:szCs w:val="16"/>
                <w:color w:val="auto"/>
              </w:rPr>
              <w:t>(3,105)</w:t>
            </w:r>
          </w:p>
        </w:tc>
      </w:tr>
      <w:tr>
        <w:trPr>
          <w:trHeight w:val="270"/>
        </w:trPr>
        <w:tc>
          <w:tcPr>
            <w:tcW w:w="7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 and deferred rent liability</w:t>
            </w:r>
            <w:r>
              <w:rPr>
                <w:rFonts w:ascii="Arial" w:cs="Arial" w:eastAsia="Arial" w:hAnsi="Arial"/>
                <w:sz w:val="21"/>
                <w:szCs w:val="21"/>
                <w:color w:val="auto"/>
                <w:vertAlign w:val="superscript"/>
              </w:rPr>
              <w:t>2</w:t>
            </w:r>
          </w:p>
        </w:tc>
        <w:tc>
          <w:tcPr>
            <w:tcW w:w="222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(646)</w:t>
            </w:r>
          </w:p>
        </w:tc>
        <w:tc>
          <w:tcPr>
            <w:tcW w:w="18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(541)</w:t>
            </w:r>
          </w:p>
        </w:tc>
      </w:tr>
      <w:tr>
        <w:trPr>
          <w:trHeight w:val="270"/>
        </w:trPr>
        <w:tc>
          <w:tcPr>
            <w:tcW w:w="7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3</w:t>
            </w:r>
          </w:p>
        </w:tc>
        <w:tc>
          <w:tcPr>
            <w:tcW w:w="2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1,718</w:t>
            </w: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1,452</w:t>
            </w: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2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$5,870</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$5,793</w:t>
            </w:r>
          </w:p>
        </w:tc>
      </w:tr>
      <w:tr>
        <w:trPr>
          <w:trHeight w:val="291"/>
        </w:trPr>
        <w:tc>
          <w:tcPr>
            <w:tcW w:w="734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70"/>
        </w:trPr>
        <w:tc>
          <w:tcPr>
            <w:tcW w:w="7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4</w:t>
            </w:r>
          </w:p>
        </w:tc>
        <w:tc>
          <w:tcPr>
            <w:tcW w:w="222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6.1%</w:t>
            </w: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r>
      <w:tr>
        <w:trPr>
          <w:trHeight w:val="277"/>
        </w:trPr>
        <w:tc>
          <w:tcPr>
            <w:tcW w:w="7340" w:type="dxa"/>
            <w:vAlign w:val="bottom"/>
          </w:tcPr>
          <w:p>
            <w:pPr>
              <w:ind w:left="40"/>
              <w:spacing w:after="0"/>
              <w:rPr>
                <w:sz w:val="20"/>
                <w:szCs w:val="20"/>
                <w:color w:val="auto"/>
              </w:rPr>
            </w:pPr>
            <w:r>
              <w:rPr>
                <w:rFonts w:ascii="Arial" w:cs="Arial" w:eastAsia="Arial" w:hAnsi="Arial"/>
                <w:sz w:val="16"/>
                <w:szCs w:val="16"/>
                <w:b w:val="1"/>
                <w:bCs w:val="1"/>
                <w:color w:val="auto"/>
              </w:rPr>
              <w:t>ROIC</w:t>
            </w:r>
            <w:r>
              <w:rPr>
                <w:rFonts w:ascii="Arial" w:cs="Arial" w:eastAsia="Arial" w:hAnsi="Arial"/>
                <w:sz w:val="21"/>
                <w:szCs w:val="21"/>
                <w:color w:val="auto"/>
                <w:vertAlign w:val="superscript"/>
              </w:rPr>
              <w:t>4</w:t>
            </w:r>
          </w:p>
        </w:tc>
        <w:tc>
          <w:tcPr>
            <w:tcW w:w="2220" w:type="dxa"/>
            <w:vAlign w:val="bottom"/>
          </w:tcPr>
          <w:p>
            <w:pPr>
              <w:jc w:val="right"/>
              <w:ind w:right="299"/>
              <w:spacing w:after="0"/>
              <w:rPr>
                <w:sz w:val="20"/>
                <w:szCs w:val="20"/>
                <w:color w:val="auto"/>
              </w:rPr>
            </w:pPr>
            <w:r>
              <w:rPr>
                <w:rFonts w:ascii="Arial" w:cs="Arial" w:eastAsia="Arial" w:hAnsi="Arial"/>
                <w:sz w:val="16"/>
                <w:szCs w:val="16"/>
                <w:b w:val="1"/>
                <w:bCs w:val="1"/>
                <w:color w:val="auto"/>
              </w:rPr>
              <w:t>10.7%</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8"/>
        </w:numPr>
        <w:rPr>
          <w:rFonts w:ascii="Arial" w:cs="Arial" w:eastAsia="Arial" w:hAnsi="Arial"/>
          <w:sz w:val="8"/>
          <w:szCs w:val="8"/>
          <w:color w:val="auto"/>
        </w:rPr>
      </w:pPr>
      <w:r>
        <w:rPr>
          <w:rFonts w:ascii="Arial" w:cs="Arial" w:eastAsia="Arial" w:hAnsi="Arial"/>
          <w:sz w:val="13"/>
          <w:szCs w:val="13"/>
          <w:color w:val="auto"/>
        </w:rPr>
        <w:t>Capitalized operating leases is our best estimate of the asset base we would record for our leases that are classified as operating if they had met the criteria for a capital lease or we had purchased</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property. Asset base is calculated as described in footnote 3 below.</w:t>
      </w:r>
    </w:p>
    <w:p>
      <w:pPr>
        <w:spacing w:after="0" w:line="1" w:lineRule="exact"/>
        <w:rPr>
          <w:sz w:val="20"/>
          <w:szCs w:val="20"/>
          <w:color w:val="auto"/>
        </w:rPr>
      </w:pPr>
    </w:p>
    <w:p>
      <w:pPr>
        <w:ind w:left="80" w:hanging="72"/>
        <w:spacing w:after="0"/>
        <w:tabs>
          <w:tab w:leader="none" w:pos="80" w:val="left"/>
        </w:tabs>
        <w:numPr>
          <w:ilvl w:val="0"/>
          <w:numId w:val="19"/>
        </w:numPr>
        <w:rPr>
          <w:rFonts w:ascii="Arial" w:cs="Arial" w:eastAsia="Arial" w:hAnsi="Arial"/>
          <w:sz w:val="9"/>
          <w:szCs w:val="9"/>
          <w:color w:val="auto"/>
        </w:rPr>
      </w:pPr>
      <w:r>
        <w:rPr>
          <w:rFonts w:ascii="Arial" w:cs="Arial" w:eastAsia="Arial" w:hAnsi="Arial"/>
          <w:sz w:val="14"/>
          <w:szCs w:val="14"/>
          <w:color w:val="auto"/>
        </w:rPr>
        <w:t>Balances associated with our deferred rent liability have been classified as long-term liabilities in the current period.</w:t>
      </w:r>
    </w:p>
    <w:p>
      <w:pPr>
        <w:spacing w:after="0" w:line="1" w:lineRule="exact"/>
        <w:rPr>
          <w:sz w:val="20"/>
          <w:szCs w:val="20"/>
          <w:color w:val="auto"/>
        </w:rPr>
      </w:pPr>
    </w:p>
    <w:p>
      <w:pPr>
        <w:ind w:left="80" w:right="80" w:hanging="72"/>
        <w:spacing w:after="0" w:line="241" w:lineRule="auto"/>
        <w:tabs>
          <w:tab w:leader="none" w:pos="66" w:val="left"/>
        </w:tabs>
        <w:numPr>
          <w:ilvl w:val="0"/>
          <w:numId w:val="20"/>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1.</w:t>
      </w:r>
    </w:p>
    <w:p>
      <w:pPr>
        <w:spacing w:after="0" w:line="1" w:lineRule="exact"/>
        <w:rPr>
          <w:sz w:val="20"/>
          <w:szCs w:val="20"/>
          <w:color w:val="auto"/>
        </w:rPr>
      </w:pPr>
    </w:p>
    <w:p>
      <w:pPr>
        <w:ind w:left="80" w:right="160" w:hanging="72"/>
        <w:spacing w:after="0" w:line="255" w:lineRule="auto"/>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Results for the 12 fiscal months ended October 29, 2016 include the $197 impact of the Trunk Club non-cash goodwill impairment charge in the third quarter of 2016, which negatively impacted the prior period return on assets by approximately 250 basis points and ROIC by 340 basis points.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30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October 28, 2017, our existing cash and cash equivalents on-hand of $672, available credit facilities of $800 and potential future operating cash flows and borrowings will be sufficient to fund these scheduled future payments and potential long-term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Net cash provided by operating activities decreased $281 for the nine months ended October 28, 2017, compared with the same period in 2016, primarily due to the timing of a tax refund received in 2016 and tax payments in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Net cash used in investing activities decreased $71 for the nine months ended October 28, 2017, compared with the same period in 2016, primarily due to a planned reduction in capital expenditures associated with fewer Canadian store openings.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Net cash used in financing activities increased $61 for the nine months ended October 28, 2017, compared with the same period in 2016, primarily due to increased share repurchase activity, which occurred in the first quarter of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and Long-term Borrowing Activity</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first quarter of 2017, we issued $350 aggregate principal amount of 4.00% senior unsecured notes due March 2027 and $300 aggregate principal amount of 5.00% senior unsecured notes due January 2044. We recorded debt issuance costs incurred as a result of the issuance in other financing activities, net in the Condensed Consolidated Statements of Cash Flows in Item 1. With the proceeds of these new notes, we retired our $650 senior unsecured notes that were due January 2018. See Note 2: Debt and Credit Facilities in Item 1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nine months ended October 28, 2017, we had Free Cash Flow of ($127) compared with ($66) for the nine months ended October 29, 2016.</w:t>
      </w:r>
    </w:p>
    <w:p>
      <w:pPr>
        <w:spacing w:after="0" w:line="13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28, 2017</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29, 2016</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$597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(536)</w:t>
            </w:r>
          </w:p>
        </w:tc>
        <w:tc>
          <w:tcPr>
            <w:tcW w:w="162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(185)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change in cash book overdrafts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w:t>
            </w:r>
          </w:p>
        </w:tc>
        <w:tc>
          <w:tcPr>
            <w:tcW w:w="16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Free Cash Flow</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($127)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76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30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of October 28,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our available liquidity under the revolver until repaid.</w:t>
      </w:r>
    </w:p>
    <w:p>
      <w:pPr>
        <w:spacing w:after="0" w:line="125" w:lineRule="exact"/>
        <w:rPr>
          <w:sz w:val="20"/>
          <w:szCs w:val="20"/>
          <w:color w:val="auto"/>
        </w:rPr>
      </w:pPr>
    </w:p>
    <w:p>
      <w:pPr>
        <w:ind w:right="840"/>
        <w:spacing w:after="0" w:line="352" w:lineRule="auto"/>
        <w:rPr>
          <w:sz w:val="20"/>
          <w:szCs w:val="20"/>
          <w:color w:val="auto"/>
        </w:rPr>
      </w:pPr>
      <w:r>
        <w:rPr>
          <w:rFonts w:ascii="Arial" w:cs="Arial" w:eastAsia="Arial" w:hAnsi="Arial"/>
          <w:sz w:val="18"/>
          <w:szCs w:val="18"/>
          <w:color w:val="auto"/>
        </w:rPr>
        <w:t xml:space="preserve">As of October 28, 2017,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(see the following additional discussion of Adjusted Debt to EBITDAR). As of October 28, 2017, we were in compliance with this covenant.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30</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October 28, 2017 and October 29, 2016, our Adjusted Debt to EBITDAR was 2.5.</w:t>
      </w:r>
    </w:p>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$2,738</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$2,778</w:t>
            </w:r>
          </w:p>
        </w:tc>
      </w:tr>
      <w:tr>
        <w:trPr>
          <w:trHeight w:val="270"/>
        </w:trPr>
        <w:tc>
          <w:tcPr>
            <w:tcW w:w="646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1,896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1,561</w:t>
            </w: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6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$4,634</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$4,325</w:t>
            </w:r>
          </w:p>
        </w:tc>
      </w:tr>
      <w:tr>
        <w:trPr>
          <w:trHeight w:val="33"/>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46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$488</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$333</w:t>
            </w:r>
          </w:p>
        </w:tc>
      </w:tr>
      <w:tr>
        <w:trPr>
          <w:trHeight w:val="33"/>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376</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135</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999</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r>
      <w:tr>
        <w:trPr>
          <w:trHeight w:val="297"/>
        </w:trPr>
        <w:tc>
          <w:tcPr>
            <w:tcW w:w="6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6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644</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237</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r>
              <w:rPr>
                <w:rFonts w:ascii="Arial" w:cs="Arial" w:eastAsia="Arial" w:hAnsi="Arial"/>
                <w:sz w:val="21"/>
                <w:szCs w:val="21"/>
                <w:color w:val="auto"/>
                <w:vertAlign w:val="superscript"/>
              </w:rPr>
              <w:t>3</w:t>
            </w:r>
          </w:p>
        </w:tc>
        <w:tc>
          <w:tcPr>
            <w:tcW w:w="36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10</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1"/>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EBITDAR</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$1,890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$1,729</w:t>
            </w:r>
          </w:p>
        </w:tc>
      </w:tr>
      <w:tr>
        <w:trPr>
          <w:trHeight w:val="33"/>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46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70"/>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r>
              <w:rPr>
                <w:rFonts w:ascii="Arial" w:cs="Arial" w:eastAsia="Arial" w:hAnsi="Arial"/>
                <w:sz w:val="21"/>
                <w:szCs w:val="21"/>
                <w:color w:val="auto"/>
                <w:vertAlign w:val="superscript"/>
              </w:rPr>
              <w:t>4</w:t>
            </w:r>
          </w:p>
        </w:tc>
        <w:tc>
          <w:tcPr>
            <w:tcW w:w="3680" w:type="dxa"/>
            <w:vAlign w:val="bottom"/>
          </w:tcPr>
          <w:p>
            <w:pPr>
              <w:jc w:val="right"/>
              <w:ind w:right="659"/>
              <w:spacing w:after="0"/>
              <w:rPr>
                <w:sz w:val="20"/>
                <w:szCs w:val="20"/>
                <w:color w:val="auto"/>
              </w:rPr>
            </w:pPr>
            <w:r>
              <w:rPr>
                <w:rFonts w:ascii="Arial" w:cs="Arial" w:eastAsia="Arial" w:hAnsi="Arial"/>
                <w:sz w:val="16"/>
                <w:szCs w:val="16"/>
                <w:b w:val="1"/>
                <w:bCs w:val="1"/>
                <w:color w:val="auto"/>
              </w:rPr>
              <w:t>5.6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37"/>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6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2.5</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46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22"/>
        </w:numPr>
        <w:rPr>
          <w:rFonts w:ascii="Arial" w:cs="Arial" w:eastAsia="Arial" w:hAnsi="Arial"/>
          <w:sz w:val="8"/>
          <w:szCs w:val="8"/>
          <w:color w:val="auto"/>
        </w:rPr>
      </w:pPr>
      <w:r>
        <w:rPr>
          <w:rFonts w:ascii="Arial" w:cs="Arial" w:eastAsia="Arial" w:hAnsi="Arial"/>
          <w:sz w:val="13"/>
          <w:szCs w:val="13"/>
          <w:color w:val="auto"/>
        </w:rPr>
        <w:t>The components of Adjusted Debt are as of October 28, 2017 and October 29, 2016, while the components of EBITDAR are for the 12 months ended October 28, 2017 and October 29, 2016.</w:t>
      </w:r>
    </w:p>
    <w:p>
      <w:pPr>
        <w:spacing w:after="0" w:line="19" w:lineRule="exact"/>
        <w:rPr>
          <w:sz w:val="20"/>
          <w:szCs w:val="20"/>
          <w:color w:val="auto"/>
        </w:rPr>
      </w:pPr>
    </w:p>
    <w:p>
      <w:pPr>
        <w:ind w:left="80" w:right="80" w:hanging="72"/>
        <w:spacing w:after="0" w:line="260" w:lineRule="auto"/>
        <w:tabs>
          <w:tab w:leader="none" w:pos="66" w:val="left"/>
        </w:tabs>
        <w:numPr>
          <w:ilvl w:val="0"/>
          <w:numId w:val="23"/>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ind w:left="80" w:hanging="72"/>
        <w:spacing w:after="0"/>
        <w:tabs>
          <w:tab w:leader="none" w:pos="80" w:val="left"/>
        </w:tabs>
        <w:numPr>
          <w:ilvl w:val="0"/>
          <w:numId w:val="24"/>
        </w:numPr>
        <w:rPr>
          <w:rFonts w:ascii="Arial" w:cs="Arial" w:eastAsia="Arial" w:hAnsi="Arial"/>
          <w:sz w:val="9"/>
          <w:szCs w:val="9"/>
          <w:color w:val="auto"/>
        </w:rPr>
      </w:pPr>
      <w:r>
        <w:rPr>
          <w:rFonts w:ascii="Arial" w:cs="Arial" w:eastAsia="Arial" w:hAnsi="Arial"/>
          <w:sz w:val="14"/>
          <w:szCs w:val="14"/>
          <w:color w:val="auto"/>
        </w:rPr>
        <w:t>Non-cash acquisition-related charges for the 12 months ended October 29, 2016 include the goodwill impairment charge of $197 related to Trunk Club.</w:t>
      </w:r>
    </w:p>
    <w:p>
      <w:pPr>
        <w:spacing w:after="0" w:line="1" w:lineRule="exact"/>
        <w:rPr>
          <w:sz w:val="20"/>
          <w:szCs w:val="20"/>
          <w:color w:val="auto"/>
        </w:rPr>
      </w:pPr>
    </w:p>
    <w:p>
      <w:pPr>
        <w:ind w:left="80" w:hanging="72"/>
        <w:spacing w:after="0"/>
        <w:tabs>
          <w:tab w:leader="none" w:pos="80" w:val="left"/>
        </w:tabs>
        <w:numPr>
          <w:ilvl w:val="0"/>
          <w:numId w:val="25"/>
        </w:numPr>
        <w:rPr>
          <w:rFonts w:ascii="Arial" w:cs="Arial" w:eastAsia="Arial" w:hAnsi="Arial"/>
          <w:sz w:val="9"/>
          <w:szCs w:val="9"/>
          <w:color w:val="auto"/>
        </w:rPr>
      </w:pPr>
      <w:r>
        <w:rPr>
          <w:rFonts w:ascii="Arial" w:cs="Arial" w:eastAsia="Arial" w:hAnsi="Arial"/>
          <w:sz w:val="14"/>
          <w:szCs w:val="14"/>
          <w:color w:val="auto"/>
        </w:rPr>
        <w:t>Results for the period ended October 29, 2016 include the $197 impact of the Trunk Club goodwill impairment charge, which approximates 310 basis points.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 of 30</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discussed our interest rate risk and our foreign currency exchange risk in Part II, “Item 7A. Quantitative and Qualitative Disclosures About Market Risk” in our 2016 Annual Report on Form 10-K filed with the SEC on March 20, 2017. There have been no material changes to these risks since that time.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 of 30</w:t>
      </w:r>
    </w:p>
    <w:p>
      <w:pPr>
        <w:sectPr>
          <w:pgSz w:w="11900" w:h="16838" w:orient="portrait"/>
          <w:cols w:equalWidth="0" w:num="1">
            <w:col w:w="11360"/>
          </w:cols>
          <w:pgMar w:left="240" w:top="118" w:right="2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discussed our risk factors in Part I, “Item 1A. Risk Factors” in our 2016 Annual Report on Form 10-K filed with the SEC on March 20, 2017. The following is an update to our risk factors as previously disclosed:</w:t>
      </w:r>
    </w:p>
    <w:p>
      <w:pPr>
        <w:spacing w:after="0" w:line="11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The exploration of a possible “going private transaction” by the Nordstrom family could impact our relationships with our customers, employees, suppliers and partners, operating results and business.</w:t>
      </w:r>
    </w:p>
    <w:p>
      <w:pPr>
        <w:ind w:right="80"/>
        <w:spacing w:after="0" w:line="251" w:lineRule="auto"/>
        <w:rPr>
          <w:sz w:val="20"/>
          <w:szCs w:val="20"/>
          <w:color w:val="auto"/>
        </w:rPr>
      </w:pPr>
      <w:r>
        <w:rPr>
          <w:rFonts w:ascii="Arial" w:cs="Arial" w:eastAsia="Arial" w:hAnsi="Arial"/>
          <w:sz w:val="18"/>
          <w:szCs w:val="18"/>
          <w:color w:val="auto"/>
        </w:rPr>
        <w:t>In June 2017, members of the Nordstrom family formed a group (the “Group”) to explore the possibility of pursuing a “going private transaction” involving the acquisition by the Group of 100% of our outstanding shares of common stock (a “Going Private Transaction”). Our Board of Directors also formed a special committee (the “Special Committee”) comprised of independent directors to act on our behalf in connection with such exploration by the Group and any possible transaction. As of October 2017, the Group has suspended active exploration of a Going Private Transaction for the balance of the year, with the intent to resume such exploration after the conclusion of the holiday season. The Group has not made a proposal to us regarding any such Going Private Transaction and may never make such a proposal. We do not plan to disclose developments or provide updates on the progress or status of any potential Going Private Transaction until the Special Committee deems further disclosure is appropriate or required. Accordingly, speculation regarding any developments related to the review of a Going Private Transaction and perceived uncertainties related to our future could cause our stock price to fluctuate significantly.</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exploration of a potential Going Private Transaction or alternative may expose us and our operations to a number of risks and uncertainties, including the potential failure to retain, attract or strengthen our relationships with key personnel, current and potential customers, suppliers, and partners which may cause them to terminate, or not to renew or enter into, arrangements with us; the potential incurrence of expenses associated with the retention of legal, financial and other advisors regardless of whether any transaction is consummated; distractions and disruptions in our business; and exposure to potential litigation in connection with this process and effecting any transaction, any of which could adversely affect our business, financial condition and results of operations as well as the market price of our common stock.</w:t>
      </w:r>
    </w:p>
    <w:p>
      <w:pPr>
        <w:spacing w:after="0" w:line="1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If we do not effectively design and implement our strategic and business planning processes to attract, retain, train and develop talent and future leaders, our business may suffer.</w:t>
      </w:r>
    </w:p>
    <w:p>
      <w:pPr>
        <w:ind w:right="80"/>
        <w:spacing w:after="0" w:line="253"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and the talents of our workforce to execute our business strategies and objectives. If unexpected turnover occurs without adequate succession plans, the loss of the services of any of these individuals, or any resulting negative perceptions of our business, could damage our reputation and our business. Additionally, our ability to maintain relationships with and motivate our employees and to effectively attract, develop and retain our future leaders, could be impacted by the uncertainty about the possibility of a Going Private Transaction.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 of 30</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February 2017, our Board of Directors authorized a program to repurchase up to $500 of our outstanding common stock through August 31, 2018. During the third quarter of 2017, we did not repurchase any shares of our common stock and do not plan to do so while the Group explores the possibility of a “going private transaction.” We had $414 remaining in share repurchase capacity as of October 28, 2017. The actual timing, price, manner and amounts of future share repurchases, if any, will be subject to market and economic conditions and applicable SEC rules.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30 hereof.</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 of 30</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28, 2017</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 of 30</w:t>
      </w:r>
    </w:p>
    <w:p>
      <w:pPr>
        <w:sectPr>
          <w:pgSz w:w="11900" w:h="16838" w:orient="portrait"/>
          <w:cols w:equalWidth="0" w:num="1">
            <w:col w:w="11220"/>
          </w:cols>
          <w:pgMar w:left="240" w:top="118"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80" w:type="dxa"/>
            <w:vAlign w:val="bottom"/>
            <w:gridSpan w:val="7"/>
          </w:tcPr>
          <w:p>
            <w:pPr>
              <w:ind w:left="38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6"/>
        </w:trPr>
        <w:tc>
          <w:tcPr>
            <w:tcW w:w="1080" w:type="dxa"/>
            <w:vAlign w:val="bottom"/>
            <w:gridSpan w:val="3"/>
          </w:tcPr>
          <w:p>
            <w:pPr>
              <w:ind w:left="40"/>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120" w:type="dxa"/>
            <w:vAlign w:val="bottom"/>
            <w:gridSpan w:val="8"/>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Certification of Co-President required by Section 302(a) of the</w:t>
              </w:r>
            </w:hyperlink>
          </w:p>
        </w:tc>
        <w:tc>
          <w:tcPr>
            <w:tcW w:w="5220" w:type="dxa"/>
            <w:vAlign w:val="bottom"/>
          </w:tcPr>
          <w:p>
            <w:pPr>
              <w:ind w:left="120"/>
              <w:spacing w:after="0" w:line="196" w:lineRule="exact"/>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Sarbanes-Oxley Act of 2002</w:t>
              </w:r>
            </w:hyperlink>
          </w:p>
        </w:tc>
        <w:tc>
          <w:tcPr>
            <w:tcW w:w="60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80" w:type="dxa"/>
            <w:vAlign w:val="bottom"/>
            <w:gridSpan w:val="3"/>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120" w:type="dxa"/>
            <w:vAlign w:val="bottom"/>
            <w:gridSpan w:val="8"/>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Certification of Chief Financial Officer required by Section 302(a) of</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the Sarbanes-Oxley Act of 2002</w:t>
              </w:r>
            </w:hyperlink>
          </w:p>
        </w:tc>
        <w:tc>
          <w:tcPr>
            <w:tcW w:w="2660" w:type="dxa"/>
            <w:vAlign w:val="bottom"/>
            <w:tcBorders>
              <w:top w:val="single" w:sz="8" w:color="0000FF"/>
            </w:tcBorders>
            <w:gridSpan w:val="4"/>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3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120" w:type="dxa"/>
            <w:vAlign w:val="bottom"/>
            <w:gridSpan w:val="8"/>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Certification of Co-President and Chief Financial Officer pursuant to</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top w:val="single" w:sz="8" w:color="0000FF"/>
            </w:tcBorders>
            <w:gridSpan w:val="6"/>
          </w:tcPr>
          <w:p>
            <w:pPr>
              <w:spacing w:after="0" w:line="196" w:lineRule="exact"/>
              <w:rPr>
                <w:rFonts w:ascii="Arial" w:cs="Arial" w:eastAsia="Arial" w:hAnsi="Arial"/>
                <w:sz w:val="18"/>
                <w:szCs w:val="18"/>
                <w:color w:val="0000FF"/>
                <w:w w:val="88"/>
              </w:rPr>
            </w:pPr>
            <w:hyperlink w:anchor="page33">
              <w:r>
                <w:rPr>
                  <w:rFonts w:ascii="Arial" w:cs="Arial" w:eastAsia="Arial" w:hAnsi="Arial"/>
                  <w:sz w:val="18"/>
                  <w:szCs w:val="18"/>
                  <w:color w:val="0000FF"/>
                  <w:w w:val="88"/>
                </w:rPr>
                <w:t>18 U.S.C. 1350, as adopted pursuant to Section 906 of the Sarbanes-</w:t>
              </w:r>
            </w:hyperlink>
          </w:p>
        </w:tc>
        <w:tc>
          <w:tcPr>
            <w:tcW w:w="1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33">
              <w:r>
                <w:rPr>
                  <w:rFonts w:ascii="Arial" w:cs="Arial" w:eastAsia="Arial" w:hAnsi="Arial"/>
                  <w:sz w:val="18"/>
                  <w:szCs w:val="18"/>
                  <w:color w:val="0000FF"/>
                  <w:w w:val="92"/>
                </w:rPr>
                <w:t>Oxley Act of 2002</w:t>
              </w:r>
            </w:hyperlink>
          </w:p>
        </w:tc>
        <w:tc>
          <w:tcPr>
            <w:tcW w:w="3580" w:type="dxa"/>
            <w:vAlign w:val="bottom"/>
            <w:tcBorders>
              <w:top w:val="single" w:sz="8" w:color="0000FF"/>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41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ind w:left="2020"/>
              <w:spacing w:after="0"/>
              <w:rPr>
                <w:sz w:val="20"/>
                <w:szCs w:val="20"/>
                <w:color w:val="auto"/>
              </w:rPr>
            </w:pPr>
            <w:r>
              <w:rPr>
                <w:rFonts w:ascii="Arial" w:cs="Arial" w:eastAsia="Arial" w:hAnsi="Arial"/>
                <w:sz w:val="18"/>
                <w:szCs w:val="18"/>
                <w:color w:val="auto"/>
              </w:rPr>
              <w:t>30 of 30</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28,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November 28,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October 28, 2017, as filed with the Securities and Exchange Commission on the date hereof (the “Report”), we, Blake W.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November 28,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lvl w:ilvl="1">
      <w:lvlJc w:val="left"/>
      <w:lvlText w:val="•"/>
      <w:numFmt w:val="bullet"/>
      <w:start w:val="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1"/>
      <w:numFmt w:val="bullet"/>
      <w:start w:val="1"/>
    </w:lvl>
  </w:abstractNum>
  <w:abstractNum w:abstractNumId="15">
    <w:nsid w:val="721DA317"/>
    <w:multiLevelType w:val="hybridMultilevel"/>
    <w:lvl w:ilvl="0">
      <w:lvlJc w:val="left"/>
      <w:lvlText w:val="2"/>
      <w:numFmt w:val="bullet"/>
      <w:start w:val="1"/>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2"/>
      <w:numFmt w:val="bullet"/>
      <w:start w:val="1"/>
    </w:lvl>
  </w:abstractNum>
  <w:abstractNum w:abstractNumId="19">
    <w:nsid w:val="75A2A8D4"/>
    <w:multiLevelType w:val="hybridMultilevel"/>
    <w:lvl w:ilvl="0">
      <w:lvlJc w:val="left"/>
      <w:lvlText w:val="3"/>
      <w:numFmt w:val="bullet"/>
      <w:start w:val="1"/>
    </w:lvl>
  </w:abstractNum>
  <w:abstractNum w:abstractNumId="20">
    <w:nsid w:val="8EDBDAB"/>
    <w:multiLevelType w:val="hybridMultilevel"/>
    <w:lvl w:ilvl="0">
      <w:lvlJc w:val="left"/>
      <w:lvlText w:val="4"/>
      <w:numFmt w:val="bullet"/>
      <w:start w:val="1"/>
    </w:lvl>
  </w:abstractNum>
  <w:abstractNum w:abstractNumId="21">
    <w:nsid w:val="79838CB2"/>
    <w:multiLevelType w:val="hybridMultilevel"/>
    <w:lvl w:ilvl="0">
      <w:lvlJc w:val="left"/>
      <w:lvlText w:val="1"/>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3"/>
      <w:numFmt w:val="bullet"/>
      <w:start w:val="1"/>
    </w:lvl>
  </w:abstractNum>
  <w:abstractNum w:abstractNumId="24">
    <w:nsid w:val="189A769B"/>
    <w:multiLevelType w:val="hybridMultilevel"/>
    <w:lvl w:ilvl="0">
      <w:lvlJc w:val="left"/>
      <w:lvlText w:val="4"/>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2019-12-29T02:50:23Z</dcterms:created>
  <dcterms:modified xsi:type="dcterms:W3CDTF">2019-12-29T02:50:23Z</dcterms:modified>
</cp:coreProperties>
</file>