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Nordstrom,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no par value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655664100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Erik B. Nordstrom</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Peter E. Nordstrom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Nordstrom,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1617 Sixth Avenue, Seattle, Washington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(206) 628-2111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copies to:</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Keith A. Trammell</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Gilligan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 Alex Bahn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10007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 2024</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right="4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Erik B.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3,473,313</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8,533,206</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6"/>
                <w:szCs w:val="6"/>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3,473,313</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5"/>
                <w:szCs w:val="15"/>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9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8,533,206</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12,006,519*</w:t>
            </w: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Peter E.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3,249,219</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8,666,592</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6"/>
                <w:szCs w:val="6"/>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3,249,219</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5"/>
                <w:szCs w:val="15"/>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9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8,666,592</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11,915,811*</w:t>
            </w: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James F. Nordstrom, Jr.</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991,188</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76,305</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991,188</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76,305</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1,067,493*</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0.7%</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Anne E. Gittinger</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15,404,953</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6"/>
                <w:szCs w:val="6"/>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15,404,953</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5"/>
                <w:szCs w:val="15"/>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9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15,404,953*</w:t>
            </w: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ind w:left="980" w:hanging="57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66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066030"/>
                    </a:xfrm>
                    <a:prstGeom prst="rect">
                      <a:avLst/>
                    </a:prstGeom>
                    <a:noFill/>
                  </pic:spPr>
                </pic:pic>
              </a:graphicData>
            </a:graphic>
          </wp:anchor>
        </w:drawing>
        <w:t>Names of Reporting Person</w:t>
      </w:r>
    </w:p>
    <w:p>
      <w:pPr>
        <w:spacing w:after="0" w:line="27" w:lineRule="exact"/>
        <w:rPr>
          <w:rFonts w:ascii="Times New Roman" w:cs="Times New Roman" w:eastAsia="Times New Roman" w:hAnsi="Times New Roman"/>
          <w:sz w:val="18"/>
          <w:szCs w:val="18"/>
          <w:color w:val="auto"/>
        </w:rPr>
      </w:pPr>
    </w:p>
    <w:p>
      <w:pPr>
        <w:ind w:left="98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W. Riley, Jr., solely in his capacity as the successor trustee of the Everett W. Nordstrom Trust fbo AEG created under the will of Everett W. Nordstrom dated April 1, 1971, and as a successor co-trustee of the Frances W. Nordstrom Trust fbo BAN created under the will of Frances W. Nordstrom dated April 4, 1984.</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5" w:lineRule="exact"/>
        <w:rPr>
          <w:sz w:val="20"/>
          <w:szCs w:val="20"/>
          <w:color w:val="auto"/>
        </w:rPr>
      </w:pPr>
    </w:p>
    <w:p>
      <w:pPr>
        <w:ind w:left="400"/>
        <w:spacing w:after="0"/>
        <w:tabs>
          <w:tab w:leader="none" w:pos="960" w:val="left"/>
          <w:tab w:leader="none" w:pos="20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x</w:t>
      </w:r>
    </w:p>
    <w:p>
      <w:pPr>
        <w:spacing w:after="0" w:line="76" w:lineRule="exact"/>
        <w:rPr>
          <w:sz w:val="20"/>
          <w:szCs w:val="20"/>
          <w:color w:val="auto"/>
        </w:rPr>
      </w:pPr>
    </w:p>
    <w:p>
      <w:pPr>
        <w:ind w:left="2020" w:hanging="1036"/>
        <w:spacing w:after="0" w:line="207" w:lineRule="exact"/>
        <w:tabs>
          <w:tab w:leader="none" w:pos="20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71" w:lineRule="exact"/>
        <w:rPr>
          <w:sz w:val="20"/>
          <w:szCs w:val="20"/>
          <w:color w:val="auto"/>
        </w:rPr>
      </w:pPr>
    </w:p>
    <w:p>
      <w:pPr>
        <w:ind w:left="980" w:hanging="57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980" w:hanging="57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2" w:lineRule="exact"/>
        <w:rPr>
          <w:sz w:val="20"/>
          <w:szCs w:val="20"/>
          <w:color w:val="auto"/>
        </w:rPr>
      </w:pPr>
    </w:p>
    <w:p>
      <w:pPr>
        <w:ind w:left="980" w:hanging="576"/>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171" w:lineRule="exact"/>
        <w:rPr>
          <w:sz w:val="20"/>
          <w:szCs w:val="20"/>
          <w:color w:val="auto"/>
        </w:rPr>
      </w:pPr>
    </w:p>
    <w:p>
      <w:pPr>
        <w:ind w:left="980" w:right="7640" w:hanging="576"/>
        <w:spacing w:after="0" w:line="309"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46"/>
        </w:trPr>
        <w:tc>
          <w:tcPr>
            <w:tcW w:w="128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right w:val="single" w:sz="8" w:color="auto"/>
            </w:tcBorders>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5,501,520</w:t>
            </w:r>
          </w:p>
        </w:tc>
        <w:tc>
          <w:tcPr>
            <w:tcW w:w="0" w:type="dxa"/>
            <w:vAlign w:val="bottom"/>
          </w:tcPr>
          <w:p>
            <w:pPr>
              <w:spacing w:after="0"/>
              <w:rPr>
                <w:sz w:val="1"/>
                <w:szCs w:val="1"/>
                <w:color w:val="auto"/>
              </w:rPr>
            </w:pPr>
          </w:p>
        </w:tc>
      </w:tr>
      <w:tr>
        <w:trPr>
          <w:trHeight w:val="54"/>
        </w:trPr>
        <w:tc>
          <w:tcPr>
            <w:tcW w:w="128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6,935,360</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2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28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vMerge w:val="continue"/>
          </w:tcPr>
          <w:p>
            <w:pPr>
              <w:spacing w:after="0"/>
              <w:rPr>
                <w:sz w:val="15"/>
                <w:szCs w:val="15"/>
                <w:color w:val="auto"/>
              </w:rPr>
            </w:pPr>
          </w:p>
        </w:tc>
        <w:tc>
          <w:tcPr>
            <w:tcW w:w="9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21"/>
                <w:szCs w:val="21"/>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5,501,520</w:t>
            </w:r>
          </w:p>
        </w:tc>
        <w:tc>
          <w:tcPr>
            <w:tcW w:w="0" w:type="dxa"/>
            <w:vAlign w:val="bottom"/>
          </w:tcPr>
          <w:p>
            <w:pPr>
              <w:spacing w:after="0"/>
              <w:rPr>
                <w:sz w:val="1"/>
                <w:szCs w:val="1"/>
                <w:color w:val="auto"/>
              </w:rPr>
            </w:pPr>
          </w:p>
        </w:tc>
      </w:tr>
      <w:tr>
        <w:trPr>
          <w:trHeight w:val="32"/>
        </w:trPr>
        <w:tc>
          <w:tcPr>
            <w:tcW w:w="1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128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6,935,360</w:t>
            </w: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right="5460" w:hanging="57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12,436,880*</w:t>
      </w:r>
    </w:p>
    <w:p>
      <w:pPr>
        <w:spacing w:after="0" w:line="26" w:lineRule="exact"/>
        <w:rPr>
          <w:rFonts w:ascii="Times New Roman" w:cs="Times New Roman" w:eastAsia="Times New Roman" w:hAnsi="Times New Roman"/>
          <w:sz w:val="18"/>
          <w:szCs w:val="18"/>
          <w:color w:val="auto"/>
        </w:rPr>
      </w:pPr>
    </w:p>
    <w:p>
      <w:pPr>
        <w:ind w:left="980" w:hanging="576"/>
        <w:spacing w:after="0" w:line="207" w:lineRule="exact"/>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171" w:lineRule="exact"/>
        <w:rPr>
          <w:rFonts w:ascii="Times New Roman" w:cs="Times New Roman" w:eastAsia="Times New Roman" w:hAnsi="Times New Roman"/>
          <w:sz w:val="18"/>
          <w:szCs w:val="18"/>
          <w:color w:val="auto"/>
        </w:rPr>
      </w:pPr>
    </w:p>
    <w:p>
      <w:pPr>
        <w:ind w:left="980" w:right="6380" w:hanging="57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7.6%</w:t>
      </w:r>
    </w:p>
    <w:p>
      <w:pPr>
        <w:spacing w:after="0" w:line="67" w:lineRule="exact"/>
        <w:rPr>
          <w:rFonts w:ascii="Times New Roman" w:cs="Times New Roman" w:eastAsia="Times New Roman" w:hAnsi="Times New Roman"/>
          <w:sz w:val="18"/>
          <w:szCs w:val="18"/>
          <w:color w:val="auto"/>
        </w:rPr>
      </w:pPr>
    </w:p>
    <w:p>
      <w:pPr>
        <w:ind w:left="980" w:hanging="57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Estate of Bruce A.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10,244,147</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6"/>
                <w:szCs w:val="6"/>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10,244,147</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5"/>
                <w:szCs w:val="15"/>
                <w:color w:val="auto"/>
              </w:rPr>
            </w:pPr>
          </w:p>
        </w:tc>
        <w:tc>
          <w:tcPr>
            <w:tcW w:w="9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9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10,244,147*</w:t>
            </w: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Margaret Jean O’Roark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261,776</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261,776</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261,776*</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0.2%</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Linda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5,070,739</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5,070,739</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5,070,739*</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Susan E. Dunn</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1,031,839</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1,031,839</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1,031,839*</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0.6%</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Alexandra F.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173,390</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173,390</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173,390*</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Andrew L.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163,582</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163,582</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163,582*</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Leigh E.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125,588</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125,588</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125,588*</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Samuel C.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121,396</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121,396</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121,396*</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65"/>
        </w:trPr>
        <w:tc>
          <w:tcPr>
            <w:tcW w:w="9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tcPr>
          <w:p>
            <w:pPr>
              <w:spacing w:after="0"/>
              <w:rPr>
                <w:sz w:val="23"/>
                <w:szCs w:val="23"/>
                <w:color w:val="auto"/>
              </w:rPr>
            </w:pPr>
          </w:p>
        </w:tc>
        <w:tc>
          <w:tcPr>
            <w:tcW w:w="102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Sara D. Nordstrom</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2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352"/>
        </w:trPr>
        <w:tc>
          <w:tcPr>
            <w:tcW w:w="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40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2"/>
                <w:szCs w:val="22"/>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OO</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2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69,806</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tcBorders>
            <w:gridSpan w:val="2"/>
            <w:vMerge w:val="continue"/>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tcBorders>
            <w:gridSpan w:val="2"/>
            <w:vMerge w:val="restart"/>
          </w:tcPr>
          <w:p>
            <w:pPr>
              <w:ind w:left="8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9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3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9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8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69,806</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right w:val="single" w:sz="8" w:color="auto"/>
            </w:tcBorders>
            <w:gridSpan w:val="3"/>
            <w:vMerge w:val="continue"/>
          </w:tcPr>
          <w:p>
            <w:pPr>
              <w:spacing w:after="0"/>
              <w:rPr>
                <w:sz w:val="15"/>
                <w:szCs w:val="15"/>
                <w:color w:val="auto"/>
              </w:rPr>
            </w:pPr>
          </w:p>
        </w:tc>
        <w:tc>
          <w:tcPr>
            <w:tcW w:w="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9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69,806*</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260" w:type="dxa"/>
            <w:vAlign w:val="bottom"/>
            <w:tcBorders>
              <w:right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w:t>
            </w: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2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0"/>
                <w:szCs w:val="20"/>
                <w:color w:val="auto"/>
              </w:rPr>
            </w:pPr>
          </w:p>
        </w:tc>
        <w:tc>
          <w:tcPr>
            <w:tcW w:w="9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reported on this Schedule 13D as a member of a “group” with the other Reporting Persons. The Reporting Persons beneficially own 54,591,033 shares of Common Stock in the aggregate, representing approximately 33.4% of the outstanding shares of Common Stock.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statement on Schedule 13D (this “Schedule 13D”) relates to the Common Stock, no par value (the “Common Stock”), of Nordstrom, Inc., a Washington corporation (the “Issuer”). The address of the Issuer’s principal executive office is 1617 Sixth Avenue, Seattle, WA 98101.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This Schedule 13D is being filed by each of the following persons (each, a “Reporting Person” and collectively, the “Reporting Persons”):</w:t>
      </w:r>
    </w:p>
    <w:p>
      <w:pPr>
        <w:spacing w:after="0" w:line="39" w:lineRule="exact"/>
        <w:rPr>
          <w:sz w:val="20"/>
          <w:szCs w:val="20"/>
          <w:color w:val="auto"/>
        </w:rPr>
      </w:pPr>
    </w:p>
    <w:p>
      <w:pPr>
        <w:ind w:right="100" w:firstLine="8"/>
        <w:spacing w:after="0" w:line="265" w:lineRule="auto"/>
        <w:tabs>
          <w:tab w:leader="none" w:pos="2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Erik B. Nordstrom; (ii) Peter E. Nordstrom; (iii) James F. Nordstrom, Jr.; (iv) Anne E. Gittinger; (v) Charles W. Riley, Jr., solely in his capacity as the successor trustee of the Everett W. Nordstrom Trust fbo AEG created under the will of Everett W. Nordstrom dated April 1, 1971 (the “Everett Nordstrom Trust”) and as a successor co-trustee of the Frances W. Nordstrom Trust fbo BAN created under the will of Frances W. Nordstrom dated April 4, 1984 (the “Fran Nordstrom Trust”); (vi) Estate of Bruce A. Nordstrom; (vii) Margaret Jean O’Roark Nordstrom; (viii) Linda Nordstrom; (ix) Susan E. Dunn;</w:t>
      </w: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Alexandra F. Nordstrom; (xi) Andrew L. Nordstrom; (xii) Leigh E. Nordstrom; (xiii) Samuel C. Nordstrom; and (xiv) Sara D. Nordstrom.</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The principal business address of each of Erik B. Nordstrom, Peter E. Nordstrom, James F. Nordstrom, Jr., Anne E. Gittinger, Margaret Jean O’Roark Nordstrom, Linda Nordstrom, Susan E. Dunn, Alexandra F. Nordstrom, Andrew L. Nordstrom, Leigh E. Nordstrom, Samuel C. Nordstrom and Sara D. Nordstrom is c/o Nordstrom, Inc., 1617 Sixth Avenue, Seattle, Washington, 98101. The principal business address of Charles W. Riley, Jr. and Estate of Bruce A. Nordstrom is 1420 Fifth Avenue, Suite 4200, Seattle, WA 98101.</w:t>
      </w:r>
    </w:p>
    <w:p>
      <w:pPr>
        <w:spacing w:after="0" w:line="180"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(c)           (i)            Erik B. Nordstrom is the Chief Executive Officer of the Issuer, a position he has held since 2020. Prior to that, he served as Co-President of the Issuer, a position he had held starting in May 2015. Mr. Nordstrom has previously served as Executive Vice President and President — Nordstrom.com from May 2014 to May 2015. From February 2006 to May 2014, Mr. Nordstrom was the Issuer’s Executive Vice President and President</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Stores. From August 2000 to February 2006, Mr. Nordstrom served as Executive Vice President — Full-Line Stores. Mr. Nordstrom previously served as Executive Vice President and Northwest General Manager from February 2000 to August 2000, and as Co-President of the Issuer from 1995 to February 2000. Mr. Nordstrom has spent more than 40 years with the Issuer, holding positions spanning all aspects of the retail business. He was recently recognized by Barron’s as one of the top CEOs of 2022. The Issuer operates leading fashion specialty retail stores. Its principal executive office is 1617 Sixth Avenue, Seattle, WA 98101. Erik B. Nordstrom and Peter E. Nordstrom are brothers.</w:t>
      </w:r>
    </w:p>
    <w:p>
      <w:pPr>
        <w:spacing w:after="0" w:line="18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(ii)           Peter E. Nordstrom is the President and Chief Brand Officer of the Issuer, a position he has held since 2020. Prior to that, he served as Co-President of the Issuer, a position he had held starting in May 2015. Mr. Nordstrom has previously served as the Issuer’s Executive Vice President and President — Merchandising from February 2006 to May 2015. From September 2000 to February 2006, Mr. Nordstrom served as Executive Vice President and President — Full-Line Stores. Mr. Nordstrom previously served as Executive Vice President and Director of Full-Line Store Merchandise Strategy from February 2000 to September 2000, and as Co-President of the Issuer from 1995 to 2000. Mr. Nordstrom has spent more than 40 years with the Issuer, holding positions spanning all aspects of the retail business. The Issuer operates leading fashion specialty retail stores. Its principal executive office is 1617 Sixth Avenue, Seattle, WA 98101.</w:t>
      </w:r>
    </w:p>
    <w:p>
      <w:pPr>
        <w:spacing w:after="0" w:line="189"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(iii)         James. F. Nordstrom, Jr. is the Chief Merchandising Officer of the Issuer, a position he has held since September 2023. Prior to that, he served as Chief Stores Officer of the Issuer, a position he had held starting in April 2022. Mr. Nordstrom has previously served as the Issuer’s President, Stores from May 2014 to April 2022. From 2005 to 2014, he served as Executive Vice President and President — Nordstrom Direct. He previously served as Corporate Merchandise Manager — Children’s Shoes, from May 2002 to February 2005, and as a project manager for the design and implementation of the Issuer’s inventory management system from 1999 to May 2002. Mr. Nordstrom has spent more than 35 years with the Issuer. The Issuer operates leading fashion specialty retail stores. Its principal executive office is 1617 Sixth Avenue, Seattle, WA 98101.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 w:name="page17"/>
    <w:bookmarkEnd w:id="16"/>
    <w:p>
      <w:pPr>
        <w:ind w:firstLine="1296"/>
        <w:spacing w:after="0" w:line="266" w:lineRule="auto"/>
        <w:rPr>
          <w:sz w:val="20"/>
          <w:szCs w:val="20"/>
          <w:color w:val="auto"/>
        </w:rPr>
      </w:pPr>
      <w:r>
        <w:rPr>
          <w:rFonts w:ascii="Times New Roman" w:cs="Times New Roman" w:eastAsia="Times New Roman" w:hAnsi="Times New Roman"/>
          <w:sz w:val="18"/>
          <w:szCs w:val="18"/>
          <w:color w:val="auto"/>
        </w:rPr>
        <w:t>(iv)         Anne E. Gittinger is the granddaughter of the Issuer’s co-founder, John W. Nordstrom and sister of the Issuer’s former Chairman of the Board of Directors, Bruce A. Nordstrom. She is the Board Chair Emeritus of Canine Companions for Independence, which provides trained assistance dogs to people with disabilities. The address of its national headquarters is P.O. Box 446, Santa Rosa, CA 95402-0446.</w:t>
      </w:r>
    </w:p>
    <w:p>
      <w:pPr>
        <w:spacing w:after="0" w:line="176"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(v)          Charles W. Riley, Jr.’s principal occupation is as a practicing attorney and shareholder at Lane Powell PC. His principal place of business is located at Lane Powell PC, 1420 Fifth Avenue, Suite 4200, Seattle, WA 98101.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principal business address of Estate of Bruce A. Nordstrom is 1420 Fifth Avenue, Suite 4200, Seattle, WA 98101.</w:t>
      </w:r>
    </w:p>
    <w:p>
      <w:pPr>
        <w:spacing w:after="0" w:line="225"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(vii)        Margaret Jean O’Roark Nordstrom is the spouse of Bruce A. Nordstrom, the former Chairman of the Board of Directors of the Issuer. She is retired. Her principal place of business is c/o Nordstrom, Inc., 1617 Sixth Avenue, Seattle, Washington, 98101.</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(viii)       Linda Nordstrom is the daughter of Lloyd Nordstrom and cousin of Bruce A. Nordstrom, the former Chairman of the Board of Directors of the Issuer. Linda is retired. Her principal place of business is c/o Nordstrom, Inc., 1617 Sixth Avenue, Seattle, Washington, 98101.</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(ix)          Susan E. Dunn is the niece of the Issuer’s former Chairman of the Board of Directors, Bruce A. Nordstrom. She is retired. Her principal place of business is c/o Nordstrom, Inc., 1617 Sixth Avenue, Seattle, Washington, 98101.</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(x)           Alexandra F. Nordstrom is the daughter of Blake W. Nordstrom, the Issuer’s former President, and granddaughter of Bruce A. Nordstrom, the Issuer’s former Chairman of the Board of Directors. Her occupation is as a Buyer, and she is employed by the Issuer. Her principal place of business is c/o Nordstrom, Inc., 1617 Sixth Avenue, Seattle, Washington, 98101.</w:t>
      </w:r>
    </w:p>
    <w:p>
      <w:pPr>
        <w:spacing w:after="0" w:line="176"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(xi)          Andrew L. Nordstrom is the son of Blake W. Nordstrom, the Issuer’s former President, and grandson of Bruce A. Nordstrom, the Issuer’s former Chairman of the Board of Directors. His occupation is as a Private Chef, and he currently owns and operates Sandy’s Supper Club. His principal place of business is c/o Nordstrom, Inc., 1617 Sixth Avenue, Seattle, Washington, 98101.</w:t>
      </w:r>
    </w:p>
    <w:p>
      <w:pPr>
        <w:spacing w:after="0" w:line="176"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(xii)        Leigh E. Nordstrom is the daughter of Erik B. Nordstrom, the Chief Executive Officer of the Issuer. Her current occupation is as a journalist, and she is employed as an Eye Editor for Women’s Wear Daily. Her principal place of business is c/o Nordstrom, Inc., 1617 Sixth Avenue, Seattle, Washington, 98101.</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(xiii)       Samuel C. Nordstrom is the son of Erik B. Nordstrom, the Chief Executive Officer of the Issuer. His current occupation is a Manager of Product Management, and he is employed by Robinhood Financial Services. His principal place of business is c/o Nordstrom, Inc., 1617 Sixth Avenue, Seattle, Washington, 98101.</w:t>
      </w:r>
    </w:p>
    <w:p>
      <w:pPr>
        <w:spacing w:after="0" w:line="176" w:lineRule="exact"/>
        <w:rPr>
          <w:sz w:val="20"/>
          <w:szCs w:val="20"/>
          <w:color w:val="auto"/>
        </w:rPr>
      </w:pPr>
    </w:p>
    <w:p>
      <w:pPr>
        <w:ind w:right="40" w:firstLine="1296"/>
        <w:spacing w:after="0" w:line="312" w:lineRule="auto"/>
        <w:rPr>
          <w:sz w:val="20"/>
          <w:szCs w:val="20"/>
          <w:color w:val="auto"/>
        </w:rPr>
      </w:pPr>
      <w:r>
        <w:rPr>
          <w:rFonts w:ascii="Times New Roman" w:cs="Times New Roman" w:eastAsia="Times New Roman" w:hAnsi="Times New Roman"/>
          <w:sz w:val="17"/>
          <w:szCs w:val="17"/>
          <w:color w:val="auto"/>
        </w:rPr>
        <w:t>(xiv)       Sara D. Nordstrom is the daughter of Erik B. Nordstrom, the Chief Executive Officer of the Issuer. Her current occupation is as a Data Scientist, and she is employed by Door Dash. Her principal place of business is c/o Nordstrom, Inc., 1617 Sixth Avenue, Seattle, Washington, 98101.</w:t>
      </w:r>
    </w:p>
    <w:p>
      <w:pPr>
        <w:spacing w:after="0" w:line="14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(d)           During the last five years, no Reporting Person has been convicted in a criminal proceeding (excluding traffic violations or similar misdemeanors).</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(e)           During the last five years, no Reporting Person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            Each of Erik B. Nordstrom, Peter E. Nordstrom, James F. Nordstrom, Jr., Anne E. Gittinger, Charles W. Riley, Jr., Margaret Jean O’Roark Nordstrom, Linda Nordstrom, Susan E. Dunn, Alexandra F. Nordstrom, Andrew L. Nordstrom, Leigh E. Nordstrom, Samuel C. Nordstrom and Sara D. Nordstrom is a citizen of the United States of America. Estate of Bruce A. Nordstrom is organized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April 17, 2024, Erik B. Nordstrom and Peter E. Nordstrom acquired (i) shared beneficial ownership of 1,555,200 shares of Common Stock by accepting trusteeship, as successor trustees to their father, Bruce Nordstrom, of the 1976 Bruce A. Nordstrom Trust (aka Elizabeth Nordstrom 1976 Trust fbo Bruce Nordstrom), and (ii) shared beneficial ownership of 6,935,360 shares of Common Stock by accepting trusteeship, as successor trustees to their father, of the Frances W. Nordstrom Trust fbo BAN created under will dated April 4, 1984. The foregoing transfers of beneficial ownership are collectively referred to herein as the “Intra-Family Transfers” and individually as an “Intra-Family Transfer.” No pecuniary or other consideration was exchanged in connection with Erik B. Nordstrom and Peter E. Nordstrom’s assumption of successor trustee duties with respect to these trusts or the Common Stock held by them.</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 Going Private Transaction described in Item 4 below, the Reporting Persons, acting together with El Puerto de Liverpool, S.A.B. de C.V., a retail company based in Mexico (“Liverpool”, and together with the Reporting Persons, the “Group”), which is separately filing a Schedule 13D with respect to the Issuer in connection with the formation of the Group described herein, may seek debt and/or equity financing to consummate one or more of the transactions described in Item 4 below. At this time, the Group are in the process of seeking to arrange debt and equity financing. Nevertheless, there can be no assurance that the Group will be able to obtain the funds necessary to consummate one or more of the transactions described in Item 4 below.</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funding, including anticipated expenses, required for the Going Private Transaction (as defined in Item 4 below) proposed by the Group is preliminary and subject to review and approval by the Special Committee and the Board of Directors. It is expected that the Reporting Persons would contribute an aggregate of approximately 49.6 million shares of the Issuer owned directly or indirectly by them and Liverpool would contribute an aggregate of approximately 15,755,000 shares of the Issuer owned directly or indirectly by it (collectively, the “Rollover Shares”). The Group would invest cash in order to acquire the balance of the shares of common stock of the Issuer after the closing of the Going Private Transaction. The summary above is qualified in its entirety by reference to the Proposal Letter (as defined in Item 4 below), attached as Exhibit 22 hereto, which is incorporated by reference herein.</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noted above, the Group is in the process of arranging third-party debt financing for the remainder of the funding for the proposed Going Private Transaction. The description of the proposal set forth in Item 4 below is incorporated by reference in its entirety into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Intra-Family Transfers was to transfer voting and dispositive power in respect of those shares for no consideration to Erik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and Peter E. Nordstrom due to the health of their father, Bruce Nordstrom.</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Erik B. Nordstrom and Peter E. Nordstrom, as fourth generation leaders of the Issuer, regularly monitor and evaluate the Issuer’s business, financial condition, operating results and prospects. In February 2024, Erik B. Nordstrom and Peter E. Nordstrom, whose individual and combined beneficial ownership of Common Stock at that time was below 5%, advised the Board of their desire to make a proposal for consideration by the Board and explore potential equity financing for a “going private transaction” involving the acquisition of the outstanding shares of Common Stock of the Issuer (a “Going Private Transaction”). They also agreed to condition any Going Private Transaction on the affirmative vote by a majority of the votes entitled to be voted by unaffiliated stockholders of the Issuer. The Issuer’s Board subsequently approved the formation of a Special Committee of certain independent and disinterested directors to review any proposal for a Going Private Transaction.</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consideration of Erik B. Nordstrom and Peter E. Nordstrom entering into the letter agreement described more fully in Item 6, the Board approved in advance Erik B. Nordstrom’s and Peter E. Nordstrom’s formation of a group for purposes of Section 23B.19.040(1) of the Washington Business Corporation Act (the “Moratorium Statute”) with certain other members of the Nordstrom family and their related persons, who had not yet formed a group with Erik B. Nordstrom and Peter E. Nordstrom. Subject to certain exceptions (including approval by a board of directors in advance of a person’s or group’s acquiring beneficial ownership of ten percent (10%) or greater of the voting power), the Moratorium Statute prohibits a “significant business transaction” between a Washington publicly traded corporation and a ten percent (10%) or greater group during a five-year period following that group’s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Erik B. Nordstrom and Peter E. Nordstrom have engaged and intend to continue to engage in discussions with the Special Committee and third parties regarding the potential Going Private Transaction, including the terms on which such a transaction could be effected.</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of those discussions, on August 31, 2024, the Reporting Persons requested that the Board approve their formation of a new group comprising all of the Reporting Persons (including Erik B. Nordstrom and Peter E. Nordstrom) and Liverpool in order for the Group to submit a proposal to the Issuer for a Going Private Transaction.</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After receiving that approval from the Board on September 3, 2024, on September 3, 2024, the Group delivered a non-binding letter (the “Proposal Letter”) to the Special Committee proposing a transaction whereby the Group, through a newly-formed entity, would acquire by merger, for a purchase price of $23.00 in cash per share, all of the outstanding shares of Common Stock of the Issuer other than the Rollover Shares (the “Proposed Transaction”).</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members of the Group who are members of, or are affiliated with, the Nordstrom family have retained Moelis &amp; Company LLC to serve as their financial advisor and Wilmer Cutler Pickering Hale and Dorr LLP as their legal advisor.</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No assurances can be given regarding the terms and details of the Proposed Transaction, that any proposal made by the Group regarding the Proposed Transaction will be accepted by the Issuer and/or shareholders of the Issuer, that definitive documentation relating to any such Proposed Transaction will be executed, or that the Proposed Transaction will be consummated in accordance with that documentation, if at all.</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summary above is qualified in its entirety by reference to the Proposal Letter, attached as Exhibit 22 hereto, which is incorporated by reference herein.</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Proposed Transaction, if entered into and consummated, would result in one or more of the actions specified in clauses (a) through (j) of Item 4 of Schedule 13D, including, without limitation, the acquisition of additional securities of the Issuer, a merger or other extraordinary transaction involving the Issuer, a delisting of Common Stock from the New York Stock Exchange and the Common Stock becoming eligible for termination of registration pursuant to Section 12(g) of the Act.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Neither this Schedule 13D nor the Proposal Letter is an offer to purchase or a solicitation of an offer to sell any securities. Any solicitation or offer will only be made through separate materials filed with the U.S. Securities and Exchange Commission. Holders of Common Stock of the Issuer and other interested parties are urged to read these materials when and if they become available because they will contain important information. Holders of Common Stock of the Issuer will be able to obtain such documents (when and if available) free of charge at the Commission’s web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Group reserves the right to modify or withdraw the Proposal Letter at any time. While the Proposal Letter remains under consideration by the Issuer, the Group expects to respond to inquiries from, and negotiate the terms of the Proposal Letter with the Special Committee of the Issuer and its representatives. The Reporting Persons may elect not to updated or provide additional disclosures regarding the Proposal Letter until a definitive agreement has been reached, or unless disclosure is otherwise required under applicable U.S.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As of September 4, 2024, the Reporting Persons, on a combined basis, are the beneficial owners of an aggregate of 54,591,033 shares of Common Stock of the Issuer, representing approximately 33.4% of the outstanding shares of Common Stock of the Issuer based on 163,648,780 shares of Common Stock issued and outstanding as of May 31, 2024, as reported in the Issuer’s Quarterly Report on Form 10-Q filed on June 7, 2024, the most recently filed Securities Exchange Act of 1934 filing made by the Issuer that contains outstanding share information.</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Liverpool has informed the Reporting Persons that it is the beneficial owner of 15,755,000 shares of Common Stock of the Issuer, representing approximately 9.6% of the outstanding shares of Common Stock of the Issuer based upon 163,648,780 shares of Common Stock outstanding as of May 31, 2024, as reported in the Issuer’s Quarterly Report on Form 10-Q filed with the Securities and Exchange Commission on June 7, 2024. Liverpool has informed the Reporting Persons that, of such 15,755,000 shares of Common Stock of the Issuer, Liverpool has the sole voting and dispositive power over 15,755,000 shares of Common Stock and shared voting and dispositive power over 0 shares of Common Stock. The Reporting Persons expressly disclaim beneficial ownership over any shares of Common Stock beneficially owned by Liverpool that they may be deemed to beneficially own solely by reason of the Proposal Letter. This Schedule 13D does not reflect any shares of Common Stock beneficially owned by Liverpool.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Erik B.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3,473,313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8,533,206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3,473,313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8,533,206 shares of Common Stock.</w:t>
      </w:r>
    </w:p>
    <w:p>
      <w:pPr>
        <w:spacing w:after="0" w:line="225"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Erik B. Nordstrom reports beneficial ownership of 12,006,519 shares of Common Stock, representing 7.3% of the outstanding shares of Common Stock.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of Common Stock with respect to which Erik B. Nordstrom reports shared voting and dispositive power consist of (i) 42,646 shares of Common Stock owned by his spouse, Julie Nordstrom, as to which Mr. Nordstrom may be deemed to have shared beneficial ownership; (ii) 1,555,200 shares of Common Stock held in a family trust with Erik B. Nordstrom and Peter E. Nordstrom, as co-trustees and beneficiaries; and (iii) 6,935,360 shares of Common Stock held in a family trust for the benefit of Erik B. Nordstrom, Peter E. Nordstrom, Alexandra F. Nordstrom and Andrew L. Nordstrom, with Erik B. Nordstrom, Peter E. Nordstrom and Charles W. Riley, Jr. as co-trustees.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Applicable information required by Item 2 for Peter E. Nordstrom, Charles W. Riley, Jr., and Estate of Bruce A. Nordstrom is provided in Item 2 above. Applicable information required by Item 2 for Julie Nordstrom is the same as that of Erik B. Nordstrom.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Peter E.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3,249,219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8,666,592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3,249,219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8,666,592 shares of Common Stock.</w:t>
      </w:r>
    </w:p>
    <w:p>
      <w:pPr>
        <w:spacing w:after="0" w:line="225"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Peter E. Nordstrom reports beneficial ownership of 11,915,811 shares of Common Stock, representing 7.3% of the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The shares of Common Stock with respect to which Peter E. Nordstrom reports shared voting and dispositive power consist of (i) 176,032 shares of Common Stock owned by his spouse, Brandy Nordstrom, as to which Mr. Nordstrom may be deemed to have shared beneficial ownership; (ii) 1,555,200 shares of Common Stock held in a family trust with Erik B. Nordstrom and Peter E. Nordstrom, as co-trustees and beneficiaries; and (iii) 6,935,360 shares of Common Stock held in a family trust for the benefit of Erik B. Nordstrom, Peter E. Nordstrom, Alexandra F. Nordstrom and Andrew L. Nordstrom, with Erik B. Nordstrom, Peter E. Nordstrom and Charles W. Riley, Jr. as co-trustees.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Applicable information required by Item 2 for Erik B. Nordstrom, Charles W. Riley, Jr., and Estate of Bruce A. Nordstrom is provided in Item 2 above. Applicable information for Brandy Nordstrom is the same as that of Peter E. Nordstrom.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James F. Nordstrom, Jr.</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991,188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76,305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991,188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76,305 shares of Common Stock.</w:t>
      </w:r>
    </w:p>
    <w:p>
      <w:pPr>
        <w:spacing w:after="0" w:line="225"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James F. Nordstrom, Jr. reports beneficial ownership of 1,067,493 shares of Common Stock, representing 0.7% of the outstanding shares of Common Stock.</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Common Stock with respect to which James F. Nordstrom, Jr. reports shared voting and dispositive power consist of 73,777 shares of Common Stock held by Mr. Nordstrom with his wife, Lisa Nordstrom, as co-trustees in family trusts for the benefit of their children. In addition, Lisa Nordstrom owns 2,528 shares of Common Stock, as to which Mr. Nordstrom may be deemed to have shared beneficial ownership.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information required by Item 2 for Lisa Nordstrom is the same as that of James F. Nordstrom, Jr.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Anne E. Gittinger</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15,404,953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15,404,953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25"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Anne E. Gittinger reports beneficial ownership of 15,404,953 shares of Common Stock, representing 9.4% of the outstanding shares of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Charles W. Riley, Jr.</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5,501,520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6,935,360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5,501,520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6,935,360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left="660" w:right="640"/>
        <w:spacing w:after="0" w:line="282" w:lineRule="auto"/>
        <w:rPr>
          <w:sz w:val="20"/>
          <w:szCs w:val="20"/>
          <w:color w:val="auto"/>
        </w:rPr>
      </w:pPr>
      <w:r>
        <w:rPr>
          <w:rFonts w:ascii="Times New Roman" w:cs="Times New Roman" w:eastAsia="Times New Roman" w:hAnsi="Times New Roman"/>
          <w:sz w:val="18"/>
          <w:szCs w:val="18"/>
          <w:color w:val="auto"/>
        </w:rPr>
        <w:t>Charles W. Riley, Jr. reports beneficial ownership of 12,436,880 shares of Common Stock, representing 7.6% of the outstanding shares of Common Stock.</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shares of Common Stock with respect to which Charles W. Riley, Jr. reports sole voting and dispositive power consist of 5,501,520 shares of Common Stock held in a trust for the benefit of Anne E. Gittinger and her issue, with Charles W. Riley, Jr. as trustee. The shares of Common Stock with respect to which Charles W. Riley, Jr. reports shared voting and dispositive power consist of 6,935,360 shares of Common Stock held in a family trust for the benefit of Erik B. Nordstrom, Peter E. Nordstrom, Alexandra F. Nordstrom and Andrew L. Nordstrom, with Erik B. Nordstrom, Peter E. Nordstrom and Charles W. Riley, Jr. as co-trustees.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information required by Item 2 for Peter E. Nordstrom and Erik B. Nordstrom is provided in Item 2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Estate of Bruce A.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10,244,147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10,244,147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2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Estate of Bruce A. Nordstrom reports beneficial ownership of 10,244,147 shares of Common Stock, representing 6.3% of the outstanding shares of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Margaret Jean O’Roark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261,776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261,776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Margaret Jean O’Roark Nordstrom reports beneficial ownership of 261,776 shares of Common Stock, representing 0.2% of the outstanding shares of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Linda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5,070,739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5,070,739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Linda Nordstrom reports beneficial ownership of 5,070,739 shares of Common Stock, representing 3.1% of the outstanding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Susan E. Dunn</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640" w:right="3960"/>
        <w:spacing w:after="0" w:line="530" w:lineRule="auto"/>
        <w:rPr>
          <w:sz w:val="20"/>
          <w:szCs w:val="20"/>
          <w:color w:val="auto"/>
        </w:rPr>
      </w:pPr>
      <w:r>
        <w:rPr>
          <w:rFonts w:ascii="Times New Roman" w:cs="Times New Roman" w:eastAsia="Times New Roman" w:hAnsi="Times New Roman"/>
          <w:sz w:val="17"/>
          <w:szCs w:val="17"/>
          <w:color w:val="auto"/>
        </w:rPr>
        <w:t>(i)             sole power to vote or direct the vote of 1,031,839 shares of Common Stock; (ii)            shared power to vote or direct the vote of 0 shares of Common Stock;</w:t>
      </w:r>
    </w:p>
    <w:p>
      <w:pPr>
        <w:spacing w:after="0" w:line="1" w:lineRule="exact"/>
        <w:rPr>
          <w:sz w:val="20"/>
          <w:szCs w:val="20"/>
          <w:color w:val="auto"/>
        </w:rPr>
      </w:pPr>
    </w:p>
    <w:p>
      <w:pPr>
        <w:ind w:left="640" w:right="2880"/>
        <w:spacing w:after="0" w:line="500" w:lineRule="auto"/>
        <w:rPr>
          <w:sz w:val="20"/>
          <w:szCs w:val="20"/>
          <w:color w:val="auto"/>
        </w:rPr>
      </w:pPr>
      <w:r>
        <w:rPr>
          <w:rFonts w:ascii="Times New Roman" w:cs="Times New Roman" w:eastAsia="Times New Roman" w:hAnsi="Times New Roman"/>
          <w:sz w:val="18"/>
          <w:szCs w:val="18"/>
          <w:color w:val="auto"/>
        </w:rPr>
        <w:t>(iii)           sole power to dispose or direct the disposition of 1,031,839 shares of Common Stock; and (iv)           shared power to dispose or direct the disposition of 0 shares of Common Stock.</w:t>
      </w:r>
    </w:p>
    <w:p>
      <w:pPr>
        <w:spacing w:after="0" w:line="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Susan E. Dunn reports beneficial ownership of 1,031,839 shares of Common Stock, representing 0.6% of the outstanding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Alexandra F.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640" w:right="4080"/>
        <w:spacing w:after="0" w:line="530" w:lineRule="auto"/>
        <w:rPr>
          <w:sz w:val="20"/>
          <w:szCs w:val="20"/>
          <w:color w:val="auto"/>
        </w:rPr>
      </w:pPr>
      <w:r>
        <w:rPr>
          <w:rFonts w:ascii="Times New Roman" w:cs="Times New Roman" w:eastAsia="Times New Roman" w:hAnsi="Times New Roman"/>
          <w:sz w:val="17"/>
          <w:szCs w:val="17"/>
          <w:color w:val="auto"/>
        </w:rPr>
        <w:t>(i)             sole power to vote or direct the vote of 173,390 shares of Common Stock; (ii)           shared power to vote or direct the vote of 0 shares of Common Stock;</w:t>
      </w:r>
    </w:p>
    <w:p>
      <w:pPr>
        <w:spacing w:after="0" w:line="1" w:lineRule="exact"/>
        <w:rPr>
          <w:sz w:val="20"/>
          <w:szCs w:val="20"/>
          <w:color w:val="auto"/>
        </w:rPr>
      </w:pPr>
    </w:p>
    <w:p>
      <w:pPr>
        <w:ind w:left="640" w:right="3040"/>
        <w:spacing w:after="0" w:line="500" w:lineRule="auto"/>
        <w:rPr>
          <w:sz w:val="20"/>
          <w:szCs w:val="20"/>
          <w:color w:val="auto"/>
        </w:rPr>
      </w:pPr>
      <w:r>
        <w:rPr>
          <w:rFonts w:ascii="Times New Roman" w:cs="Times New Roman" w:eastAsia="Times New Roman" w:hAnsi="Times New Roman"/>
          <w:sz w:val="18"/>
          <w:szCs w:val="18"/>
          <w:color w:val="auto"/>
        </w:rPr>
        <w:t>(iii)          sole power to dispose or direct the disposition of 173,390 shares of Common Stock; and (iv)          shared power to dispose or direct the disposition of 0 shares of Common Stock.</w:t>
      </w:r>
    </w:p>
    <w:p>
      <w:pPr>
        <w:spacing w:after="0" w:line="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Alexandra F. Nordstrom reports beneficial ownership of 173,390 shares of Common Stock, representing 0.1% of the outstanding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Andrew L.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640" w:right="4080"/>
        <w:spacing w:after="0" w:line="530" w:lineRule="auto"/>
        <w:rPr>
          <w:sz w:val="20"/>
          <w:szCs w:val="20"/>
          <w:color w:val="auto"/>
        </w:rPr>
      </w:pPr>
      <w:r>
        <w:rPr>
          <w:rFonts w:ascii="Times New Roman" w:cs="Times New Roman" w:eastAsia="Times New Roman" w:hAnsi="Times New Roman"/>
          <w:sz w:val="17"/>
          <w:szCs w:val="17"/>
          <w:color w:val="auto"/>
        </w:rPr>
        <w:t>(i)             sole power to vote or direct the vote of 163,582 shares of Common Stock; (ii)           shared power to vote or direct the vote of 0 shares of Common Stock;</w:t>
      </w:r>
    </w:p>
    <w:p>
      <w:pPr>
        <w:spacing w:after="0" w:line="1" w:lineRule="exact"/>
        <w:rPr>
          <w:sz w:val="20"/>
          <w:szCs w:val="20"/>
          <w:color w:val="auto"/>
        </w:rPr>
      </w:pPr>
    </w:p>
    <w:p>
      <w:pPr>
        <w:ind w:left="640" w:right="3040"/>
        <w:spacing w:after="0" w:line="500" w:lineRule="auto"/>
        <w:rPr>
          <w:sz w:val="20"/>
          <w:szCs w:val="20"/>
          <w:color w:val="auto"/>
        </w:rPr>
      </w:pPr>
      <w:r>
        <w:rPr>
          <w:rFonts w:ascii="Times New Roman" w:cs="Times New Roman" w:eastAsia="Times New Roman" w:hAnsi="Times New Roman"/>
          <w:sz w:val="18"/>
          <w:szCs w:val="18"/>
          <w:color w:val="auto"/>
        </w:rPr>
        <w:t>(iii)          sole power to dispose or direct the disposition of 163,582 shares of Common Stock; and (iv)          shared power to dispose or direct the disposition of 0 shares of Common Stock.</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Andrew L. Nordstrom reports beneficial ownership of 163,582 shares of Common Stock, representing 0.1% of the outstanding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Leigh E.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640" w:right="4080"/>
        <w:spacing w:after="0" w:line="530" w:lineRule="auto"/>
        <w:rPr>
          <w:sz w:val="20"/>
          <w:szCs w:val="20"/>
          <w:color w:val="auto"/>
        </w:rPr>
      </w:pPr>
      <w:r>
        <w:rPr>
          <w:rFonts w:ascii="Times New Roman" w:cs="Times New Roman" w:eastAsia="Times New Roman" w:hAnsi="Times New Roman"/>
          <w:sz w:val="17"/>
          <w:szCs w:val="17"/>
          <w:color w:val="auto"/>
        </w:rPr>
        <w:t>(i)             sole power to vote or direct the vote of 125,588 shares of Common Stock; (ii)            shared power to vote or direct the vote of 0 shares of Common Stock;</w:t>
      </w:r>
    </w:p>
    <w:p>
      <w:pPr>
        <w:spacing w:after="0" w:line="1" w:lineRule="exact"/>
        <w:rPr>
          <w:sz w:val="20"/>
          <w:szCs w:val="20"/>
          <w:color w:val="auto"/>
        </w:rPr>
      </w:pPr>
    </w:p>
    <w:p>
      <w:pPr>
        <w:ind w:left="640" w:right="3020"/>
        <w:spacing w:after="0" w:line="500" w:lineRule="auto"/>
        <w:rPr>
          <w:sz w:val="20"/>
          <w:szCs w:val="20"/>
          <w:color w:val="auto"/>
        </w:rPr>
      </w:pPr>
      <w:r>
        <w:rPr>
          <w:rFonts w:ascii="Times New Roman" w:cs="Times New Roman" w:eastAsia="Times New Roman" w:hAnsi="Times New Roman"/>
          <w:sz w:val="18"/>
          <w:szCs w:val="18"/>
          <w:color w:val="auto"/>
        </w:rPr>
        <w:t>(iii)           sole power to dispose or direct the disposition of 125,588 shares of Common Stock; and (iv)          shared power to dispose or direct the disposition of 0 shares of Common Stock.</w:t>
      </w:r>
    </w:p>
    <w:p>
      <w:pPr>
        <w:spacing w:after="0" w:line="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Leigh E. Nordstrom reports beneficial ownership of 125,588 shares of Common Stock, representing 0.1% of the outstanding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Samuel C.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640" w:right="4080"/>
        <w:spacing w:after="0" w:line="578" w:lineRule="auto"/>
        <w:rPr>
          <w:sz w:val="20"/>
          <w:szCs w:val="20"/>
          <w:color w:val="auto"/>
        </w:rPr>
      </w:pPr>
      <w:r>
        <w:rPr>
          <w:rFonts w:ascii="Times New Roman" w:cs="Times New Roman" w:eastAsia="Times New Roman" w:hAnsi="Times New Roman"/>
          <w:sz w:val="17"/>
          <w:szCs w:val="17"/>
          <w:color w:val="auto"/>
        </w:rPr>
        <w:t>(i)             sole power to vote or direct the vote of 121,396 shares of Common Stock; (ii)            shared power to vote or direct the vote of 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99695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121,396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2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Samuel C. Nordstrom reports beneficial ownership of 121,396 shares of Common Stock, representing 0.1% of the outstanding shares of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Sara D. Nordstrom</w:t>
      </w:r>
      <w:r>
        <w:rPr>
          <w:rFonts w:ascii="Times New Roman" w:cs="Times New Roman" w:eastAsia="Times New Roman" w:hAnsi="Times New Roman"/>
          <w:sz w:val="18"/>
          <w:szCs w:val="18"/>
          <w:color w:val="auto"/>
        </w:rPr>
        <w:t xml:space="preserve"> has: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direct the vote of 69,806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direct the vote of 0 shares of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direct the disposition of 69,806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 0 shares of Common Stock.</w:t>
      </w:r>
    </w:p>
    <w:p>
      <w:pPr>
        <w:spacing w:after="0" w:line="225"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Sara D. Nordstrom reports beneficial ownership of 69,806 shares of Common Stock, representing 0.0% of the outstanding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Not applicable.</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            The beneficiaries of the Everett Nordstrom Trust and the Fran Nordstrom Trust, respectively, ultimately have the right to receive dividends from, or the proceeds from the sale of, such securities. The beneficiaries of Bruce A. Nordstrom Estate ultimately have the right to receive dividends from, or the proceeds from the sale of, such securities.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herein, to the knowledge of the Reporting Persons, no other person has the right to receive or the power to direct the receipt of dividends from, or the proceeds from the sale of, any shares of Common Stock reported herein as beneficially owned.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Not applicable.</w:t>
      </w:r>
    </w:p>
    <w:p>
      <w:pPr>
        <w:spacing w:after="0" w:line="22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the Securities of the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Erik B. Nordstrom, Peter E. Nordstrom and the Issuer entered into a letter agreement on April 17, 2024 (the “Letter Agreement”), pursuant to which Erik B. Nordstrom and Peter E. Nordstrom agreed to customary non-disclosure and non-use obligations for a specified time period, subject to certain exceptions. The Letter Agreement also contains standstill provisions that prohibit Erik B. Nordstrom and Peter E. Nordstrom from taking certain actions from the date of the Letter Agreement until April 17, 2025, unless requested in writing in advance by the Special Committee’s representatives. Actions prohibited during the standstill period include Erik B. Nordstrom and Peter E. Nordstrom and their representatives, directly or indirectly, (i) acquiring any voting securities of the Issuer (subject to exceptions for gifts, equity awards received or exercised as compensation or intra-family or estate planning related transfers), (ii) offering or proposing (publicly or privately) to enter into any merger, business combination, recapitalization, restructuring or similar transaction with the Issuer or any subsidiary of the Issuer, (iii) initiating shareholder proposals (subject to certain exceptions), and (iv) soliciting any proxies or otherwise seeking to influence or advise a vote with respect to any matter described in the foregoing clauses (i), (ii) and (iii). Subject to certain exceptions and limitations set forth in the Letter Agreement, the standstill provisions do not prohibit Erik B. Nordstrom and Peter E. Nordstrom from engaging in discussions with the Special Committee or making disclosures required by law. The Letter Agreement also contains restrictions that prohibit Erik B. Nordstrom and Peter E. Nordstrom from, directly or indirectly, soliciting to employ or employing certain employees of the Issuer for a specified time period and subject to certain exceptions. On September 3, 2024, the Reporting Persons signed a joinder with the Issuer pursuant to which, among other matters, they agreed to be bound by the terms of Letter Agreement. This joinder is attached as Exhibit 23 hereto. On September 3, 2024, the Group and the Issuer also entered into an agreement to be bound by certain provisions set forth in Section 10(a) of the Letter Agreement, including that such group would automatically disband on the earlier of (a) April 17, 2025 and (b) the date on which Erik B. Nordstrom or Peter E. Nordstrom notify the Issuer in writing that they have elected to cease participating in the Group, which disbandment shall be binding upon all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Letter</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September 3, 2024, the Group delivered the Proposal Letter to the Special Committee proposing a transaction whereby the Reporting Persons, through a newly-formed entity, would acquire by merger, for a purchase price of $23.00 in cash per share, all of the outstanding shares of Common Stock of the Issuer other than the Rollover Shares. The summary above is qualified in its entirety by reference to the Proposal Letter, attached as Exhibit 22 hereto, which is incorporated by reference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On March 7, 2024, pursuant to the Issuer’s 2019 Equity Incentive Plan (as amended from time to time, the “2019 Equity Incentive Plan”), the Issuer granted each of Peter E. Nordstrom and Erik B. Nordstrom (i) 103,760 restricted stock units that vest in three equal annual installments on March 10, 2025, March 10, 2026 and March 10, 2027 and (ii) 113,156 performance share units. On March 7, 2024, the Issuer granted James F. Nordstrom, Jr.</w:t>
      </w:r>
    </w:p>
    <w:p>
      <w:pPr>
        <w:spacing w:after="0" w:line="1" w:lineRule="exact"/>
        <w:rPr>
          <w:sz w:val="20"/>
          <w:szCs w:val="20"/>
          <w:color w:val="auto"/>
        </w:rPr>
      </w:pPr>
    </w:p>
    <w:p>
      <w:pPr>
        <w:ind w:right="60"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66,996 restricted stock units that vest in three equal annual installments on March 10, 2025, March 10, 2026 and March 10, 2027 and (ii) 73,063 performance share units. Each performance share unit represents a contingent right to receive one share of the Issuer’s Common Stock. The percentage of performance share units granted that can be actually earned at the end of the three-year period from fiscal year 2024 through fiscal year 2026 is based upon the Issuer’s sales and earnings before interest and tax margin results over that year. One third of the total target number of performance share units will be allocated to three separate 1-year performance cycles.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6, 2023, pursuant to the Issuer’s 2019 Equity Incentive Plan, the Issuer granted each of Peter E. Nordstrom and Erik B. Nordstrom</w:t>
      </w:r>
    </w:p>
    <w:p>
      <w:pPr>
        <w:spacing w:after="0" w:line="27" w:lineRule="exact"/>
        <w:rPr>
          <w:sz w:val="20"/>
          <w:szCs w:val="20"/>
          <w:color w:val="auto"/>
        </w:rPr>
      </w:pPr>
    </w:p>
    <w:p>
      <w:pPr>
        <w:ind w:right="100" w:firstLine="8"/>
        <w:spacing w:after="0" w:line="251"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130,194 shares of Common Stock that vest 50% on March 10, 2026 and 50% on March 10, 2027 and (ii) 96,958 performance share units. Each performance share unit represents a contingent right to receive one share of the Issuer’s Common Stock. The percentage of performance share units granted that can be actually earned at the end of the three-year period from fiscal year 2023 through fiscal year 2025 is based upon the Issuer's cumulative sales and earnings before interest and tax margin results over that same period. On December 8, 2023, each of Peter E. Nordstrom and Erik B. Nordstrom acquired 670 shares of Common Stock as a result of the conversion of 670 performance share units, and forfeited such 670 shares for tax purposes. On March 6, 2023, pursuant to the Issuer’s 2019 Equity Incentive Plan, the Issuer granted James F. Nordstrom, Jr. (i) options to purchase 53,333 shares of Common Stock that vest 50% on March 10, 2026 and 50% on March 10, 2027 and (ii) 39,718 performance share units. Each performance share unit represents a contingent right to receive one share of the Issuer’s Common Stock. The percentage of performance share units granted that can be actually earned at the end of the three-year period from fiscal year 2023 through fiscal year 2025 is based upon the Issuer's cumulative sales and earnings before interest and tax margin results over that same period.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 2022, pursuant to the Issuer’s 2019 Equity Incentive Plan, the Issuer granted each of Peter E. Nordstrom and Erik B. Nordstrom</w:t>
      </w:r>
    </w:p>
    <w:p>
      <w:pPr>
        <w:spacing w:after="0" w:line="27" w:lineRule="exact"/>
        <w:rPr>
          <w:sz w:val="20"/>
          <w:szCs w:val="20"/>
          <w:color w:val="auto"/>
        </w:rPr>
      </w:pPr>
    </w:p>
    <w:p>
      <w:pPr>
        <w:ind w:firstLine="8"/>
        <w:spacing w:after="0" w:line="251"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102,506 shares of Common Stock that vest 50% on March 10, 2025 and 50% on March 10, 2026 and (ii) 70,536 performance share units. Each performance share unit represents a contingent right to receive one share of the Issuer’s Common Stock. The percentage of performance share units granted that can be actually earned at the end of the three-year period from fiscal year 2022 through fiscal year 2024 is based upon the Issuer's cumulative sales and earnings before interest and tax margin results over that same period. On December 19, 2022, each of Peter E. Nordstrom and Erik B. Nordstrom acquired 603 shares of Common Stock as a result of the conversion of 603 performance share units, and forfeited such 603 shares for tax purposes. On December 8, 2023, each of Peter E. Nordstrom and Erik B. Nordstrom acquired 532 shares of Common Stock as a result of the conversion of 532 performance share units, and forfeited such 532 shares for tax purposes. On March 3, 2022, pursuant to the Issuer’s 2019 Equity Incentive Plan, the Issuer granted James F. Nordstrom, Jr. (i) options to purchase 41,991 shares of Common Stock that vest 50% on March 10, 2025 and 50% on March 10, 2026 and (ii) 28,894 performance share units. Each performance share unit represents a contingent right to receive one share of the Issuer’s Common Stock. The percentage of performance share units granted that can be actually earned at the end of the three-year period from fiscal year 2022 through fiscal year 2024 is based upon the Issuer's cumulative sales and earnings before interest and tax margin results over that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4, 2021, pursuant to the Issuer’s 2019 Equity Incentive Plan, the Issuer granted each of Peter E. Nordstrom and Erik B. Nordstrom options to purchase 297,619 shares of Common Stock that vest 50% on March 10, 2024 and 50% on March 10, 2025, subject to the condition that the average daily closing price of the Issuer's common stock, as reported by the New York Stock Exchange, meets or exceeds $45 per share for any twenty consecutive trading day period prior to March 10, 2025. On March 4, 2021, pursuant to the Issuer’s 2019 Equity Incentive Plan, the Issuer granted James F. Nordstrom, Jr. (i) options to purchase 30,501 shares of Common Stock that vest 50% on March 10, 2024 and 50% on March 10, 2025 and (ii) 19,393 restricted stock units that vest in four equal installments on March 10, 2022, March 10, 2023, March 10, 2024 and March 10, 2025.</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August 18, 2020, pursuant to the Issuer’s 2019 Equity Incentive Plan, effective August 27, 2020, the Issuer granted each of Peter E. Nordstrom and Erik B. Nordstrom options to purchase 245,829 shares of Common Stock that vested in full on September 10, 2022. On August 18, 2020, pursuant to the Issuer’s 2019 Equity Incentive Plan, the Issuer granted James F. Nordstrom, Jr. options to purchase 162,049 shares of Common Stock that vested in full on September 10, 2022.</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March 9, 2020, pursuant to the Issuer’s 2019 Equity Incentive Plan, the Issuer granted each of Peter E. Nordstrom and Erik B. Nordstrom options to purchase 147,407 shares of Common Stock that vested in four equal installments on March 10, 2021, March 10, 2022, March 10, 2023 and March 10, 2024. On March 9, pursuant to the Issuer’s 2019 Equity Incentive Plan, the Issuer granted James. F. Nordstrom, Jr. 18,449 that vested in four equal installments on March 10, 2021, March 10, 2022, March 10, 2023 and March 10, 2024.</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5, 2019, pursuant to the Issuer’s 2010 Equity Incentive Plan (as amended and restated from time to time, the “2010 Equity Incentive Plan”), the Issuer granted each of Peter E. Nordstrom and Erik B. Nordstrom options to purchase 73,069 shares of Common Stock that vested in four equal installments on March 10, 2020, March 10, 2021, March 10, 2022 and March 10, 2023. Additionally, on March 5, 2019, pursuant to the Issuer’s 2010 Equity Incentive Plan, the Issuer granted James F. Nordstrom, Jr. (i) options to purchase to purchase 67,257 shares of Common Stock that vested 50% on March 10, 2022 and 50% on March 10, 2023 and (ii) 9,773 restricted stock units that vested in four equal installments on March 10, 2020, March 10, 2021, March 10, 2022 and March 10, 2023.</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March 6, 2018, pursuant to the Issuer’s 2010 Equity Incentive Plan, the Issuer granted each of Peter E. Nordstrom and Erik B. Nordstrom 54,223 restricted stock units that vested in four equal installments on March 10, 2019, March 10, 2020, March 10, 2021 and March 10, 2022. On March 6, 2018, pursuant to the Issuer’s 2010 Equity Incentive Plan, the Issuer granted James F. Nordstrom, Jr. 19,317 restricted stock units that vested in four equal installments on March 10, 2019, March 10, 2020, March 10, 2021 and March 10,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Trusts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discussed in Item 5 above, certain of the Reporting Persons serve as trustees and co-trustees for family trusts for their own benefit and for the benefit of their respective families. In their capacities as trustees, they have sole and shared voting and dispositive control with respect to the shares of Common Stock held in trust, as further described in Item 5 above.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Peter E. Nordstrom, Erik B. Nordstrom and James F. Nordstrom, Jr. have additionally transacted in amounts of the Issuer’s for various reasons, such as disposing of shares to satisfy tax obligations in connection with the vesting of restricted stock units or transacting pursuant to an SEC Rule 10b5-1 trading arrangement then in effect. All of the Issuer’s executives are required, pursuant to the Issuer’s stock ownership guidelines, to effect any open market transactions pursuant to SEC Rule 10b5-1 trading arrangements.</w:t>
      </w:r>
    </w:p>
    <w:p>
      <w:pPr>
        <w:spacing w:after="0" w:line="18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Peter E. Nordstrom, Erik B. Nordstrom and James F. Nordstrom, Jr. participate in the Issuer’s Employee Stock Purchase Plan, as amended and restated from time to time, which allows eligible employees of the Issuer with an opportunity to increase their proprietary interest in the success of the Issuer by purchasing shares from the Issuer on favorable terms and to pay for such purchases through payroll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Except for the other agreements and arrangements described herein, there are no other contracts, arrangements, understandings or relationships (legal or otherwise) among the parties named in Item 2 above and between such persons and any person with respect to any of the Common Stock of the Issuer.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5280" w:type="dxa"/>
            <w:vAlign w:val="bottom"/>
            <w:gridSpan w:val="18"/>
          </w:tcPr>
          <w:p>
            <w:pPr>
              <w:ind w:left="28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14"/>
          </w:tcPr>
          <w:p>
            <w:pPr>
              <w:ind w:left="24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6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Exhibit 1</w:t>
            </w:r>
          </w:p>
        </w:tc>
        <w:tc>
          <w:tcPr>
            <w:tcW w:w="240" w:type="dxa"/>
            <w:vAlign w:val="bottom"/>
            <w:tcBorders>
              <w:top w:val="single" w:sz="8" w:color="auto"/>
            </w:tcBorders>
            <w:gridSpan w:val="2"/>
          </w:tcPr>
          <w:p>
            <w:pPr>
              <w:spacing w:after="0"/>
              <w:rPr>
                <w:sz w:val="14"/>
                <w:szCs w:val="14"/>
                <w:color w:val="auto"/>
              </w:rPr>
            </w:pPr>
          </w:p>
        </w:tc>
        <w:tc>
          <w:tcPr>
            <w:tcW w:w="5040" w:type="dxa"/>
            <w:vAlign w:val="bottom"/>
            <w:tcBorders>
              <w:top w:val="single" w:sz="8" w:color="auto"/>
              <w:bottom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EE"/>
                <w:w w:val="99"/>
              </w:rPr>
              <w:t>Joint Filing Agreement, dated as of September 4, 2024, by and among</w:t>
            </w: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Filed herewith</w:t>
            </w:r>
          </w:p>
        </w:tc>
        <w:tc>
          <w:tcPr>
            <w:tcW w:w="4000" w:type="dxa"/>
            <w:vAlign w:val="bottom"/>
            <w:tcBorders>
              <w:top w:val="single" w:sz="8" w:color="auto"/>
            </w:tcBorders>
            <w:gridSpan w:val="16"/>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the Reporting Persons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Exhibit 2</w:t>
            </w:r>
          </w:p>
        </w:tc>
        <w:tc>
          <w:tcPr>
            <w:tcW w:w="240" w:type="dxa"/>
            <w:vAlign w:val="bottom"/>
            <w:gridSpan w:val="2"/>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Letter Agreement, dated as of April 17, 2024, between the Reporting</w:t>
            </w:r>
          </w:p>
        </w:tc>
        <w:tc>
          <w:tcPr>
            <w:tcW w:w="320" w:type="dxa"/>
            <w:vAlign w:val="bottom"/>
            <w:gridSpan w:val="4"/>
          </w:tcPr>
          <w:p>
            <w:pPr>
              <w:spacing w:after="0"/>
              <w:rPr>
                <w:sz w:val="24"/>
                <w:szCs w:val="24"/>
                <w:color w:val="auto"/>
              </w:rPr>
            </w:pPr>
          </w:p>
        </w:tc>
        <w:tc>
          <w:tcPr>
            <w:tcW w:w="1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Filed herewith</w:t>
            </w:r>
          </w:p>
        </w:tc>
        <w:tc>
          <w:tcPr>
            <w:tcW w:w="4000" w:type="dxa"/>
            <w:vAlign w:val="bottom"/>
            <w:gridSpan w:val="1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Persons and the Special Committee.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Exhibit 3</w:t>
              </w:r>
            </w:hyperlink>
          </w:p>
        </w:tc>
        <w:tc>
          <w:tcPr>
            <w:tcW w:w="240" w:type="dxa"/>
            <w:vAlign w:val="bottom"/>
            <w:gridSpan w:val="2"/>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Form of 2018 Restricted Stock Unit Award Agreement</w:t>
              </w:r>
            </w:hyperlink>
          </w:p>
        </w:tc>
        <w:tc>
          <w:tcPr>
            <w:tcW w:w="1340" w:type="dxa"/>
            <w:vAlign w:val="bottom"/>
            <w:gridSpan w:val="11"/>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March 8, 2018,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Exhibit 4</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Form of 2019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March 4, 2019,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Exhibit 5</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Form of 2020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March 3, 2020,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Exhibit 6</w:t>
              </w:r>
            </w:hyperlink>
          </w:p>
        </w:tc>
        <w:tc>
          <w:tcPr>
            <w:tcW w:w="240" w:type="dxa"/>
            <w:vAlign w:val="bottom"/>
            <w:gridSpan w:val="2"/>
          </w:tcPr>
          <w:p>
            <w:pPr>
              <w:spacing w:after="0"/>
              <w:rPr>
                <w:sz w:val="24"/>
                <w:szCs w:val="24"/>
                <w:color w:val="auto"/>
              </w:rPr>
            </w:pPr>
          </w:p>
        </w:tc>
        <w:tc>
          <w:tcPr>
            <w:tcW w:w="4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2020 Nonqualified Stock Option Award Agreement –</w:t>
              </w:r>
            </w:hyperlink>
          </w:p>
        </w:tc>
        <w:tc>
          <w:tcPr>
            <w:tcW w:w="800" w:type="dxa"/>
            <w:vAlign w:val="bottom"/>
            <w:gridSpan w:val="8"/>
          </w:tcPr>
          <w:p>
            <w:pPr>
              <w:spacing w:after="0"/>
              <w:rPr>
                <w:sz w:val="24"/>
                <w:szCs w:val="24"/>
                <w:color w:val="auto"/>
              </w:rPr>
            </w:pPr>
          </w:p>
        </w:tc>
        <w:tc>
          <w:tcPr>
            <w:tcW w:w="4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Incorporated by reference from the Issuer’s Form 10-Q filed on</w:t>
              </w:r>
            </w:hyperlink>
          </w:p>
        </w:tc>
        <w:tc>
          <w:tcPr>
            <w:tcW w:w="48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7">
              <w:r>
                <w:rPr>
                  <w:rFonts w:ascii="Times New Roman" w:cs="Times New Roman" w:eastAsia="Times New Roman" w:hAnsi="Times New Roman"/>
                  <w:sz w:val="18"/>
                  <w:szCs w:val="18"/>
                  <w:color w:val="0000EE"/>
                  <w:w w:val="97"/>
                </w:rPr>
                <w:t>Supplemental Award</w:t>
              </w:r>
            </w:hyperlink>
          </w:p>
        </w:tc>
        <w:tc>
          <w:tcPr>
            <w:tcW w:w="3780" w:type="dxa"/>
            <w:vAlign w:val="bottom"/>
            <w:gridSpan w:val="15"/>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June 10, 2020, Exhibit 10.5</w:t>
              </w:r>
            </w:hyperlink>
          </w:p>
        </w:tc>
        <w:tc>
          <w:tcPr>
            <w:tcW w:w="3060" w:type="dxa"/>
            <w:vAlign w:val="bottom"/>
            <w:gridSpan w:val="11"/>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Exhibit 7</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Form of 2023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March 6, 2023,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Exhibit 8</w:t>
              </w:r>
            </w:hyperlink>
          </w:p>
        </w:tc>
        <w:tc>
          <w:tcPr>
            <w:tcW w:w="240" w:type="dxa"/>
            <w:vAlign w:val="bottom"/>
            <w:gridSpan w:val="2"/>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Form of 2024 Restricted Stock Unit Award Agreement</w:t>
              </w:r>
            </w:hyperlink>
          </w:p>
        </w:tc>
        <w:tc>
          <w:tcPr>
            <w:tcW w:w="1340" w:type="dxa"/>
            <w:vAlign w:val="bottom"/>
            <w:gridSpan w:val="11"/>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March 4, 2024,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Exhibit 9</w:t>
              </w:r>
            </w:hyperlink>
          </w:p>
        </w:tc>
        <w:tc>
          <w:tcPr>
            <w:tcW w:w="240" w:type="dxa"/>
            <w:vAlign w:val="bottom"/>
            <w:gridSpan w:val="2"/>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2022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February 28, 2022, Exhibit 10.2</w:t>
              </w:r>
            </w:hyperlink>
          </w:p>
        </w:tc>
        <w:tc>
          <w:tcPr>
            <w:tcW w:w="2160" w:type="dxa"/>
            <w:vAlign w:val="bottom"/>
            <w:tcBorders>
              <w:top w:val="single" w:sz="8" w:color="0000EE"/>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Exhibit 10</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2023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March 6, 2023, Exhibit 10.2</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760" w:type="dxa"/>
            <w:vAlign w:val="bottom"/>
            <w:gridSpan w:val="2"/>
          </w:tcPr>
          <w:p>
            <w:pPr>
              <w:spacing w:after="0"/>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Exhibit 11</w:t>
              </w:r>
            </w:hyperlink>
          </w:p>
        </w:tc>
        <w:tc>
          <w:tcPr>
            <w:tcW w:w="16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2024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March 4, 2024, Exhibit 10.2</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12</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Nordstrom, Inc. 2010 Equity Incentive Plan</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Incorporated by reference to Appendix A to the Issuer’s Form DEF</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14A filed on April 8, 2010</w:t>
              </w:r>
            </w:hyperlink>
          </w:p>
        </w:tc>
        <w:tc>
          <w:tcPr>
            <w:tcW w:w="2920" w:type="dxa"/>
            <w:vAlign w:val="bottom"/>
            <w:tcBorders>
              <w:top w:val="single" w:sz="8" w:color="0000EE"/>
            </w:tcBorders>
            <w:gridSpan w:val="10"/>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13</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Nordstrom, Inc. 2010 Equity Incentive Plan as amended February 27,</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Incorporated by reference to Appendix A to the Issuer’s Form DEF</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4"/>
              </w:rPr>
            </w:pPr>
            <w:hyperlink r:id="rId54">
              <w:r>
                <w:rPr>
                  <w:rFonts w:ascii="Times New Roman" w:cs="Times New Roman" w:eastAsia="Times New Roman" w:hAnsi="Times New Roman"/>
                  <w:sz w:val="18"/>
                  <w:szCs w:val="18"/>
                  <w:color w:val="0000EE"/>
                  <w:w w:val="94"/>
                </w:rPr>
                <w:t>2013</w:t>
              </w:r>
            </w:hyperlink>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14A filed on April 1, 2013</w:t>
              </w:r>
            </w:hyperlink>
          </w:p>
        </w:tc>
        <w:tc>
          <w:tcPr>
            <w:tcW w:w="200" w:type="dxa"/>
            <w:vAlign w:val="bottom"/>
            <w:gridSpan w:val="2"/>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14</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Nordstrom, Inc. 2010 Equity Incentive Plan as amended and restated</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February 26, 2014</w:t>
              </w:r>
            </w:hyperlink>
          </w:p>
        </w:tc>
        <w:tc>
          <w:tcPr>
            <w:tcW w:w="3620" w:type="dxa"/>
            <w:vAlign w:val="bottom"/>
            <w:tcBorders>
              <w:top w:val="single" w:sz="8" w:color="0000EE"/>
            </w:tcBorders>
            <w:gridSpan w:val="11"/>
          </w:tcPr>
          <w:p>
            <w:pPr>
              <w:spacing w:after="0"/>
              <w:rPr>
                <w:sz w:val="17"/>
                <w:szCs w:val="17"/>
                <w:color w:val="auto"/>
              </w:rPr>
            </w:pPr>
          </w:p>
        </w:tc>
        <w:tc>
          <w:tcPr>
            <w:tcW w:w="340" w:type="dxa"/>
            <w:vAlign w:val="bottom"/>
            <w:gridSpan w:val="5"/>
          </w:tcPr>
          <w:p>
            <w:pPr>
              <w:spacing w:after="0"/>
              <w:rPr>
                <w:sz w:val="17"/>
                <w:szCs w:val="17"/>
                <w:color w:val="auto"/>
              </w:rPr>
            </w:pPr>
          </w:p>
        </w:tc>
        <w:tc>
          <w:tcPr>
            <w:tcW w:w="4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March 4, 2014, Exhibit 10.4</w:t>
              </w:r>
            </w:hyperlink>
          </w:p>
        </w:tc>
        <w:tc>
          <w:tcPr>
            <w:tcW w:w="580" w:type="dxa"/>
            <w:vAlign w:val="bottom"/>
            <w:gridSpan w:val="5"/>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15</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Nordstrom, Inc. 2010 Equity Incentive Plan as amended and restated</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Appendix A to Issuer’s Form DEF 14A</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February 16, 2017</w:t>
              </w:r>
            </w:hyperlink>
          </w:p>
        </w:tc>
        <w:tc>
          <w:tcPr>
            <w:tcW w:w="3620" w:type="dxa"/>
            <w:vAlign w:val="bottom"/>
            <w:tcBorders>
              <w:top w:val="single" w:sz="8" w:color="0000EE"/>
            </w:tcBorders>
            <w:gridSpan w:val="11"/>
          </w:tcPr>
          <w:p>
            <w:pPr>
              <w:spacing w:after="0"/>
              <w:rPr>
                <w:sz w:val="17"/>
                <w:szCs w:val="17"/>
                <w:color w:val="auto"/>
              </w:rPr>
            </w:pPr>
          </w:p>
        </w:tc>
        <w:tc>
          <w:tcPr>
            <w:tcW w:w="340" w:type="dxa"/>
            <w:vAlign w:val="bottom"/>
            <w:gridSpan w:val="5"/>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filed on April 5, 2017</w:t>
              </w:r>
            </w:hyperlink>
          </w:p>
        </w:tc>
        <w:tc>
          <w:tcPr>
            <w:tcW w:w="3360" w:type="dxa"/>
            <w:vAlign w:val="bottom"/>
            <w:tcBorders>
              <w:top w:val="single" w:sz="8" w:color="0000EE"/>
            </w:tcBorders>
            <w:gridSpan w:val="14"/>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Exhibit 16</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Nordstrom, Inc. 2019 Equity Incentive Plan</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Appendix B to the Registrant’s</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Form DEF 14A filed on April 12, 2019</w:t>
              </w:r>
            </w:hyperlink>
          </w:p>
        </w:tc>
        <w:tc>
          <w:tcPr>
            <w:tcW w:w="1480" w:type="dxa"/>
            <w:vAlign w:val="bottom"/>
            <w:tcBorders>
              <w:top w:val="single" w:sz="8" w:color="0000EE"/>
            </w:tcBorders>
          </w:tcPr>
          <w:p>
            <w:pPr>
              <w:spacing w:after="0"/>
              <w:rPr>
                <w:sz w:val="17"/>
                <w:szCs w:val="17"/>
                <w:color w:val="auto"/>
              </w:rPr>
            </w:pPr>
          </w:p>
        </w:tc>
        <w:tc>
          <w:tcPr>
            <w:tcW w:w="740" w:type="dxa"/>
            <w:vAlign w:val="bottom"/>
            <w:gridSpan w:val="6"/>
          </w:tcPr>
          <w:p>
            <w:pPr>
              <w:spacing w:after="0"/>
              <w:rPr>
                <w:sz w:val="17"/>
                <w:szCs w:val="17"/>
                <w:color w:val="auto"/>
              </w:rPr>
            </w:pPr>
          </w:p>
        </w:tc>
      </w:tr>
      <w:tr>
        <w:trPr>
          <w:trHeight w:val="432"/>
        </w:trPr>
        <w:tc>
          <w:tcPr>
            <w:tcW w:w="920" w:type="dxa"/>
            <w:vAlign w:val="bottom"/>
            <w:gridSpan w:val="3"/>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17</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Nordstrom, Inc. 2019 Equity Incentive Plan (2020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Incorporated by reference to Appendix B to the Issuer’s DEF 14A</w:t>
              </w:r>
            </w:hyperlink>
          </w:p>
        </w:tc>
      </w:tr>
      <w:tr>
        <w:trPr>
          <w:trHeight w:val="176"/>
        </w:trPr>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filed on April 7, 2020</w:t>
              </w:r>
            </w:hyperlink>
          </w:p>
        </w:tc>
        <w:tc>
          <w:tcPr>
            <w:tcW w:w="3180" w:type="dxa"/>
            <w:vAlign w:val="bottom"/>
            <w:tcBorders>
              <w:top w:val="single" w:sz="8" w:color="0000EE"/>
            </w:tcBorders>
            <w:gridSpan w:val="12"/>
          </w:tcPr>
          <w:p>
            <w:pPr>
              <w:spacing w:after="0"/>
              <w:rPr>
                <w:sz w:val="15"/>
                <w:szCs w:val="15"/>
                <w:color w:val="auto"/>
              </w:rPr>
            </w:pPr>
          </w:p>
        </w:tc>
        <w:tc>
          <w:tcPr>
            <w:tcW w:w="300" w:type="dxa"/>
            <w:vAlign w:val="bottom"/>
            <w:gridSpan w:val="3"/>
          </w:tcPr>
          <w:p>
            <w:pPr>
              <w:spacing w:after="0"/>
              <w:rPr>
                <w:sz w:val="15"/>
                <w:szCs w:val="15"/>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18</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Nordstrom, Inc. 2019 Equity Incentive Plan (2023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Appendix B to the Issuer’s DEF 14A</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on April 28, 2023</w:t>
              </w:r>
            </w:hyperlink>
          </w:p>
        </w:tc>
        <w:tc>
          <w:tcPr>
            <w:tcW w:w="300" w:type="dxa"/>
            <w:vAlign w:val="bottom"/>
            <w:gridSpan w:val="3"/>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r>
      <w:tr>
        <w:trPr>
          <w:trHeight w:val="432"/>
        </w:trPr>
        <w:tc>
          <w:tcPr>
            <w:tcW w:w="920" w:type="dxa"/>
            <w:vAlign w:val="bottom"/>
            <w:gridSpan w:val="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19</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Nordstrom, Inc. Employee Stock Purchase Plan (2023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Appendix C to the Issuer’s DEF 14A</w:t>
              </w:r>
            </w:hyperlink>
          </w:p>
        </w:tc>
      </w:tr>
      <w:tr>
        <w:trPr>
          <w:trHeight w:val="176"/>
        </w:trPr>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on April 28, 2023</w:t>
              </w:r>
            </w:hyperlink>
          </w:p>
        </w:tc>
        <w:tc>
          <w:tcPr>
            <w:tcW w:w="300" w:type="dxa"/>
            <w:vAlign w:val="bottom"/>
            <w:gridSpan w:val="3"/>
          </w:tcPr>
          <w:p>
            <w:pPr>
              <w:spacing w:after="0"/>
              <w:rPr>
                <w:sz w:val="15"/>
                <w:szCs w:val="15"/>
                <w:color w:val="auto"/>
              </w:rPr>
            </w:pPr>
          </w:p>
        </w:tc>
      </w:tr>
      <w:tr>
        <w:trPr>
          <w:trHeight w:val="453"/>
        </w:trPr>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tabs>
          <w:tab w:leader="none" w:pos="900" w:val="left"/>
        </w:tabs>
        <w:rPr>
          <w:rFonts w:ascii="Times New Roman" w:cs="Times New Roman" w:eastAsia="Times New Roman" w:hAnsi="Times New Roman"/>
          <w:sz w:val="17"/>
          <w:szCs w:val="17"/>
          <w:u w:val="single" w:color="auto"/>
          <w:color w:val="0000EE"/>
        </w:rPr>
      </w:pPr>
      <w:hyperlink r:id="rId60">
        <w:r>
          <w:rPr>
            <w:rFonts w:ascii="Times New Roman" w:cs="Times New Roman" w:eastAsia="Times New Roman" w:hAnsi="Times New Roman"/>
            <w:sz w:val="18"/>
            <w:szCs w:val="18"/>
            <w:u w:val="single" w:color="auto"/>
            <w:color w:val="0000EE"/>
          </w:rPr>
          <w:t>Exhibit 20</w:t>
        </w:r>
      </w:hyperlink>
      <w:r>
        <w:rPr>
          <w:rFonts w:ascii="Times New Roman" w:cs="Times New Roman" w:eastAsia="Times New Roman" w:hAnsi="Times New Roman"/>
          <w:sz w:val="18"/>
          <w:szCs w:val="18"/>
          <w:u w:val="single" w:color="auto"/>
          <w:color w:val="0000EE"/>
        </w:rPr>
        <w:tab/>
      </w:r>
      <w:hyperlink r:id="rId60">
        <w:r>
          <w:rPr>
            <w:rFonts w:ascii="Times New Roman" w:cs="Times New Roman" w:eastAsia="Times New Roman" w:hAnsi="Times New Roman"/>
            <w:sz w:val="17"/>
            <w:szCs w:val="17"/>
            <w:u w:val="single" w:color="auto"/>
            <w:color w:val="0000EE"/>
          </w:rPr>
          <w:t>Form of 2019 Restricted Stock Unit Award Agreement</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r:id="rId61">
        <w:r>
          <w:rPr>
            <w:rFonts w:ascii="Times New Roman" w:cs="Times New Roman" w:eastAsia="Times New Roman" w:hAnsi="Times New Roman"/>
            <w:sz w:val="18"/>
            <w:szCs w:val="18"/>
            <w:u w:val="single" w:color="auto"/>
            <w:color w:val="0000EE"/>
          </w:rPr>
          <w:t>Exhibit 21</w:t>
        </w:r>
      </w:hyperlink>
      <w:r>
        <w:rPr>
          <w:rFonts w:ascii="Times New Roman" w:cs="Times New Roman" w:eastAsia="Times New Roman" w:hAnsi="Times New Roman"/>
          <w:sz w:val="18"/>
          <w:szCs w:val="18"/>
          <w:u w:val="single" w:color="auto"/>
          <w:color w:val="0000EE"/>
        </w:rPr>
        <w:tab/>
      </w:r>
      <w:hyperlink r:id="rId61">
        <w:r>
          <w:rPr>
            <w:rFonts w:ascii="Times New Roman" w:cs="Times New Roman" w:eastAsia="Times New Roman" w:hAnsi="Times New Roman"/>
            <w:sz w:val="17"/>
            <w:szCs w:val="17"/>
            <w:u w:val="single" w:color="auto"/>
            <w:color w:val="0000EE"/>
          </w:rPr>
          <w:t>Form of 2020 Restricted Stock Unit Award Agreement</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Exhibit 22</w:t>
      </w:r>
      <w:r>
        <w:rPr>
          <w:sz w:val="20"/>
          <w:szCs w:val="20"/>
          <w:color w:val="auto"/>
        </w:rPr>
        <w:tab/>
      </w:r>
      <w:r>
        <w:rPr>
          <w:rFonts w:ascii="Times New Roman" w:cs="Times New Roman" w:eastAsia="Times New Roman" w:hAnsi="Times New Roman"/>
          <w:sz w:val="17"/>
          <w:szCs w:val="17"/>
          <w:u w:val="single" w:color="auto"/>
          <w:color w:val="0000EE"/>
        </w:rPr>
        <w:t>Proposal Letter</w:t>
      </w:r>
    </w:p>
    <w:p>
      <w:pPr>
        <w:spacing w:after="0" w:line="225" w:lineRule="exact"/>
        <w:rPr>
          <w:sz w:val="20"/>
          <w:szCs w:val="20"/>
          <w:color w:val="auto"/>
        </w:rPr>
      </w:pPr>
    </w:p>
    <w:p>
      <w:pPr>
        <w:ind w:right="94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23 Joinder Agreement, dated as of September 3, 2024 Exhibit 24 Power of Attorney Erik B. Nordstrom</w:t>
      </w:r>
    </w:p>
    <w:p>
      <w:pPr>
        <w:spacing w:after="0" w:line="2" w:lineRule="exact"/>
        <w:rPr>
          <w:sz w:val="20"/>
          <w:szCs w:val="20"/>
          <w:color w:val="auto"/>
        </w:rPr>
      </w:pPr>
    </w:p>
    <w:p>
      <w:pPr>
        <w:ind w:right="148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25 Power of Attorney Peter E. Nordstrom Exhibit 26 Power of Attorney James F. Nordstrom, Jr. Exhibit 27 Power of Attorney Anne E. Gittinger Exhibit 28 Power of Attorney Charles W. Riley, Jr.</w:t>
      </w:r>
    </w:p>
    <w:p>
      <w:pPr>
        <w:spacing w:after="0" w:line="3" w:lineRule="exact"/>
        <w:rPr>
          <w:sz w:val="20"/>
          <w:szCs w:val="20"/>
          <w:color w:val="auto"/>
        </w:rPr>
      </w:pPr>
    </w:p>
    <w:p>
      <w:pPr>
        <w:ind w:right="66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29 Power of Attorney Margaret Jean O’Roark Nordstrom Exhibit 30 Power of Attorney Linda Nordstrom</w:t>
      </w:r>
    </w:p>
    <w:p>
      <w:pPr>
        <w:spacing w:after="0" w:line="2" w:lineRule="exact"/>
        <w:rPr>
          <w:sz w:val="20"/>
          <w:szCs w:val="20"/>
          <w:color w:val="auto"/>
        </w:rPr>
      </w:pPr>
    </w:p>
    <w:p>
      <w:pPr>
        <w:ind w:right="102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31 Power of Attorney Estate of Bruce A. Nordstrom Exhibit 32 Power of Attorney Susan E. Dunn</w:t>
      </w:r>
    </w:p>
    <w:p>
      <w:pPr>
        <w:spacing w:after="0" w:line="2" w:lineRule="exact"/>
        <w:rPr>
          <w:sz w:val="20"/>
          <w:szCs w:val="20"/>
          <w:color w:val="auto"/>
        </w:rPr>
      </w:pPr>
    </w:p>
    <w:p>
      <w:pPr>
        <w:ind w:right="1440"/>
        <w:spacing w:after="0" w:line="508" w:lineRule="auto"/>
        <w:rPr>
          <w:sz w:val="20"/>
          <w:szCs w:val="20"/>
          <w:color w:val="auto"/>
        </w:rPr>
      </w:pPr>
      <w:r>
        <w:rPr>
          <w:rFonts w:ascii="Times New Roman" w:cs="Times New Roman" w:eastAsia="Times New Roman" w:hAnsi="Times New Roman"/>
          <w:sz w:val="18"/>
          <w:szCs w:val="18"/>
          <w:u w:val="single" w:color="auto"/>
          <w:color w:val="0000EE"/>
        </w:rPr>
        <w:t>Exhibit 33 Power of Attorney Alexandra F. Nordstrom Exhibit 34 Power of Attorney Andrew L. Nordstrom Exhibit 35 Power of Attorney Leigh E. Nordstrom Exhibit 36 Power of Attorney Samuel C. Nordstrom Exhibit 37 Power of Attorney Sara D. Nordstrom</w:t>
      </w:r>
    </w:p>
    <w:p>
      <w:pPr>
        <w:spacing w:after="0" w:line="20" w:lineRule="exact"/>
        <w:rPr>
          <w:sz w:val="20"/>
          <w:szCs w:val="20"/>
          <w:color w:val="auto"/>
        </w:rPr>
      </w:pPr>
      <w:r>
        <w:rPr>
          <w:sz w:val="20"/>
          <w:szCs w:val="20"/>
          <w:color w:val="auto"/>
        </w:rPr>
        <w:br w:type="column"/>
      </w:r>
    </w:p>
    <w:p>
      <w:pPr>
        <w:spacing w:after="0" w:line="282" w:lineRule="auto"/>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Incorporated by reference from the Issuer’s Form 8-K filed on</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March 8, 2019, Exhibit 10.3</w:t>
        </w:r>
      </w:hyperlink>
    </w:p>
    <w:p>
      <w:pPr>
        <w:spacing w:after="0" w:line="16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Incorporated by reference from the Issuer’s Form 8-K filed on</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March 3, 2020, Exhibit 10.2</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480" w:space="720"/>
            <w:col w:w="4460"/>
          </w:cols>
          <w:pgMar w:left="320" w:top="904" w:right="9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September 4, 2024</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Erik B. Nordstrom</w:t>
            </w: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Linda Nordstrom</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Erik B. Nordstrom</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Linda Nordstrom</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Peter E. Nordstrom</w:t>
            </w: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Estate of Bruce A. Nordstrom</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Peter E. Nordstrom</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Margaret Jean O’Roark Nordstrom</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James F. Nordstrom, Jr.</w:t>
            </w: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20" w:type="dxa"/>
            <w:vAlign w:val="bottom"/>
            <w:gridSpan w:val="2"/>
            <w:vMerge w:val="continue"/>
          </w:tcPr>
          <w:p>
            <w:pPr>
              <w:spacing w:after="0"/>
              <w:rPr>
                <w:sz w:val="15"/>
                <w:szCs w:val="15"/>
                <w:color w:val="auto"/>
              </w:rPr>
            </w:pP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Margaret Jean O’Roark Nordstrom</w:t>
            </w:r>
          </w:p>
        </w:tc>
        <w:tc>
          <w:tcPr>
            <w:tcW w:w="0" w:type="dxa"/>
            <w:vAlign w:val="bottom"/>
          </w:tcPr>
          <w:p>
            <w:pPr>
              <w:spacing w:after="0"/>
              <w:rPr>
                <w:sz w:val="1"/>
                <w:szCs w:val="1"/>
                <w:color w:val="auto"/>
              </w:rPr>
            </w:pPr>
          </w:p>
        </w:tc>
      </w:tr>
      <w:tr>
        <w:trPr>
          <w:trHeight w:val="234"/>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James F. Nordstrom, Jr.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 E. Gittinger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Erik B. Nordstrom</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Erik B. Nordstrom</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Anne E. Gittinger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Charles W. Riley, Jr.</w:t>
            </w: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Peter E. Nordstrom</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Charles W. Riley, Jr.,</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57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Name: Peter E. Nordstrom</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line="20" w:lineRule="exact"/>
              <w:rPr>
                <w:sz w:val="1"/>
                <w:szCs w:val="1"/>
                <w:color w:val="auto"/>
              </w:rPr>
            </w:pPr>
          </w:p>
        </w:tc>
      </w:tr>
      <w:tr>
        <w:trPr>
          <w:trHeight w:val="214"/>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solely in his capacity as trustee and not in any individual capacity</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Margaret Jean O’Roark Nordstrom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Susan E. Dunn</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Margaret Jean O’Roark Nordstrom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Susan E. Dunn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Alexandra F.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Alexandra F.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L.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Andrew L.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Leigh E.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Leigh E.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Samuel C.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Samuel C.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 D.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Sara D. Nordstrom</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0" w:type="dxa"/>
            <w:vAlign w:val="bottom"/>
            <w:tcBorders>
              <w:bottom w:val="single" w:sz="8" w:color="auto"/>
            </w:tcBorders>
          </w:tcPr>
          <w:p>
            <w:pPr>
              <w:spacing w:after="0"/>
              <w:rPr>
                <w:sz w:val="24"/>
                <w:szCs w:val="24"/>
                <w:color w:val="auto"/>
              </w:rPr>
            </w:pPr>
          </w:p>
        </w:tc>
        <w:tc>
          <w:tcPr>
            <w:tcW w:w="516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14"/>
          </w:tcPr>
          <w:p>
            <w:pPr>
              <w:ind w:left="24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6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Exhibit 1</w:t>
            </w:r>
          </w:p>
        </w:tc>
        <w:tc>
          <w:tcPr>
            <w:tcW w:w="240" w:type="dxa"/>
            <w:vAlign w:val="bottom"/>
            <w:tcBorders>
              <w:top w:val="single" w:sz="8" w:color="auto"/>
            </w:tcBorders>
            <w:gridSpan w:val="2"/>
          </w:tcPr>
          <w:p>
            <w:pPr>
              <w:spacing w:after="0"/>
              <w:rPr>
                <w:sz w:val="14"/>
                <w:szCs w:val="14"/>
                <w:color w:val="auto"/>
              </w:rPr>
            </w:pPr>
          </w:p>
        </w:tc>
        <w:tc>
          <w:tcPr>
            <w:tcW w:w="5040" w:type="dxa"/>
            <w:vAlign w:val="bottom"/>
            <w:tcBorders>
              <w:top w:val="single" w:sz="8" w:color="auto"/>
              <w:bottom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EE"/>
                <w:w w:val="99"/>
              </w:rPr>
              <w:t>Joint Filing Agreement, dated as of September 4, 2024, by and among</w:t>
            </w: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Filed herewith</w:t>
            </w:r>
          </w:p>
        </w:tc>
        <w:tc>
          <w:tcPr>
            <w:tcW w:w="4000" w:type="dxa"/>
            <w:vAlign w:val="bottom"/>
            <w:tcBorders>
              <w:top w:val="single" w:sz="8" w:color="auto"/>
            </w:tcBorders>
            <w:gridSpan w:val="16"/>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the Reporting Persons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Exhibit 2</w:t>
            </w:r>
          </w:p>
        </w:tc>
        <w:tc>
          <w:tcPr>
            <w:tcW w:w="240" w:type="dxa"/>
            <w:vAlign w:val="bottom"/>
            <w:gridSpan w:val="2"/>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Letter Agreement, dated as of April 17, 2024, between the Reporting</w:t>
            </w:r>
          </w:p>
        </w:tc>
        <w:tc>
          <w:tcPr>
            <w:tcW w:w="320" w:type="dxa"/>
            <w:vAlign w:val="bottom"/>
            <w:gridSpan w:val="4"/>
          </w:tcPr>
          <w:p>
            <w:pPr>
              <w:spacing w:after="0"/>
              <w:rPr>
                <w:sz w:val="24"/>
                <w:szCs w:val="24"/>
                <w:color w:val="auto"/>
              </w:rPr>
            </w:pPr>
          </w:p>
        </w:tc>
        <w:tc>
          <w:tcPr>
            <w:tcW w:w="1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Filed herewith</w:t>
            </w:r>
          </w:p>
        </w:tc>
        <w:tc>
          <w:tcPr>
            <w:tcW w:w="4000" w:type="dxa"/>
            <w:vAlign w:val="bottom"/>
            <w:gridSpan w:val="1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Persons and the Special Committee.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Exhibit 3</w:t>
              </w:r>
            </w:hyperlink>
          </w:p>
        </w:tc>
        <w:tc>
          <w:tcPr>
            <w:tcW w:w="240" w:type="dxa"/>
            <w:vAlign w:val="bottom"/>
            <w:gridSpan w:val="2"/>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Form of 2018 Restricted Stock Unit Award Agreement</w:t>
              </w:r>
            </w:hyperlink>
          </w:p>
        </w:tc>
        <w:tc>
          <w:tcPr>
            <w:tcW w:w="1340" w:type="dxa"/>
            <w:vAlign w:val="bottom"/>
            <w:gridSpan w:val="11"/>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March 8, 2018,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Exhibit 4</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Form of 2019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March 4, 2019,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Exhibit 5</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Form of 2020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March 3, 2020,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Exhibit 6</w:t>
              </w:r>
            </w:hyperlink>
          </w:p>
        </w:tc>
        <w:tc>
          <w:tcPr>
            <w:tcW w:w="240" w:type="dxa"/>
            <w:vAlign w:val="bottom"/>
            <w:gridSpan w:val="2"/>
          </w:tcPr>
          <w:p>
            <w:pPr>
              <w:spacing w:after="0"/>
              <w:rPr>
                <w:sz w:val="24"/>
                <w:szCs w:val="24"/>
                <w:color w:val="auto"/>
              </w:rPr>
            </w:pPr>
          </w:p>
        </w:tc>
        <w:tc>
          <w:tcPr>
            <w:tcW w:w="4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2020 Nonqualified Stock Option Award Agreement –</w:t>
              </w:r>
            </w:hyperlink>
          </w:p>
        </w:tc>
        <w:tc>
          <w:tcPr>
            <w:tcW w:w="800" w:type="dxa"/>
            <w:vAlign w:val="bottom"/>
            <w:gridSpan w:val="8"/>
          </w:tcPr>
          <w:p>
            <w:pPr>
              <w:spacing w:after="0"/>
              <w:rPr>
                <w:sz w:val="24"/>
                <w:szCs w:val="24"/>
                <w:color w:val="auto"/>
              </w:rPr>
            </w:pPr>
          </w:p>
        </w:tc>
        <w:tc>
          <w:tcPr>
            <w:tcW w:w="4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Incorporated by reference from the Issuer’s Form 10-Q filed on</w:t>
              </w:r>
            </w:hyperlink>
          </w:p>
        </w:tc>
        <w:tc>
          <w:tcPr>
            <w:tcW w:w="48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7">
              <w:r>
                <w:rPr>
                  <w:rFonts w:ascii="Times New Roman" w:cs="Times New Roman" w:eastAsia="Times New Roman" w:hAnsi="Times New Roman"/>
                  <w:sz w:val="18"/>
                  <w:szCs w:val="18"/>
                  <w:color w:val="0000EE"/>
                  <w:w w:val="97"/>
                </w:rPr>
                <w:t>Supplemental Award</w:t>
              </w:r>
            </w:hyperlink>
          </w:p>
        </w:tc>
        <w:tc>
          <w:tcPr>
            <w:tcW w:w="3780" w:type="dxa"/>
            <w:vAlign w:val="bottom"/>
            <w:gridSpan w:val="15"/>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June 10, 2020, Exhibit 10.5</w:t>
              </w:r>
            </w:hyperlink>
          </w:p>
        </w:tc>
        <w:tc>
          <w:tcPr>
            <w:tcW w:w="3060" w:type="dxa"/>
            <w:vAlign w:val="bottom"/>
            <w:gridSpan w:val="11"/>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Exhibit 7</w:t>
              </w:r>
            </w:hyperlink>
          </w:p>
        </w:tc>
        <w:tc>
          <w:tcPr>
            <w:tcW w:w="240" w:type="dxa"/>
            <w:vAlign w:val="bottom"/>
            <w:gridSpan w:val="2"/>
          </w:tcPr>
          <w:p>
            <w:pPr>
              <w:spacing w:after="0"/>
              <w:rPr>
                <w:sz w:val="24"/>
                <w:szCs w:val="24"/>
                <w:color w:val="auto"/>
              </w:rPr>
            </w:pPr>
          </w:p>
        </w:tc>
        <w:tc>
          <w:tcPr>
            <w:tcW w:w="4340" w:type="dxa"/>
            <w:vAlign w:val="bottom"/>
            <w:gridSpan w:val="9"/>
          </w:tcPr>
          <w:p>
            <w:pPr>
              <w:spacing w:after="0"/>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Form of 2023 Nonqualified Stock Option Award Agreement</w:t>
              </w:r>
            </w:hyperlink>
          </w:p>
        </w:tc>
        <w:tc>
          <w:tcPr>
            <w:tcW w:w="940" w:type="dxa"/>
            <w:vAlign w:val="bottom"/>
            <w:gridSpan w:val="9"/>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March 6, 2023,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Exhibit 8</w:t>
              </w:r>
            </w:hyperlink>
          </w:p>
        </w:tc>
        <w:tc>
          <w:tcPr>
            <w:tcW w:w="240" w:type="dxa"/>
            <w:vAlign w:val="bottom"/>
            <w:gridSpan w:val="2"/>
          </w:tcPr>
          <w:p>
            <w:pPr>
              <w:spacing w:after="0"/>
              <w:rPr>
                <w:sz w:val="24"/>
                <w:szCs w:val="24"/>
                <w:color w:val="auto"/>
              </w:rPr>
            </w:pPr>
          </w:p>
        </w:tc>
        <w:tc>
          <w:tcPr>
            <w:tcW w:w="3940" w:type="dxa"/>
            <w:vAlign w:val="bottom"/>
            <w:gridSpan w:val="7"/>
          </w:tcPr>
          <w:p>
            <w:pPr>
              <w:spacing w:after="0"/>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Form of 2024 Restricted Stock Unit Award Agreement</w:t>
              </w:r>
            </w:hyperlink>
          </w:p>
        </w:tc>
        <w:tc>
          <w:tcPr>
            <w:tcW w:w="1340" w:type="dxa"/>
            <w:vAlign w:val="bottom"/>
            <w:gridSpan w:val="11"/>
          </w:tcPr>
          <w:p>
            <w:pPr>
              <w:spacing w:after="0"/>
              <w:rPr>
                <w:sz w:val="24"/>
                <w:szCs w:val="24"/>
                <w:color w:val="auto"/>
              </w:rPr>
            </w:pPr>
          </w:p>
        </w:tc>
        <w:tc>
          <w:tcPr>
            <w:tcW w:w="5040" w:type="dxa"/>
            <w:vAlign w:val="bottom"/>
            <w:gridSpan w:val="17"/>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March 4, 2024, Exhibit 10.1</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680" w:type="dxa"/>
            <w:vAlign w:val="bottom"/>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Exhibit 9</w:t>
              </w:r>
            </w:hyperlink>
          </w:p>
        </w:tc>
        <w:tc>
          <w:tcPr>
            <w:tcW w:w="240" w:type="dxa"/>
            <w:vAlign w:val="bottom"/>
            <w:gridSpan w:val="2"/>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2022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February 28, 2022, Exhibit 10.2</w:t>
              </w:r>
            </w:hyperlink>
          </w:p>
        </w:tc>
        <w:tc>
          <w:tcPr>
            <w:tcW w:w="2160" w:type="dxa"/>
            <w:vAlign w:val="bottom"/>
            <w:tcBorders>
              <w:top w:val="single" w:sz="8" w:color="0000EE"/>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Exhibit 10</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2023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March 6, 2023, Exhibit 10.2</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760" w:type="dxa"/>
            <w:vAlign w:val="bottom"/>
            <w:gridSpan w:val="2"/>
          </w:tcPr>
          <w:p>
            <w:pPr>
              <w:spacing w:after="0"/>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Exhibit 11</w:t>
              </w:r>
            </w:hyperlink>
          </w:p>
        </w:tc>
        <w:tc>
          <w:tcPr>
            <w:tcW w:w="160" w:type="dxa"/>
            <w:vAlign w:val="bottom"/>
          </w:tcPr>
          <w:p>
            <w:pPr>
              <w:spacing w:after="0"/>
              <w:rPr>
                <w:sz w:val="24"/>
                <w:szCs w:val="24"/>
                <w:color w:val="auto"/>
              </w:rPr>
            </w:pPr>
          </w:p>
        </w:tc>
        <w:tc>
          <w:tcPr>
            <w:tcW w:w="5280" w:type="dxa"/>
            <w:vAlign w:val="bottom"/>
            <w:gridSpan w:val="18"/>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2024 Performance Share Unit Award Agreement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March 4, 2024, Exhibit 10.2</w:t>
              </w:r>
            </w:hyperlink>
          </w:p>
        </w:tc>
        <w:tc>
          <w:tcPr>
            <w:tcW w:w="242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12</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Nordstrom, Inc. 2010 Equity Incentive Plan</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Incorporated by reference to Appendix A to the Issuer’s Form DEF</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14A filed on April 8, 2010</w:t>
              </w:r>
            </w:hyperlink>
          </w:p>
        </w:tc>
        <w:tc>
          <w:tcPr>
            <w:tcW w:w="2920" w:type="dxa"/>
            <w:vAlign w:val="bottom"/>
            <w:tcBorders>
              <w:top w:val="single" w:sz="8" w:color="0000EE"/>
            </w:tcBorders>
            <w:gridSpan w:val="10"/>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13</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Nordstrom, Inc. 2010 Equity Incentive Plan as amended February 27,</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Incorporated by reference to Appendix A to the Issuer’s Form DEF</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4"/>
              </w:rPr>
            </w:pPr>
            <w:hyperlink r:id="rId54">
              <w:r>
                <w:rPr>
                  <w:rFonts w:ascii="Times New Roman" w:cs="Times New Roman" w:eastAsia="Times New Roman" w:hAnsi="Times New Roman"/>
                  <w:sz w:val="18"/>
                  <w:szCs w:val="18"/>
                  <w:color w:val="0000EE"/>
                  <w:w w:val="94"/>
                </w:rPr>
                <w:t>2013</w:t>
              </w:r>
            </w:hyperlink>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14A filed on April 1, 2013</w:t>
              </w:r>
            </w:hyperlink>
          </w:p>
        </w:tc>
        <w:tc>
          <w:tcPr>
            <w:tcW w:w="200" w:type="dxa"/>
            <w:vAlign w:val="bottom"/>
            <w:gridSpan w:val="2"/>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14</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Nordstrom, Inc. 2010 Equity Incentive Plan as amended and restated</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Incorporated by reference from the Issuer’s Form 8-K filed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February 26, 2014</w:t>
              </w:r>
            </w:hyperlink>
          </w:p>
        </w:tc>
        <w:tc>
          <w:tcPr>
            <w:tcW w:w="3620" w:type="dxa"/>
            <w:vAlign w:val="bottom"/>
            <w:tcBorders>
              <w:top w:val="single" w:sz="8" w:color="0000EE"/>
            </w:tcBorders>
            <w:gridSpan w:val="11"/>
          </w:tcPr>
          <w:p>
            <w:pPr>
              <w:spacing w:after="0"/>
              <w:rPr>
                <w:sz w:val="17"/>
                <w:szCs w:val="17"/>
                <w:color w:val="auto"/>
              </w:rPr>
            </w:pPr>
          </w:p>
        </w:tc>
        <w:tc>
          <w:tcPr>
            <w:tcW w:w="340" w:type="dxa"/>
            <w:vAlign w:val="bottom"/>
            <w:gridSpan w:val="5"/>
          </w:tcPr>
          <w:p>
            <w:pPr>
              <w:spacing w:after="0"/>
              <w:rPr>
                <w:sz w:val="17"/>
                <w:szCs w:val="17"/>
                <w:color w:val="auto"/>
              </w:rPr>
            </w:pPr>
          </w:p>
        </w:tc>
        <w:tc>
          <w:tcPr>
            <w:tcW w:w="4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March 4, 2014, Exhibit 10.4</w:t>
              </w:r>
            </w:hyperlink>
          </w:p>
        </w:tc>
        <w:tc>
          <w:tcPr>
            <w:tcW w:w="580" w:type="dxa"/>
            <w:vAlign w:val="bottom"/>
            <w:gridSpan w:val="5"/>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15</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Nordstrom, Inc. 2010 Equity Incentive Plan as amended and restated</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Appendix A to Issuer’s Form DEF 14A</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February 16, 2017</w:t>
              </w:r>
            </w:hyperlink>
          </w:p>
        </w:tc>
        <w:tc>
          <w:tcPr>
            <w:tcW w:w="3620" w:type="dxa"/>
            <w:vAlign w:val="bottom"/>
            <w:tcBorders>
              <w:top w:val="single" w:sz="8" w:color="0000EE"/>
            </w:tcBorders>
            <w:gridSpan w:val="11"/>
          </w:tcPr>
          <w:p>
            <w:pPr>
              <w:spacing w:after="0"/>
              <w:rPr>
                <w:sz w:val="17"/>
                <w:szCs w:val="17"/>
                <w:color w:val="auto"/>
              </w:rPr>
            </w:pPr>
          </w:p>
        </w:tc>
        <w:tc>
          <w:tcPr>
            <w:tcW w:w="340" w:type="dxa"/>
            <w:vAlign w:val="bottom"/>
            <w:gridSpan w:val="5"/>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filed on April 5, 2017</w:t>
              </w:r>
            </w:hyperlink>
          </w:p>
        </w:tc>
        <w:tc>
          <w:tcPr>
            <w:tcW w:w="3360" w:type="dxa"/>
            <w:vAlign w:val="bottom"/>
            <w:tcBorders>
              <w:top w:val="single" w:sz="8" w:color="0000EE"/>
            </w:tcBorders>
            <w:gridSpan w:val="14"/>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Exhibit 16</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Nordstrom, Inc. 2019 Equity Incentive Plan</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Appendix B to the Registrant’s</w:t>
              </w:r>
            </w:hyperlink>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Form DEF 14A filed on April 12, 2019</w:t>
              </w:r>
            </w:hyperlink>
          </w:p>
        </w:tc>
        <w:tc>
          <w:tcPr>
            <w:tcW w:w="1480" w:type="dxa"/>
            <w:vAlign w:val="bottom"/>
            <w:tcBorders>
              <w:top w:val="single" w:sz="8" w:color="0000EE"/>
            </w:tcBorders>
          </w:tcPr>
          <w:p>
            <w:pPr>
              <w:spacing w:after="0"/>
              <w:rPr>
                <w:sz w:val="17"/>
                <w:szCs w:val="17"/>
                <w:color w:val="auto"/>
              </w:rPr>
            </w:pPr>
          </w:p>
        </w:tc>
        <w:tc>
          <w:tcPr>
            <w:tcW w:w="740" w:type="dxa"/>
            <w:vAlign w:val="bottom"/>
            <w:gridSpan w:val="6"/>
          </w:tcPr>
          <w:p>
            <w:pPr>
              <w:spacing w:after="0"/>
              <w:rPr>
                <w:sz w:val="17"/>
                <w:szCs w:val="17"/>
                <w:color w:val="auto"/>
              </w:rPr>
            </w:pPr>
          </w:p>
        </w:tc>
      </w:tr>
      <w:tr>
        <w:trPr>
          <w:trHeight w:val="432"/>
        </w:trPr>
        <w:tc>
          <w:tcPr>
            <w:tcW w:w="920" w:type="dxa"/>
            <w:vAlign w:val="bottom"/>
            <w:gridSpan w:val="3"/>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17</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Nordstrom, Inc. 2019 Equity Incentive Plan (2020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Incorporated by reference to Appendix B to the Issuer’s DEF 14A</w:t>
              </w:r>
            </w:hyperlink>
          </w:p>
        </w:tc>
      </w:tr>
      <w:tr>
        <w:trPr>
          <w:trHeight w:val="176"/>
        </w:trPr>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filed on April 7, 2020</w:t>
              </w:r>
            </w:hyperlink>
          </w:p>
        </w:tc>
        <w:tc>
          <w:tcPr>
            <w:tcW w:w="3180" w:type="dxa"/>
            <w:vAlign w:val="bottom"/>
            <w:tcBorders>
              <w:top w:val="single" w:sz="8" w:color="0000EE"/>
            </w:tcBorders>
            <w:gridSpan w:val="12"/>
          </w:tcPr>
          <w:p>
            <w:pPr>
              <w:spacing w:after="0"/>
              <w:rPr>
                <w:sz w:val="15"/>
                <w:szCs w:val="15"/>
                <w:color w:val="auto"/>
              </w:rPr>
            </w:pPr>
          </w:p>
        </w:tc>
        <w:tc>
          <w:tcPr>
            <w:tcW w:w="300" w:type="dxa"/>
            <w:vAlign w:val="bottom"/>
            <w:gridSpan w:val="3"/>
          </w:tcPr>
          <w:p>
            <w:pPr>
              <w:spacing w:after="0"/>
              <w:rPr>
                <w:sz w:val="15"/>
                <w:szCs w:val="15"/>
                <w:color w:val="auto"/>
              </w:rPr>
            </w:pPr>
          </w:p>
        </w:tc>
      </w:tr>
      <w:tr>
        <w:trPr>
          <w:trHeight w:val="432"/>
        </w:trPr>
        <w:tc>
          <w:tcPr>
            <w:tcW w:w="920" w:type="dxa"/>
            <w:vAlign w:val="bottom"/>
            <w:gridSpan w:val="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18</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Nordstrom, Inc. 2019 Equity Incentive Plan (2023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Appendix B to the Issuer’s DEF 14A</w:t>
              </w:r>
            </w:hyperlink>
          </w:p>
        </w:tc>
      </w:tr>
      <w:tr>
        <w:trPr>
          <w:trHeight w:val="176"/>
        </w:trPr>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on April 28, 2023</w:t>
              </w:r>
            </w:hyperlink>
          </w:p>
        </w:tc>
        <w:tc>
          <w:tcPr>
            <w:tcW w:w="300" w:type="dxa"/>
            <w:vAlign w:val="bottom"/>
            <w:gridSpan w:val="3"/>
          </w:tcPr>
          <w:p>
            <w:pPr>
              <w:spacing w:after="0"/>
              <w:rPr>
                <w:sz w:val="15"/>
                <w:szCs w:val="15"/>
                <w:color w:val="auto"/>
              </w:rPr>
            </w:pPr>
          </w:p>
        </w:tc>
      </w:tr>
      <w:tr>
        <w:trPr>
          <w:trHeight w:val="20"/>
        </w:trPr>
        <w:tc>
          <w:tcPr>
            <w:tcW w:w="920" w:type="dxa"/>
            <w:vAlign w:val="bottom"/>
            <w:gridSpan w:val="3"/>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r>
      <w:tr>
        <w:trPr>
          <w:trHeight w:val="432"/>
        </w:trPr>
        <w:tc>
          <w:tcPr>
            <w:tcW w:w="920" w:type="dxa"/>
            <w:vAlign w:val="bottom"/>
            <w:gridSpan w:val="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19</w:t>
              </w:r>
            </w:hyperlink>
          </w:p>
        </w:tc>
        <w:tc>
          <w:tcPr>
            <w:tcW w:w="5280" w:type="dxa"/>
            <w:vAlign w:val="bottom"/>
            <w:gridSpan w:val="1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Nordstrom, Inc. Employee Stock Purchase Plan (2023 Amendment)</w:t>
              </w:r>
            </w:hyperlink>
          </w:p>
        </w:tc>
        <w:tc>
          <w:tcPr>
            <w:tcW w:w="504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Appendix C to the Issuer’s DEF 14A</w:t>
              </w:r>
            </w:hyperlink>
          </w:p>
        </w:tc>
      </w:tr>
      <w:tr>
        <w:trPr>
          <w:trHeight w:val="176"/>
        </w:trPr>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on April 28, 2023</w:t>
              </w:r>
            </w:hyperlink>
          </w:p>
        </w:tc>
        <w:tc>
          <w:tcPr>
            <w:tcW w:w="300" w:type="dxa"/>
            <w:vAlign w:val="bottom"/>
            <w:gridSpan w:val="3"/>
          </w:tcPr>
          <w:p>
            <w:pPr>
              <w:spacing w:after="0"/>
              <w:rPr>
                <w:sz w:val="15"/>
                <w:szCs w:val="15"/>
                <w:color w:val="auto"/>
              </w:rPr>
            </w:pPr>
          </w:p>
        </w:tc>
      </w:tr>
      <w:tr>
        <w:trPr>
          <w:trHeight w:val="453"/>
        </w:trPr>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spacing w:after="0"/>
        <w:tabs>
          <w:tab w:leader="none" w:pos="900" w:val="left"/>
        </w:tabs>
        <w:rPr>
          <w:rFonts w:ascii="Times New Roman" w:cs="Times New Roman" w:eastAsia="Times New Roman" w:hAnsi="Times New Roman"/>
          <w:sz w:val="17"/>
          <w:szCs w:val="17"/>
          <w:u w:val="single" w:color="auto"/>
          <w:color w:val="0000EE"/>
        </w:rPr>
      </w:pPr>
      <w:hyperlink r:id="rId60">
        <w:r>
          <w:rPr>
            <w:rFonts w:ascii="Times New Roman" w:cs="Times New Roman" w:eastAsia="Times New Roman" w:hAnsi="Times New Roman"/>
            <w:sz w:val="18"/>
            <w:szCs w:val="18"/>
            <w:u w:val="single" w:color="auto"/>
            <w:color w:val="0000EE"/>
          </w:rPr>
          <w:t>Exhibit 20</w:t>
        </w:r>
      </w:hyperlink>
      <w:r>
        <w:rPr>
          <w:rFonts w:ascii="Times New Roman" w:cs="Times New Roman" w:eastAsia="Times New Roman" w:hAnsi="Times New Roman"/>
          <w:sz w:val="18"/>
          <w:szCs w:val="18"/>
          <w:u w:val="single" w:color="auto"/>
          <w:color w:val="0000EE"/>
        </w:rPr>
        <w:tab/>
      </w:r>
      <w:hyperlink r:id="rId60">
        <w:r>
          <w:rPr>
            <w:rFonts w:ascii="Times New Roman" w:cs="Times New Roman" w:eastAsia="Times New Roman" w:hAnsi="Times New Roman"/>
            <w:sz w:val="17"/>
            <w:szCs w:val="17"/>
            <w:u w:val="single" w:color="auto"/>
            <w:color w:val="0000EE"/>
          </w:rPr>
          <w:t>Form of 2019 Restricted Stock Unit Award Agreement</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hyperlink r:id="rId61">
        <w:r>
          <w:rPr>
            <w:rFonts w:ascii="Times New Roman" w:cs="Times New Roman" w:eastAsia="Times New Roman" w:hAnsi="Times New Roman"/>
            <w:sz w:val="18"/>
            <w:szCs w:val="18"/>
            <w:u w:val="single" w:color="auto"/>
            <w:color w:val="0000EE"/>
          </w:rPr>
          <w:t>Exhibit 21</w:t>
        </w:r>
      </w:hyperlink>
      <w:r>
        <w:rPr>
          <w:rFonts w:ascii="Times New Roman" w:cs="Times New Roman" w:eastAsia="Times New Roman" w:hAnsi="Times New Roman"/>
          <w:sz w:val="18"/>
          <w:szCs w:val="18"/>
          <w:u w:val="single" w:color="auto"/>
          <w:color w:val="0000EE"/>
        </w:rPr>
        <w:tab/>
      </w:r>
      <w:hyperlink r:id="rId61">
        <w:r>
          <w:rPr>
            <w:rFonts w:ascii="Times New Roman" w:cs="Times New Roman" w:eastAsia="Times New Roman" w:hAnsi="Times New Roman"/>
            <w:sz w:val="17"/>
            <w:szCs w:val="17"/>
            <w:u w:val="single" w:color="auto"/>
            <w:color w:val="0000EE"/>
          </w:rPr>
          <w:t>Form of 2020 Restricted Stock Unit Award Agreement</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Exhibit 22</w:t>
      </w:r>
      <w:r>
        <w:rPr>
          <w:sz w:val="20"/>
          <w:szCs w:val="20"/>
          <w:color w:val="auto"/>
        </w:rPr>
        <w:tab/>
      </w:r>
      <w:r>
        <w:rPr>
          <w:rFonts w:ascii="Times New Roman" w:cs="Times New Roman" w:eastAsia="Times New Roman" w:hAnsi="Times New Roman"/>
          <w:sz w:val="17"/>
          <w:szCs w:val="17"/>
          <w:u w:val="single" w:color="auto"/>
          <w:color w:val="0000EE"/>
        </w:rPr>
        <w:t>Proposal Letter</w:t>
      </w:r>
    </w:p>
    <w:p>
      <w:pPr>
        <w:spacing w:after="0" w:line="225" w:lineRule="exact"/>
        <w:rPr>
          <w:sz w:val="20"/>
          <w:szCs w:val="20"/>
          <w:color w:val="auto"/>
        </w:rPr>
      </w:pPr>
    </w:p>
    <w:p>
      <w:pPr>
        <w:ind w:right="94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23 Joinder Agreement, dated as of September 3, 2024 Exhibit 24 Power of Attorney Erik B. Nordstrom</w:t>
      </w:r>
    </w:p>
    <w:p>
      <w:pPr>
        <w:spacing w:after="0" w:line="2" w:lineRule="exact"/>
        <w:rPr>
          <w:sz w:val="20"/>
          <w:szCs w:val="20"/>
          <w:color w:val="auto"/>
        </w:rPr>
      </w:pPr>
    </w:p>
    <w:p>
      <w:pPr>
        <w:ind w:right="148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25 Power of Attorney Peter E. Nordstrom Exhibit 26 Power of Attorney James F. Nordstrom, Jr. Exhibit 27 Power of Attorney Anne E. Gittinger Exhibit 28 Power of Attorney Charles W. Riley, Jr.</w:t>
      </w:r>
    </w:p>
    <w:p>
      <w:pPr>
        <w:spacing w:after="0" w:line="3" w:lineRule="exact"/>
        <w:rPr>
          <w:sz w:val="20"/>
          <w:szCs w:val="20"/>
          <w:color w:val="auto"/>
        </w:rPr>
      </w:pPr>
    </w:p>
    <w:p>
      <w:pPr>
        <w:ind w:right="66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29 Power of Attorney Margaret Jean O’Roark Nordstrom Exhibit 30 Power of Attorney Linda Nordstrom</w:t>
      </w:r>
    </w:p>
    <w:p>
      <w:pPr>
        <w:spacing w:after="0" w:line="2" w:lineRule="exact"/>
        <w:rPr>
          <w:sz w:val="20"/>
          <w:szCs w:val="20"/>
          <w:color w:val="auto"/>
        </w:rPr>
      </w:pPr>
    </w:p>
    <w:p>
      <w:pPr>
        <w:ind w:right="1020"/>
        <w:spacing w:after="0" w:line="500" w:lineRule="auto"/>
        <w:rPr>
          <w:sz w:val="20"/>
          <w:szCs w:val="20"/>
          <w:color w:val="auto"/>
        </w:rPr>
      </w:pPr>
      <w:r>
        <w:rPr>
          <w:rFonts w:ascii="Times New Roman" w:cs="Times New Roman" w:eastAsia="Times New Roman" w:hAnsi="Times New Roman"/>
          <w:sz w:val="18"/>
          <w:szCs w:val="18"/>
          <w:u w:val="single" w:color="auto"/>
          <w:color w:val="0000EE"/>
        </w:rPr>
        <w:t>Exhibit 31 Power of Attorney Estate of Bruce A. Nordstrom Exhibit 32 Power of Attorney Susan E. Dunn</w:t>
      </w:r>
    </w:p>
    <w:p>
      <w:pPr>
        <w:spacing w:after="0" w:line="2" w:lineRule="exact"/>
        <w:rPr>
          <w:sz w:val="20"/>
          <w:szCs w:val="20"/>
          <w:color w:val="auto"/>
        </w:rPr>
      </w:pPr>
    </w:p>
    <w:p>
      <w:pPr>
        <w:ind w:right="1440"/>
        <w:spacing w:after="0" w:line="508" w:lineRule="auto"/>
        <w:rPr>
          <w:sz w:val="20"/>
          <w:szCs w:val="20"/>
          <w:color w:val="auto"/>
        </w:rPr>
      </w:pPr>
      <w:r>
        <w:rPr>
          <w:rFonts w:ascii="Times New Roman" w:cs="Times New Roman" w:eastAsia="Times New Roman" w:hAnsi="Times New Roman"/>
          <w:sz w:val="18"/>
          <w:szCs w:val="18"/>
          <w:u w:val="single" w:color="auto"/>
          <w:color w:val="0000EE"/>
        </w:rPr>
        <w:t>Exhibit 33 Power of Attorney Alexandra F. Nordstrom Exhibit 34 Power of Attorney Andrew L. Nordstrom Exhibit 35 Power of Attorney Leigh E. Nordstrom Exhibit 36 Power of Attorney Samuel C. Nordstrom Exhibit 37 Power of Attorney Sara D. Nordstrom</w:t>
      </w:r>
    </w:p>
    <w:p>
      <w:pPr>
        <w:spacing w:after="0" w:line="20" w:lineRule="exact"/>
        <w:rPr>
          <w:sz w:val="20"/>
          <w:szCs w:val="20"/>
          <w:color w:val="auto"/>
        </w:rPr>
      </w:pPr>
      <w:r>
        <w:rPr>
          <w:sz w:val="20"/>
          <w:szCs w:val="20"/>
          <w:color w:val="auto"/>
        </w:rPr>
        <w:br w:type="column"/>
      </w:r>
    </w:p>
    <w:p>
      <w:pPr>
        <w:spacing w:after="0" w:line="282" w:lineRule="auto"/>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Incorporated by reference from the Issuer’s Form 8-K filed on</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March 8, 2019, Exhibit 10.3</w:t>
        </w:r>
      </w:hyperlink>
    </w:p>
    <w:p>
      <w:pPr>
        <w:spacing w:after="0" w:line="16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Incorporated by reference from the Issuer’s Form 8-K filed on</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March 3, 2020, Exhibit 10.2</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480" w:space="720"/>
            <w:col w:w="4460"/>
          </w:cols>
          <w:pgMar w:left="320" w:top="904" w:right="9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25" w:lineRule="exact"/>
        <w:rPr>
          <w:sz w:val="20"/>
          <w:szCs w:val="20"/>
          <w:color w:val="auto"/>
        </w:rPr>
      </w:pPr>
    </w:p>
    <w:p>
      <w:pPr>
        <w:ind w:right="100" w:firstLine="332"/>
        <w:spacing w:after="0" w:line="282" w:lineRule="auto"/>
        <w:tabs>
          <w:tab w:leader="none" w:pos="5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13D to which this Exhibit is attached, and such Schedule 13D is filed on behalf of each of them; and</w:t>
      </w:r>
    </w:p>
    <w:p>
      <w:pPr>
        <w:spacing w:after="0" w:line="161" w:lineRule="exact"/>
        <w:rPr>
          <w:rFonts w:ascii="Times New Roman" w:cs="Times New Roman" w:eastAsia="Times New Roman" w:hAnsi="Times New Roman"/>
          <w:sz w:val="18"/>
          <w:szCs w:val="18"/>
          <w:color w:val="auto"/>
        </w:rPr>
      </w:pPr>
    </w:p>
    <w:p>
      <w:pPr>
        <w:jc w:val="both"/>
        <w:ind w:right="120" w:firstLine="332"/>
        <w:spacing w:after="0" w:line="266" w:lineRule="auto"/>
        <w:tabs>
          <w:tab w:leader="none" w:pos="5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4, 2024</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Erik B. Nordstrom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Estate of Bruce A. Nordstrom</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Erik B. Nordstrom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Margaret Jean O’Roark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Peter E. Nordstrom</w:t>
            </w: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Margaret Jean O’Roark Nordstrom</w:t>
            </w:r>
          </w:p>
        </w:tc>
        <w:tc>
          <w:tcPr>
            <w:tcW w:w="0" w:type="dxa"/>
            <w:vAlign w:val="bottom"/>
          </w:tcPr>
          <w:p>
            <w:pPr>
              <w:spacing w:after="0"/>
              <w:rPr>
                <w:sz w:val="1"/>
                <w:szCs w:val="1"/>
                <w:color w:val="auto"/>
              </w:rPr>
            </w:pPr>
          </w:p>
        </w:tc>
      </w:tr>
      <w:tr>
        <w:trPr>
          <w:trHeight w:val="234"/>
        </w:trPr>
        <w:tc>
          <w:tcPr>
            <w:tcW w:w="5520" w:type="dxa"/>
            <w:vAlign w:val="bottom"/>
            <w:gridSpan w:val="2"/>
            <w:vMerge w:val="continue"/>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Peter E. Nordstrom</w:t>
            </w: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Erik B.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James F. Nordstrom, Jr.</w:t>
            </w: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20" w:type="dxa"/>
            <w:vAlign w:val="bottom"/>
            <w:gridSpan w:val="2"/>
            <w:vMerge w:val="continue"/>
          </w:tcPr>
          <w:p>
            <w:pPr>
              <w:spacing w:after="0"/>
              <w:rPr>
                <w:sz w:val="15"/>
                <w:szCs w:val="15"/>
                <w:color w:val="auto"/>
              </w:rPr>
            </w:pP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Erik B. Nordstrom</w:t>
            </w:r>
          </w:p>
        </w:tc>
        <w:tc>
          <w:tcPr>
            <w:tcW w:w="0" w:type="dxa"/>
            <w:vAlign w:val="bottom"/>
          </w:tcPr>
          <w:p>
            <w:pPr>
              <w:spacing w:after="0"/>
              <w:rPr>
                <w:sz w:val="1"/>
                <w:szCs w:val="1"/>
                <w:color w:val="auto"/>
              </w:rPr>
            </w:pPr>
          </w:p>
        </w:tc>
      </w:tr>
      <w:tr>
        <w:trPr>
          <w:trHeight w:val="234"/>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James F. Nordstrom, Jr.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 E. Gittinger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Peter E.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Peter E. Nordstrom</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Anne E. Gittinger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Co-Executor of the Estate of Bruce A.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Charles W. Riley, Jr.</w:t>
            </w: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Susan E. Dunn</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Charles W. Riley, Jr.,</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4"/>
              </w:rPr>
              <w:t>solely</w:t>
            </w:r>
          </w:p>
        </w:tc>
        <w:tc>
          <w:tcPr>
            <w:tcW w:w="5180" w:type="dxa"/>
            <w:vAlign w:val="bottom"/>
            <w:tcBorders>
              <w:top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in his capacity as trustee and not in any individual capacity</w:t>
            </w:r>
          </w:p>
        </w:tc>
        <w:tc>
          <w:tcPr>
            <w:tcW w:w="57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By: /s/ Susan E. Dunn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Margaret Jean O’Roark Nordstrom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Alexandra F. Nordstrom</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Alexandra F. Nordstrom</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Margaret Jean O’Roark Nordstrom</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Andrew L.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Linda Nordstrom</w:t>
            </w: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By: /s/ Andrew L. Nordstrom</w:t>
            </w: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 /s/ Linda Nordstrom</w:t>
            </w:r>
          </w:p>
        </w:tc>
        <w:tc>
          <w:tcPr>
            <w:tcW w:w="5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Leigh E. Nordstrom</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180" w:type="dxa"/>
            <w:vAlign w:val="bottom"/>
            <w:tcBorders>
              <w:top w:val="single" w:sz="8" w:color="auto"/>
            </w:tcBorders>
          </w:tcPr>
          <w:p>
            <w:pPr>
              <w:spacing w:after="0"/>
              <w:rPr>
                <w:sz w:val="17"/>
                <w:szCs w:val="17"/>
                <w:color w:val="auto"/>
              </w:rPr>
            </w:pP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Leigh E.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Samuel C. Nordstrom</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Samuel C. Nordstrom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Sara D. Nordstrom</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Sara D. Nordstrom</w:t>
            </w: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NONDISCLOSURE CONFIDENTIALITY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B. Nordstrom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 Sixth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Erik B. Nordstrom and Peter E. Nordstrom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Erik B. Nordstrom and Peter E. Nordstrom (together with the other non-Company signatories hereto,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have requested of the Special Committee of the Board of Directors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of Nordstrom,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you be permitted to obtain and share certain non-public information in connection with your consideration of a possible negotiated transaction between the Company, on the one hand, and one or more of you or your controlled affiliates, on the other hand (the “</w:t>
      </w:r>
      <w:r>
        <w:rPr>
          <w:rFonts w:ascii="Times New Roman" w:cs="Times New Roman" w:eastAsia="Times New Roman" w:hAnsi="Times New Roman"/>
          <w:sz w:val="18"/>
          <w:szCs w:val="18"/>
          <w:u w:val="single" w:color="auto"/>
          <w:color w:val="auto"/>
        </w:rPr>
        <w:t>Possible Transaction</w:t>
      </w:r>
      <w:r>
        <w:rPr>
          <w:rFonts w:ascii="Times New Roman" w:cs="Times New Roman" w:eastAsia="Times New Roman" w:hAnsi="Times New Roman"/>
          <w:sz w:val="18"/>
          <w:szCs w:val="18"/>
          <w:color w:val="auto"/>
        </w:rPr>
        <w:t>”), subject to and effective upon the execution and delivery of this nondisclosure confidentiality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is willing to furnish Proprietary Information (as defined below) to you, and permit you to share Proprietary Information with certain persons, on the terms and subject to the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360" w:hanging="176"/>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 Other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120" w:firstLine="1304"/>
        <w:spacing w:after="0" w:line="251" w:lineRule="auto"/>
        <w:tabs>
          <w:tab w:leader="none" w:pos="4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Company and its subsidiaries and all other information that is furnished to you or your Representatives (as defined below) directly or indirectly by the Company or any of its Representatives, including, without limitation, trade secrets, software programs, intellectual property, data files, source code, computer chips, system designs and product designs, whether or not marked as confidential, whether furnished before or after the date hereof, whether oral, written or electronic, and regardless of the manner in which furnished, together with any notes, reports, summaries, analyses, compilations, forecasts, studies, interpretations, memoranda or other materials prepared by you or any of your Representatives that contain, reference, reflect or are based upon, in whole or in part, any such information (such notes, reports, summaries, analyses, compilations, forecasts, studies, interpretations, memoranda or other materials are referred to herein as “</w:t>
      </w:r>
      <w:r>
        <w:rPr>
          <w:rFonts w:ascii="Times New Roman" w:cs="Times New Roman" w:eastAsia="Times New Roman" w:hAnsi="Times New Roman"/>
          <w:sz w:val="18"/>
          <w:szCs w:val="18"/>
          <w:u w:val="single" w:color="auto"/>
          <w:color w:val="auto"/>
        </w:rPr>
        <w:t>Derivative Materials</w:t>
      </w:r>
      <w:r>
        <w:rPr>
          <w:rFonts w:ascii="Times New Roman" w:cs="Times New Roman" w:eastAsia="Times New Roman" w:hAnsi="Times New Roman"/>
          <w:sz w:val="18"/>
          <w:szCs w:val="18"/>
          <w:color w:val="auto"/>
        </w:rPr>
        <w:t>”), is referred to herein as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Proprietary Information does not include, however, information that (i) was or becomes available to you on a non-confidential basis from a source other than the Company or any of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source is not known by you or any of your Representatives to be bound by a confidentiality obligation to the Company or any of its affiliates with respect to such information, (ii) was or becomes generally available to and known by the public (other than as a result of a breach by you or any of your Representatives of this Agreement or a violation by you or any of your Representatives of any other confidentiality obligation to the Company or any of its affiliates), (iii) was previously in your possession as demonstrated by your written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not known by you or any of your Representatives to be subject to another confidentiality obligation to the Company or any of its affiliates (including, without limitation, pursuant any non-use and confidentiality agreements or other obligations of secrecy to the Company or any of its affiliates, contractual or otherwise, that are applicable to them), or (iv) you can demonstrate by written evidence was independently developed by you or any of your Representatives (other than in your role as a director or employee of the Company or its subsidiaries) without derivation from, reference to or reliance upon, or using in any manner, the Proprietary Information and without breach of this Agreement or a violation by you or any of your Representatives of any other non-use or confidentiality obligation to the Company or any of its affiliates. To the extent that any Proprietary Information may include materials subject to the attorney-client privilege, work product doctrine or any other applicable privilege concerning pending or threatened legal proceedings or governmental investigations, you and the Company understand and agree that you and the Company have a commonality of interest with respect to such matters, and it is the mutual desire, intention and understanding of you and the Company that the sharing of such materials is not intended to, and shall not, waive or diminish in any way the confidentiality of such materials or their continued protection under the attorney-client privilege, work product doctrine or other applicable privilege. Accordingly, and in furtherance of the foregoing, you agree not to claim or contend that the Company has waived any attorney-client privilege, work product doctrine or any other applicable privilege by providing information pursuant to this Agreement or any subsequent definitive written agreement regarding a Possible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jc w:val="both"/>
        <w:ind w:firstLine="1304"/>
        <w:spacing w:after="0" w:line="253" w:lineRule="auto"/>
        <w:tabs>
          <w:tab w:leader="none" w:pos="15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references herein to your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shall include only your spouses and your affiliates and your and their respective officers, directors, employees, investment bankers, financial advisors, accountants, legal counsel, consultants, other advisors and, only if you receive the prior written consent of the Company, potential sources of capital or financing (debt, equity or otherwise) (provided that, subject to compliance with Paragraph 10(a) hereof with respect to such persons, no such consent shall be required with respect to (I) any potential source of financing mutually agreed in writing or (II) any potential source of financing who is a Family Owner (as defined below) who executes a confidentiality and standstill agreement directly with the Company or joinder to this Agreement agreeing to be subject to your obligations hereunder (in each case, in a form reasonably acceptable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Company or its subsidiaries shall be deemed to be your Representative, and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in respect of the Company or the Special Committee shall mean their respective officers, directors, employees, investment bankers, financial advisors, accountants, legal counsel, consultants and other agents and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shall not be deemed to be a Representative of the Company. As used in this Agreement, (i)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be broadly interpreted to include, without limitation, any corporation, company, limited liability company, partnership, joint venture, trust, other entity or individual and (ii)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thereto in Rule 12b-2 of the General Rules and Regulations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6" w:lineRule="auto"/>
        <w:tabs>
          <w:tab w:leader="none" w:pos="15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and use obligations set forth herein with respect to Proprietary Information shall not restrict Erik B. Nordstrom and Peter E. Nordstrom from carrying out their duties as members of the Company’s and its subsidiaries’ management, and to the extent applicable, members of the boards of directors of the Company and its subsidiaries, in each case that are unrelated to the Possible Transaction, or if related to a Possible Transaction, in (and solely in) such person’s capacity as an officer or director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them shall continue to be bound by all other non-use and confidentiality agreements or other obligations of secrecy to the Company or any of its affiliates, contractual or otherwise, that are applicable to them.</w:t>
      </w:r>
    </w:p>
    <w:p>
      <w:pPr>
        <w:spacing w:after="0" w:line="187" w:lineRule="exact"/>
        <w:rPr>
          <w:sz w:val="20"/>
          <w:szCs w:val="20"/>
          <w:color w:val="auto"/>
        </w:rPr>
      </w:pPr>
    </w:p>
    <w:p>
      <w:pPr>
        <w:jc w:val="both"/>
        <w:ind w:firstLine="1304"/>
        <w:spacing w:after="0" w:line="251" w:lineRule="auto"/>
        <w:tabs>
          <w:tab w:leader="none" w:pos="14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Proprietary Information and Confidentiality; Transaction Information to Remain Confidentia</w:t>
      </w:r>
      <w:r>
        <w:rPr>
          <w:rFonts w:ascii="Times New Roman" w:cs="Times New Roman" w:eastAsia="Times New Roman" w:hAnsi="Times New Roman"/>
          <w:sz w:val="18"/>
          <w:szCs w:val="18"/>
          <w:color w:val="auto"/>
        </w:rPr>
        <w:t>l. Except as (i) otherwise permitted under this Agreement (including, without limitation, in accordance with Paragraph 1(c)), (ii) otherwise agreed to in writing by the Company, or (iii) to the extent permitted by this Agreement, if requested or required by applicable law, regulation, stock exchange rule or other market or reporting system or by legal, judicial, regulatory or administrative process (by oral questions, interrogatories, requests for information or documents in legal proceedings, subpoena, civil investigative demand or other similar process) (“</w:t>
      </w:r>
      <w:r>
        <w:rPr>
          <w:rFonts w:ascii="Times New Roman" w:cs="Times New Roman" w:eastAsia="Times New Roman" w:hAnsi="Times New Roman"/>
          <w:sz w:val="18"/>
          <w:szCs w:val="18"/>
          <w:u w:val="single" w:color="auto"/>
          <w:color w:val="auto"/>
        </w:rPr>
        <w:t>Legally Required</w:t>
      </w:r>
      <w:r>
        <w:rPr>
          <w:rFonts w:ascii="Times New Roman" w:cs="Times New Roman" w:eastAsia="Times New Roman" w:hAnsi="Times New Roman"/>
          <w:sz w:val="18"/>
          <w:szCs w:val="18"/>
          <w:color w:val="auto"/>
        </w:rPr>
        <w:t>”), you shall, and shall direct your Representatives to, (a) keep all Proprietary Information confidential and not disclose or reveal any Proprietary Information to any person other than your Representatives who are participating in evaluating, negotiating or advising with respect to the Possible Transaction or who otherwise need to know the Proprietary Information for the purpose of evaluating, negotiating or advising with respect to the Possible Transaction (all of whom shall be specifically informed of the confidential nature of such Proprietary Information and directed to abide by the terms of this Agreement applicable to Representatives), (b) not use any Proprietary Information for any purpose other than in connection with evaluating, negotiating or advising with respect to the Possible Transaction or the consummation of the Possible Transaction, and (c) not disclose to any person (other than your Representatives who are participating in evaluating, negotiating or advising with respect to the Possible Transaction, in any such case, whom you will direct to observe the terms of this Agreement relating to the confidential treatment and use of Transaction Information (as defined below)) the existence or terms of this Agreement, that Proprietary Information has been made available, that you, the Company, or any other persons are considering the Possible Transaction or any alternative transaction involving the Company, that you are subject to any of the restrictions set forth in this Agreement, that investigations, discussions or negotiations are taking or have taken place concerning the Possible Transaction or involving the Company, any term, condition or other matter relating to the Possible Transaction or such investigations, discussions or negotiations, including, without limitation, the status thereof, or any information that could enable such other person to identify the Company or any of its affiliates, or any other persons, as a party to any discussions or negotiations with you or others (the items described in this clause (c),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 xml:space="preserve">”). Without limiting the foregoing, neither you nor any of your Representatives will, without the prior written consent of the Company, enter into any Exclusive Arrangement with any potential source of capital or financing (debt, equity or otherwise), including, for the avoidance of doubt, any of your Representatives, in connection with the Possible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such prior written consent, you may enter into an Exclusive Arrangement with one or more Family Owners who are your Representatives, subject to compliance with the other terms and conditions of this Agreement. For purposes of this Agreement, an “</w:t>
      </w:r>
      <w:r>
        <w:rPr>
          <w:rFonts w:ascii="Times New Roman" w:cs="Times New Roman" w:eastAsia="Times New Roman" w:hAnsi="Times New Roman"/>
          <w:sz w:val="18"/>
          <w:szCs w:val="18"/>
          <w:u w:val="single" w:color="auto"/>
          <w:color w:val="auto"/>
        </w:rPr>
        <w:t>Exclusive Arrangement</w:t>
      </w:r>
      <w:r>
        <w:rPr>
          <w:rFonts w:ascii="Times New Roman" w:cs="Times New Roman" w:eastAsia="Times New Roman" w:hAnsi="Times New Roman"/>
          <w:sz w:val="18"/>
          <w:szCs w:val="18"/>
          <w:color w:val="auto"/>
        </w:rPr>
        <w:t>” means any agreement, arrangement or understanding, whether written or oral, with any potential source of capital or financing (debt, equity or otherwise), including, for the avoidance of doubt, any of your other Representatives, which does, or could be reasonably expected to, legally or contractually limit, restrict or otherwise impair in any manner, directly or indirectly, such source from consummating a transaction involving the Company or any of its affiliates or acting as a potential source of capital or financing (debt, equity or otherwise) to any other person with respect to a potential transaction with the Company or any of its affiliates. If the Special Committee, the Company or any of their respective Representatives publicly disclose any Transaction Information (other than to other Representatives of the Company or Special Committee who need to know such information in connection with a Possible Transaction) then you shall also be permitted to disclose such disclosed Transaction Information and any additional Transaction Information required to make the disclosed Transaction Information not misleading in a material respect.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52" w:lineRule="auto"/>
        <w:tabs>
          <w:tab w:leader="none" w:pos="1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Legally Required Disclosure</w:t>
      </w:r>
      <w:r>
        <w:rPr>
          <w:rFonts w:ascii="Times New Roman" w:cs="Times New Roman" w:eastAsia="Times New Roman" w:hAnsi="Times New Roman"/>
          <w:sz w:val="18"/>
          <w:szCs w:val="18"/>
          <w:color w:val="auto"/>
        </w:rPr>
        <w:t>. In the event that you (or any of your Representatives) should be Legally Required to disclose any Proprietary Information or Transaction Information, you shall, to the extent legally permissible and reasonably in advance of such disclosure, provide the Company with prompt written notice of such requirement. You also agree, to the extent legally permissible, to provide the Company, in advance of any such disclosure, with a list of any Proprietary Information and Transaction Information that you intend (or that your Representative intends) to disclose (and, if applicable, the text of the disclosure language itself) and to cooperate with the Company (at the Company’s sole expense) to the extent it may seek to limit such disclosure, including, without limitation, if requested, taking all reasonable steps to resist or avoid (to the extent legally permissible) any such legal, judicial, regulatory or administrative process. If you are (or any of your Representatives is) Legally Required to disclose any Proprietary Information or Transaction Information, you or your Representative, as applicable, (a) will exercise reasonable best efforts to obtain assurance that confidential treatment will be accorded to that Proprietary Information or Transaction Information, as applicable, and (b) may disclose, without liability hereunder, such portion of the Proprietary Information or Transaction Information that, according to the advice of your counsel, is Legally Required to be disclosed (the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legally permissible prior to such disclosure, you shall have considered in good faith the Company’s suggestions concerning the scope and nature of the information to be contained in the Public Disclosure. Notwithstanding the foregoing, your Representatives who are accounting firms may disclose Derivative Materials to the extent, if any, required by law, rule, regulation or applicable professional standards of the American Institute of Certified Public Accountants, Public Company Accounting Oversight Board or state boards of accountancy or obligations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permitted by law or regulation, prior written notice of any such required disclosure will be provided to the Company.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jc w:val="both"/>
        <w:ind w:firstLine="1304"/>
        <w:spacing w:after="0" w:line="253" w:lineRule="auto"/>
        <w:tabs>
          <w:tab w:leader="none" w:pos="14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Representatives</w:t>
      </w:r>
      <w:r>
        <w:rPr>
          <w:rFonts w:ascii="Times New Roman" w:cs="Times New Roman" w:eastAsia="Times New Roman" w:hAnsi="Times New Roman"/>
          <w:sz w:val="18"/>
          <w:szCs w:val="18"/>
          <w:color w:val="auto"/>
        </w:rPr>
        <w:t>. You agree that you shall, at your sole expense, undertake all reasonable measures (i) to restrain your Representatives from prohibited or unauthorized disclosure or use of any Proprietary Information or Transaction Information and (ii) to safeguard and protect the confidentiality of the Proprietary Information and the Transaction Information disclosed to you or any of your Representatives and to prevent the use of any Proprietary Information or Transaction Information in any way that would violate any antitrust or other applicable law or this Agreement. You will notify the Company promptly in writing of any breach of this Agreement by you or, to your knowledge, your Representatives. You will be responsible for any breach of this Agreement by you and any deemed breach of this Agreement by any of your Representatives (which shall include any failure by your Representatives to comply with directives that you are required to give to your Representatives hereunder). You are aware, and will advise your Representatives to whom any Proprietary Information or Transaction Information is disclosed, of the restrictions imposed by applicable securities laws on the purchase or sale of securities by any person who has received material, non-public information about the issuer of such securities and on the communication of such information to any other person when it is reasonably foreseeable that such other person is likely to purchase or sell such securities in reliance upon such information.</w:t>
      </w:r>
    </w:p>
    <w:p>
      <w:pPr>
        <w:spacing w:after="0" w:line="19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Regarding Proprietary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neither the Company nor any of its Representatives makes any representation or warranty, express or implied, on which you may rely as to the accuracy or completeness of the Proprietary Information for your purposes and that only those representations and warranties made by the Company in a subsequent definitive written agreement related to the Possible Transaction, if any, and subject to such limitations and restrictions as may be specified therein, shall have any legal effect. You agree that, other than as may be set forth in such definitive written agreement, neither the Company nor any of its Representatives shall have any liability whatsoever to you or any of your Representatives, including, without limitation, in contract, tort or under federal or state securities laws, relating to or resulting from the use of the Proprietary Information or any errors therein or omissions therefrom.</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5(a), the Proprietary Information may include certain statements, estimates and projections with respect to the Company’s anticipated future performance. Such statements, estimates and projections reflect various assumptions made by the Company, which assumptions may or may not prove to be correct, and are subject to various risks and uncertainties. No representations, warranties or assurances are made by the Company or any of its Representatives as to such assumptions, statements, estimates or projections, including, without limitation, any budgets, and you hereby waive any claims in respect thereof.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304"/>
        <w:spacing w:after="0" w:line="255"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acknowledge and agree that (i) the Company shall be free to conduct any process for an acquisition or business combination transaction involving the Company as the Company in its sole and absolute discretion shall determine (including, without limitation, negotiation with any other person and, other than solely as may be required in your capacity as a director of the Company, entering into a definitive written agreement without prior notice to you or any other person) and (ii) the Company reserves the right, in its sole and absolute discretion, to reject any proposals and to terminate discussions and negotiations with you at any time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Special Committee informs you in writing within sixty days of the date hereof that it is no longer considering a Possible Transaction (which, for the avoidance of doubt, shall not include a rejection of a proposal for a Possible Transaction), your restrictions and obligations under Paragraph 7 shall terminate and be of no further force or effect.</w:t>
      </w:r>
    </w:p>
    <w:p>
      <w:pPr>
        <w:spacing w:after="0" w:line="189" w:lineRule="exact"/>
        <w:rPr>
          <w:sz w:val="20"/>
          <w:szCs w:val="20"/>
          <w:color w:val="auto"/>
        </w:rPr>
      </w:pPr>
    </w:p>
    <w:p>
      <w:pPr>
        <w:jc w:val="both"/>
        <w:ind w:firstLine="1304"/>
        <w:spacing w:after="0" w:line="252" w:lineRule="auto"/>
        <w:tabs>
          <w:tab w:leader="none" w:pos="14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or Destruction of Proprietary Information</w:t>
      </w:r>
      <w:r>
        <w:rPr>
          <w:rFonts w:ascii="Times New Roman" w:cs="Times New Roman" w:eastAsia="Times New Roman" w:hAnsi="Times New Roman"/>
          <w:sz w:val="18"/>
          <w:szCs w:val="18"/>
          <w:color w:val="auto"/>
        </w:rPr>
        <w:t xml:space="preserve">. Upon the Company’s request, subject to the provisions of Paragraph 1(c), you shall (and shall direct your Representatives to) promptly (and in any event within five days) either (at your or your Representative’s option) return to the Company or destroy (and certify such destruction to the Company in writing) all copies or other reproductions of Proprietary Information, other than any Derivative Materials, in your possession or the possession of any of your Representatives, and shall not retain any copies or other reproductions, in whole or in part, of such materials. You shall (and shall direct your Representatives to) destroy all Derivative Materials (including, without limitation, expunging all such Derivative Materials from any computer, word processor or other device containing such information), and such destruction will be certified in writing to the Company. Notwithstanding the foregoing, you and your Representatives may retain (a) data or electronic records containing Proprietary Information for the purposes of backup, recovery, contingency planning or business continuity planning so long as such data or records are not accessible in the ordinary course of business and are not accessed except as required for backup, recovery, contingency planning or business continuity planning purposes, and (b) one copy each exclusively for regulatory or records retention policy compliance and for dispute resolution;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Proprietary Information may not be accessed or used for any other purpose. Notwithstanding the return or destruction of Proprietary Information required by this Paragraph 6, you and your Representatives shall continue to be bound by all duties and obligations hereunder in accordance with the terms hereof. For avoidance of doubt, this Paragraph 6 shall not apply to any information that would constitute Proprietary Information and/or Derivative Materials but was received by you in your role as a director or employee of the Company or its subsidiaries.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304"/>
        <w:spacing w:after="0" w:line="251" w:lineRule="auto"/>
        <w:tabs>
          <w:tab w:leader="none" w:pos="14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You hereby represent to the Company that, as of the date hereof, except as set forth in reports filed prior to the date hereof with the U.S. Securities and Exchange Commission, neither you nor, to your knowledge, any of your present Representatives as of the date hereof, has beneficial ownership (as defined in Rule 13d-3 under the Exchange Act) of any securities of the Company or any of its subsidiaries. In consideration for your being permitted to share Proprietary Information with certain persons, you agree that, unless requested in writing in advance by the Special Committee’s Representatives (for so long as the Special Committee is in existence and the Company’s Representatives acting at the direction of the independent and disinterested members of the Board of Directors after the Special Committee has been disbanded), neither you nor your Representatives will, at any time during the twelve month period commencing on the date hereof (or, at any time during such period, assist, advise, act in concert or participate with or knowingly encourage others to), directly or through others (including, without limitation, in your capacity as a trustee): (a) acquire (or agree, offer, seek or propose to acquire, in each case, publicly or privately), by purchase, tender offer, exchange offer, agreement or business combination or in any other manner, any ownership, including, but not limited to, beneficial ownership, as defined in Rule 13d-3 under the Exchange Act, of any material assets or businesses or any securities of the Company or any direct or indirect subsidiary thereof, or any rights or options to acquire such ownership (including, without limitation, from any third party) (provided that this clause (a) shall not prohibit (i) any of you from gifting or otherwise transferring to another signatory hereto, shares of common stock held by you (provided that you give the Company written notice of the details of any such gift or transfer no later than three days after it is made) or from acquiring shares of stock pursuant to distributions to shareholders of the Company by the Company, (ii) Erik B. Nordstrom and Peter E. Nordstrom from being awarded or receiving any grants of equity awards or equity securities of the Company upon vesting or exercise of such awards pursuant to their roles as members of the Company’s management and/or the Company’s board of directors);</w:t>
      </w:r>
    </w:p>
    <w:p>
      <w:pPr>
        <w:spacing w:after="0" w:line="10" w:lineRule="exact"/>
        <w:rPr>
          <w:rFonts w:ascii="Times New Roman" w:cs="Times New Roman" w:eastAsia="Times New Roman" w:hAnsi="Times New Roman"/>
          <w:sz w:val="18"/>
          <w:szCs w:val="18"/>
          <w:color w:val="auto"/>
        </w:rPr>
      </w:pPr>
    </w:p>
    <w:p>
      <w:pPr>
        <w:jc w:val="both"/>
        <w:ind w:firstLine="8"/>
        <w:spacing w:after="0" w:line="250" w:lineRule="auto"/>
        <w:tabs>
          <w:tab w:leader="none" w:pos="3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you or any of your parents, step-parents, spouses, aunts, uncles, children, nephews, nieces, cousins, or other blood relatives, and any trusts for which you now or in the future serve in any administrative or trust capacity (collectively, the “</w:t>
      </w:r>
      <w:r>
        <w:rPr>
          <w:rFonts w:ascii="Times New Roman" w:cs="Times New Roman" w:eastAsia="Times New Roman" w:hAnsi="Times New Roman"/>
          <w:sz w:val="18"/>
          <w:szCs w:val="18"/>
          <w:u w:val="single" w:color="auto"/>
          <w:color w:val="auto"/>
        </w:rPr>
        <w:t>Family Owners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Family Owner</w:t>
      </w:r>
      <w:r>
        <w:rPr>
          <w:rFonts w:ascii="Times New Roman" w:cs="Times New Roman" w:eastAsia="Times New Roman" w:hAnsi="Times New Roman"/>
          <w:sz w:val="18"/>
          <w:szCs w:val="18"/>
          <w:color w:val="auto"/>
        </w:rPr>
        <w:t xml:space="preserve">”) or for which any Family Owner is a trustee or beneficiary, from making or receiving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transfers of any equity securities of the Company from any other Family Owner, (iv) any transfer or acquisition of rights or beneficial ownership in respect of any equity securities of the Company made in respect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resulting from or to give effect to, any estate plans; or (v) acting in any fiduciary role with respect to any Family Owner(s), or trust for the benefit of such Family Owner(s), including, but not limited to, executor, trustee, attorney-in-fact, agent, and/or custodian, and taking all any and all actions required thereby; (b) publicly or privately offer to enter into, or publicly or privately propose (except in your capacity as an officer of the Company where the Company is acting as an acquiror, in each case only if expressly invited to do so by the Special Committee), any merger, business combination, recapitalization, restructuring or other extraordinary transaction with the Company or any direct or indirect subsidiary thereof;</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 the Board of Directors or the Special Committee adversely alters the status, duties and terms of employment (other than changes to compensation in the ordinary course of business by the Compensation Committee of the Board) in a material respect or expressly threatens the employment status of Erik B. Nordstrom or Peter E. Nordstrom or requests either of their resignations as an officer, employee or director of the Company, or (ii) the Board of Directors or any committee thereof proposes to seek the resignation of Erik Nordstrom or Peter Nordstrom from the Board of Directors or communicates an intent not to nominate them for re-election as members of the Board of Directors, (A) initiate any stockholder proposal, or except in your capacity as a director or officer of, in each case only if expressly directed to do so by the Company’s board of directors, the Company with respect to any annual or special meeting called by the Board of Directors, the convening of a stockholders’ meeting of or involving the Company or any direct or indirect subsidiary thereof; or (B) solicit proxies (as such terms are defined in Rule 14a-1 under the Exchange Act), whether or not such solicitation is exempt pursuant to Rule 14a-2 under the Exchange Act, with respect to any matter, except in your capacity as an officer or director of the Company, in each case only if expressly directed to do so by the Company’s board of directors, otherwise seek to influence, advise or direct the vote of, holders of any shares of capital stock of the Company or any securities convertible into or exchangeable or exercisable for (in each case, whether currently or upon the occurrence of any contingency) such capital stock, or make any communication exempted from the definition of solicitation by Rule 14a-1(I)(2)(iv) under the Exchange Act; (d) other than discussions, negotiations, agreements, arrangements or understandings among yourselves and your Representatives with respect to the Possible Transaction in compliance with this Agreement, enter into any discussions, negotiations, agreements, arrangements or understandings with any other person with respect to any matter described in the foregoing clauses (a) through (c) or form, join or participate in a “group” (within the meaning of Section 13(d)(3) of the Exchange Act) to vote, acquire or dispose of any securities of the Company or any of its subsidiaries; or</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permitted by this Agreement (x) make any public disclosure, or (y) take any action that could reasonably be expected to require you or the Company to make a public disclosure, with respect to any of the matters set forth in this Agreement. Notwithstanding anything in this Paragraph 7 to the contrary, you may (1) unless otherwise requested by the Special Committee, enter into discussions with the Special Committee and its Representatives to explore a Possible Transaction, and (2) make requests (but only privately to the Company and not publicly) for amendments, waivers, consents under or agreements not to enforce clauses (a) through (c) of this Paragraph 7 and may make proposals or offers (but only privately to the Company not publicly) regarding the transactions contemplated by clauses (a) through (c) of this Paragraph 7, in each case under this clause (2), at any time after a Fundamental Change Event (as defined below). A “</w:t>
      </w:r>
      <w:r>
        <w:rPr>
          <w:rFonts w:ascii="Times New Roman" w:cs="Times New Roman" w:eastAsia="Times New Roman" w:hAnsi="Times New Roman"/>
          <w:sz w:val="18"/>
          <w:szCs w:val="18"/>
          <w:u w:val="single" w:color="auto"/>
          <w:color w:val="auto"/>
        </w:rPr>
        <w:t>Fundamental Change Event</w:t>
      </w:r>
      <w:r>
        <w:rPr>
          <w:rFonts w:ascii="Times New Roman" w:cs="Times New Roman" w:eastAsia="Times New Roman" w:hAnsi="Times New Roman"/>
          <w:sz w:val="18"/>
          <w:szCs w:val="18"/>
          <w:color w:val="auto"/>
        </w:rPr>
        <w:t>” means the Company has after the date of this Agreement entered into a definitive written agreement providing for (i) any acquisition of 30% or more of the voting securities of the Company by any person or group, (ii) any acquisition of a majority of the consolidated assets of the Company and its subsidiaries by any person or group, or (iii) any tender or exchange offer, merger or other business combination or any recapitalization, restructuring, liquidation, dissolution or other extraordinary transaction (provided that, in the case of any transaction covered by the foregoing clause (iii), immediately following such transaction, any person, other than you or your controlled affiliates (or the direct or indirect shareholders of such person), will beneficially own a majority of the outstanding voting power of the Company or the surviving parent entity in such transaction). For purposes of this Paragraph 7, the following will be deemed to be an acquisition of beneficial ownership of securities: (1) establishing or increasing a call equivalent position, or liquidating or decreasing a put equivalent position, with respect to such securities within the meaning of Section 16 of the Exchange Act; or (2) entering into any swap or other arrangement that results in the acquisition of any of the economic consequences of ownership of such securities, whether such transaction is to be settled by delivery of such securities, in cash or otherwise. For purposes of this Paragraph 7, any acquisition of beneficial ownership of securities shall not include an acquisition pursuant to any stock split, reverse stock split, recapitalization, reclassification of shares, or similar transaction, in each case undertaken by the Company.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52" w:lineRule="auto"/>
        <w:tabs>
          <w:tab w:leader="none" w:pos="14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of Employees</w:t>
      </w:r>
      <w:r>
        <w:rPr>
          <w:rFonts w:ascii="Times New Roman" w:cs="Times New Roman" w:eastAsia="Times New Roman" w:hAnsi="Times New Roman"/>
          <w:sz w:val="18"/>
          <w:szCs w:val="18"/>
          <w:color w:val="auto"/>
        </w:rPr>
        <w:t>. You agree that, without the prior written consent of the Company, you shall not (and you shall direct your Representatives not to), for a period of two years after the date hereof, directly or through others, solicit the services of or employ, as employee, consultant or otherwise, (a) any executive officer or member of the board of directors of the Company (other than your family members) or (b) any other person (other than your family members) who is employed by the Company or any of its direct or indirect subsidiaries on the date hereof or at any other time hereafter and prior to the termination of discussions between you and the Company with respect to the Possible Transaction and whose annual salary (at the time of any such solicitation) exceeded $200,000 (any such person described in clause (b) referred to herein as an “</w:t>
      </w:r>
      <w:r>
        <w:rPr>
          <w:rFonts w:ascii="Times New Roman" w:cs="Times New Roman" w:eastAsia="Times New Roman" w:hAnsi="Times New Roman"/>
          <w:sz w:val="18"/>
          <w:szCs w:val="18"/>
          <w:u w:val="single" w:color="auto"/>
          <w:color w:val="auto"/>
        </w:rPr>
        <w:t>Other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preclude (1) the solicitation (or employment as a result of the solicitation) of Other Employees whose employment has been terminated or (2) the solicitation (or employment as a result of the solicitation) of Other Employees through (i) public advertisements or general solicitations that are not specifically targeted at such person(s) or (ii) recruiting or search firms retained by you, or internal search personnel who did not have access to Proprietary Information, using a database of candidates without targeting the Company or specific individuals, without direction or knowledge on your behalf by any person who had access to Proprietary Information. You agree that you and your Representatives will not, without the prior written consent of the Company, engage in discussions with management of the Company regarding the terms of their post-transaction employment or equity participation as part of, in connection with or after a Possible Transaction, unless and until a definitive agreement is executed and delivered with respect to the Possible Transaction.</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Proprietary Information</w:t>
      </w:r>
      <w:r>
        <w:rPr>
          <w:rFonts w:ascii="Times New Roman" w:cs="Times New Roman" w:eastAsia="Times New Roman" w:hAnsi="Times New Roman"/>
          <w:sz w:val="18"/>
          <w:szCs w:val="18"/>
          <w:color w:val="auto"/>
        </w:rPr>
        <w:t>. You agree that the Company is and shall remain the exclusive owner of the Proprietary Information (other than Derivative Materials to the extent created by you, other than Proprietary Information reflected therein) and all patent, copyright, trade secret, trademark, domain name and other intellectual property rights therein. No license or conveyance of any such rights or any portions thereof to you or any of your Representatives is granted or implied under this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580" w:hanging="276"/>
        <w:spacing w:after="0"/>
        <w:tabs>
          <w:tab w:leader="none" w:pos="1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Process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execution and delivery of this Agreement, upon a recommendation from the Special Committee, a majority of the members of the Board of Directors has approved in advance, for purposes of Section 23B.19.040(1) of the Washington Business Corporation Act (the “</w:t>
      </w:r>
      <w:r>
        <w:rPr>
          <w:rFonts w:ascii="Times New Roman" w:cs="Times New Roman" w:eastAsia="Times New Roman" w:hAnsi="Times New Roman"/>
          <w:sz w:val="18"/>
          <w:szCs w:val="18"/>
          <w:u w:val="single" w:color="auto"/>
          <w:color w:val="auto"/>
        </w:rPr>
        <w:t>Washington Act</w:t>
      </w:r>
      <w:r>
        <w:rPr>
          <w:rFonts w:ascii="Times New Roman" w:cs="Times New Roman" w:eastAsia="Times New Roman" w:hAnsi="Times New Roman"/>
          <w:sz w:val="18"/>
          <w:szCs w:val="18"/>
          <w:color w:val="auto"/>
        </w:rPr>
        <w:t>”), the formation of a group among the signatories hereto and certain other persons who are not yet members with you of a “group” under Section 13(d)(3) of the Exchange Act (the “</w:t>
      </w:r>
      <w:r>
        <w:rPr>
          <w:rFonts w:ascii="Times New Roman" w:cs="Times New Roman" w:eastAsia="Times New Roman" w:hAnsi="Times New Roman"/>
          <w:sz w:val="18"/>
          <w:szCs w:val="18"/>
          <w:u w:val="single" w:color="auto"/>
          <w:color w:val="auto"/>
        </w:rPr>
        <w:t>Transaction Group</w:t>
      </w:r>
      <w:r>
        <w:rPr>
          <w:rFonts w:ascii="Times New Roman" w:cs="Times New Roman" w:eastAsia="Times New Roman" w:hAnsi="Times New Roman"/>
          <w:sz w:val="18"/>
          <w:szCs w:val="18"/>
          <w:color w:val="auto"/>
        </w:rPr>
        <w:t>”) that may, as a result of the Transaction Group’s “beneficial ownership” (as defined in the Washington Act) of shares of the Company’s common stock constitute an “acquiring person” as defined in the Washington Act. Each of you (i) represents and warrants to the Company that prior to the execution and delivery of this Agreement such person has not taken any actions that, but for the prior approval of the Board, would require approvals under Section 23B.19.040(1)(a)(iii) of the Washington Business Corporation Act and (ii) covenants that such person shall not take any actions that, but for the prior approval of the Board, would require approvals under Section 23B.19.040(1)(a)(iii) of the Washington Business Corporation Act. It is understood and agreed that each of you that is a signatory hereto is executing and delivering this Agreement individually, that no decision has been made by you at this time to form, join or participate in a “group” (within the meaning of Section 13(d)(3) of the Exchange Act) (other than as between the signatories hereto) to vote, acquire or dispose of any securities of the Company or any of its subsidiaries or to act as a partnership, syndicate, or other group for the purpose of acquiring, holding, or dispersing of any securities of the Company or any of its subsidiaries, and that the execution and delivery of this Agreement by all signatories does not, in and of itself, give rise to the formation of such a “group”, partnership, syndicate, or other group. Upon the formation of any partnership, syndicate, or other group within the meaning of Section 23B.19.020(12) of the Washington Act between you and one or more members of the Transaction Group other than the signatories hereto, such other person shall promptly execute and deliver to the Company a joinder to this Agreement agreeing to be bound by your obligations hereunder. Notwithstanding whether any partnership, syndicate, or other group for the purpose of acquiring, holding or dispersing of securities of the Company within the meaning of Section 23B.19.020(12) of the Washington Act has been formed between or among any members of the Transaction Group, the Transaction Group shall automatically, and without any further action by any person, be disbanded on the date that is the earlier of twelve months after the date hereof and the date on which you notify the Company in writing that you have elected to cease participating in the Transaction Group, which disbandment shall be binding upon all members of the Transaction Group. You acknowledge and agree that (a) after the disbandment of the Transaction Group, neither you nor any other members of the Transaction Group shall form another partnership, syndicate, or other group within the meaning of Section 23B.19.020(12) of the Washington Act (whether composed of some or all of the persons who are members of the Transaction Group or some or all of such persons and other persons) that may be considered an “acquiring person” under the Washington Act, and (b) the additional board and shareholder voting requirements set forth in Section 23B.19.040(1)(a)(iii) of the Washington Act will be required with respect to any “significant business transaction” (as defined in the Washington Act) involving any such new partnership, syndicate, or other group (or “affiliates” or “associates” (as such terms are defined in the Washington Act) thereof) and the Company during the five year period following the formation of such new partnership, syndicate, or other group, unless, prior to such formation, the formation of such new partnership, syndicate, or other group is approved by a majority of the Board of Directors consisting of independent and disinterested members of the Board of Directors. This Paragraph 10(a) shall survive the termination of this Agreement.</w:t>
      </w:r>
    </w:p>
    <w:p>
      <w:pPr>
        <w:spacing w:after="0" w:line="20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as follows: (i) you shall keep the Special Committee informed on a current basis of the status of discussions with Representatives that are possible financing sources and (ii) following the delivery of any proposal relating to a Possible Transaction submitted by you or your Representatives to the Special Committee, you shall provide the Special Committee with documentation regarding such discussions that is reasonably responsive to requests from the Special Committee.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304"/>
        <w:spacing w:after="0" w:line="255" w:lineRule="auto"/>
        <w:tabs>
          <w:tab w:leader="none" w:pos="15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Moelis &amp; Company LLC ("Moelis") has been permitted to contact persons until the date hereof for the sole purpose of evaluating their interest in being a source of financing for a Possible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Moelis has not contacted any persons whom Moelis, you or your other Representatives knew has entered into a confidentiality agreement with the Company, (ii) Moelis, you and your other Representatives have not disclosed any Confidential Information to any such person, which Confidential Information may only be disclosed pursuant to a confidentiality agreement, if any, entered into between the Company and such person, and (iii) no later than the date hereof, you shall have provided the Special Committee with a list of persons contacted by Moelis, and any persons who contacted Moelis or you, regarding a Possible Transaction and identify any such persons who are interested in being a source of financing for a Possible Transaction.</w:t>
      </w:r>
    </w:p>
    <w:p>
      <w:pPr>
        <w:spacing w:after="0" w:line="189" w:lineRule="exact"/>
        <w:rPr>
          <w:sz w:val="20"/>
          <w:szCs w:val="20"/>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irreparable damage would occur to the Company or you if any of the provisions of this Agreement were not performed in accordance with their specific terms or were otherwise breached. Accordingly, you and the Company agree that a party, without prejudice to any rights and remedies otherwise available, shall be entitled to equitable relief, including, without limitation, specific performance and injunction, in the event of any breach or threatened breach by a party or its Representatives of the provisions of this Agreement without proof of actual damages. Neither party will oppose the granting of such relief on the basis that there is an adequate remedy at law. No party shall seek, and each party will waive any requirement for, the securing or posting of a bond in connection with a party seeking or obtaining such relief.</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no failure or delay by the other party in exercising any right, power or privilege hereunder shall operate as a waiver thereof, nor shall any single or partial exercise thereof preclude any other or further exercise thereof or the exercise of any other right, power or privilege hereunder. No party’s waiver of any right, power or privilege hereunder, and a party’s consent to any action that requires its consent hereunder, shall be effective only if given in writing by such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contained in this Agreement or the application thereof to you, the Company or any other person or circumstance shall be invalid, illegal or unenforceable in any respect under any applicable law as determined by a court of competent jurisdiction, the validity, legality and enforceability of the remaining provisions contained in this Agreement, or the application of such provision to such persons or circumstances other than those as to which it has been held invalid, illegal or unenforceable, shall remain in full force and effect and shall in no way be affected, impaired or invalidated thereby. In the case of any such invalidity, illegality or unenforceability, such invalid, illegal or unenforceable provision shall be replaced with one that most closely approximates the effect of such provision that is not invalid, illegal or unenforceable. Should a court refuse to so replace such provision, the parties hereto shall negotiate in good faith in an effort to agree upon a suitable and equitable substitute provision to effect the original intent of the parties 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61" w:lineRule="auto"/>
        <w:tabs>
          <w:tab w:leader="none" w:pos="15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binding upon and inure to the benefit of the parties hereto and their respective successors and assigns. Any assignment of this Agreement by you (including, without limitation, by operation of law) without the prior written consent of the Company shall be void. Any purchaser of the Company or of all, or substantially all, the Company’s assets shall be entitled to the benefits of this Agreement, whether or not this Agreement is assigned to such purchaser.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 constitutes the entire agreement between the parties hereto with respect to the subject matter hereof and supersedes all prior discussions, negotiations, agreements, arrangements and understandings between the parties hereto with respect to the subject matter hereof, (ii) may be amended or modified only in a written instrument executed by the parties hereto, and (iii) shall, except as otherwise specifically set forth herein, cease to be effective three years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provisions contained herein shall continue to apply to you so long as you or any of your Representatives retain copies of any Proprietary Information or Transaction Information. Without limiting the generality of the preceding sentence, any “click-through” or similar confidentiality agreement entered into by a Receiving Party or any of its Representatives in connection with accessing any electronic data room will have no force or effect, whether entered into before, on or after the date 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WASHINGTON APPLICABLE TO CONTRACTS EXECUTED IN AND TO BE PERFORMED IN THAT STATE. Each party hereto irrevocably and unconditionally consents to submit to the exclusive personal jurisdiction of the courts of the State of Washington and the United States of America, in each case located in King County, Washington, for such actions, suits or proceedings arising out of or relating to this Agreement and the transactions contemplated hereby (and agrees not to commence any such action, suit or proceeding except in such courts). Notwithstanding the foregoing, any party hereto may commence an action, suit or proceeding with any governmental entity anywhere in the world for the sole purpose of seeking recognition and enforcement of a judgment of any court referred to in the preceding sentence. Each party hereto irrevocably and unconditionally waives any objection to the laying of venue of any action, suit or proceeding arising out of or relating to this Agreement and the transactions contemplated hereby in the courts of the State of Washington and the United States of America, in each case in King County, Washington, and further waives the right to, and agrees not to, plead or claim that any such action, suit or proceeding brought in any such court has been brought in an inconvenient forum. Service of any process, summons, notice or document by U.S. registered mail to your address set forth below or to the Company’s address set forth below shall be effective service of process for any action, suit or proceeding brought against you or the Company, as applicable, in any court of competent jurisdiction. EACH PARTY HEREBY IRREVOCABLY WAIVES ANY AND ALL RIGHT TO TRIAL BY JURY IN ANY ACTION, SUIT OR PROCEEDING ARISING OUT OF OR RELATING TO THIS AGREEMENT.</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55" w:lineRule="auto"/>
        <w:tabs>
          <w:tab w:leader="none" w:pos="15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required or permitted under this Agreement shall be treated as having been given or delivered when (i) delivered personally or by overnight courier service (costs prepaid), (ii) sent by facsimile or e-mail with confirmation of transmission by the transmitting equipment, or (iii) received or rejected by the addressee, if sent by certified mail, return receipt requested, in each case, subject to the preceding sentence, to the addresses, facsimile numbers or e-mail addresses and marked to the attention of the person (by name or title) designated below (or to such other address, facsimile number, e-mail address or person as such party may designate by a written notice delivered to the other party hereto). You also agree not to initiate or maintain contact related to the Possible Transaction with any Representative (other than the Company’s financial advisors and counsel), customer or supplier of the Company (or any of its affiliates), except with the express permission of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this Agreement calls for the consent of the Company, instructions by the Company, waivers by the Company, or any similar actions by the Company, or any notice to the Company, it means a consent, instruction, waiver or similar action by, and notice to, the Special Committee or any person designated by the Special Committee for so long as the Special Committee is in existence. After the date that the Special Committee has been disbanded, any references in this Agreement to the Special Committee shall be deemed a reference to the Company acting at the direction of the independent and disinterested members of the Board of Directors unless the Board of Directors empowers another committee of the Board of Directors with authority relating to a possible transaction with you (in which case any references to the Special Committee shall refer to such committee).</w:t>
      </w:r>
    </w:p>
    <w:p>
      <w:pPr>
        <w:spacing w:after="0" w:line="187" w:lineRule="exact"/>
        <w:rPr>
          <w:rFonts w:ascii="Times New Roman" w:cs="Times New Roman" w:eastAsia="Times New Roman" w:hAnsi="Times New Roman"/>
          <w:sz w:val="18"/>
          <w:szCs w:val="18"/>
          <w:color w:val="auto"/>
        </w:rPr>
      </w:pPr>
    </w:p>
    <w:p>
      <w:pPr>
        <w:jc w:val="both"/>
        <w:ind w:firstLine="1304"/>
        <w:spacing w:after="0" w:line="272" w:lineRule="auto"/>
        <w:tabs>
          <w:tab w:leader="none" w:pos="153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also constitutes notice to you that the Special Committee has engaged Sidley Austin LLP (“</w:t>
      </w:r>
      <w:r>
        <w:rPr>
          <w:rFonts w:ascii="Times New Roman" w:cs="Times New Roman" w:eastAsia="Times New Roman" w:hAnsi="Times New Roman"/>
          <w:sz w:val="17"/>
          <w:szCs w:val="17"/>
          <w:u w:val="single" w:color="auto"/>
          <w:color w:val="auto"/>
        </w:rPr>
        <w:t>Sidley</w:t>
      </w:r>
      <w:r>
        <w:rPr>
          <w:rFonts w:ascii="Times New Roman" w:cs="Times New Roman" w:eastAsia="Times New Roman" w:hAnsi="Times New Roman"/>
          <w:sz w:val="17"/>
          <w:szCs w:val="17"/>
          <w:color w:val="auto"/>
        </w:rPr>
        <w:t>”) as its legal counsel in connection with the Possible Transaction. Notwithstanding the fact that Sidley may have represented, and may currently represent, the Company, you and/or any of your Representatives with respect to matters unrelated to the Possible Transaction, you (on behalf of yourself and your affiliates) hereby</w:t>
      </w:r>
    </w:p>
    <w:p>
      <w:pPr>
        <w:spacing w:after="0" w:line="1" w:lineRule="exact"/>
        <w:rPr>
          <w:rFonts w:ascii="Times New Roman" w:cs="Times New Roman" w:eastAsia="Times New Roman" w:hAnsi="Times New Roman"/>
          <w:sz w:val="17"/>
          <w:szCs w:val="17"/>
          <w:color w:val="auto"/>
        </w:rPr>
      </w:pPr>
    </w:p>
    <w:p>
      <w:pPr>
        <w:jc w:val="both"/>
        <w:ind w:firstLine="8"/>
        <w:spacing w:after="0" w:line="252" w:lineRule="auto"/>
        <w:tabs>
          <w:tab w:leader="none" w:pos="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Sidley’s continued representation of the Special Committee in connection with the Possible Transaction, (ii) waive any actual or alleged conflict that may arise from Sidley’s representation of the Special Committee in connection with the Possible Transaction, and (iii) agree that Sidley will be under no duty to disclose any confidential information of the Company to you. By entering into this Agreement, you hereby acknowledge that the Company and Sidley will be relying on your consent and waiver provided hereby. In addition, you hereby acknowledge that your consent and waiver under this Paragraph 11(i) is voluntary and informed, and that you have obtained independent legal advice with respect to this consent and waiver. If you have any questions regarding this Paragraph 11(i), please contact Gary Gerstman and Derek Zaba at Sidley Austin LLP at (312) 853-2060 and (650) 565-7131 or at ggerstman@sidley.com and dzaba@sidley.com.</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04"/>
        <w:spacing w:after="0" w:line="258" w:lineRule="auto"/>
        <w:tabs>
          <w:tab w:leader="none" w:pos="15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each agree that unless a definitive agreement is executed and delivered with respect to the Possible Transaction (in which case, until such execution and delivery), neither the Company nor you intends to be, nor shall either of us be, under any legal obligation with respect to the Possible Transaction or otherwise, by virtue of any written or oral expressions by our respective Representatives with respect to the Possible Transaction, including, without limitation, any obligation to commence or continue discussions or negotiations, except for the matters specifically agreed to in this Agreement.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convenience of the parties, this Agreement may be executed by PDF, facsimile or other electronic means and in counterparts, each of which shall be deemed to be an original, and both of which, taken together, shall constitute one agreement binding on both parties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1296"/>
        <w:spacing w:after="0" w:line="282" w:lineRule="auto"/>
        <w:rPr>
          <w:sz w:val="20"/>
          <w:szCs w:val="20"/>
          <w:color w:val="auto"/>
        </w:rPr>
      </w:pPr>
      <w:r>
        <w:rPr>
          <w:rFonts w:ascii="Times New Roman" w:cs="Times New Roman" w:eastAsia="Times New Roman" w:hAnsi="Times New Roman"/>
          <w:sz w:val="18"/>
          <w:szCs w:val="18"/>
          <w:color w:val="auto"/>
        </w:rPr>
        <w:t>Please confirm your agreement with the foregoing by signing and returning to the undersigned the duplicate copy of this Agreement enclosed 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Ann Munson Steines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Ann Munson Steines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Legal Officer,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1617 Sixth Avenue, Seattle, Washington 98101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Ann Munson Steines, Chief Legal Officer,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ACCEPTED AND AGREED AS OF THE ABOVE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Erik B.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B. Nordstrom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Nordstrom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 AND BRANDY NORDSTROM 2012 CHILDREN'S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Erik B.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B.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 AND BRANDY MFN 2010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Erik B.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B.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 AND BRANDY CFN 2012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Erik B.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B.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ERIK AND JULIE NORDSTROM 2012 SDN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E.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&amp; JEANNIE NORDSTROM 2010 MFN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E.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&amp; JEANNIE NORDSTROM 2012 CFN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E.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1976 BRUCE A. NORDSTROM TRUST (aka ELIZABETH NORDSTROM 1976 TRUST FBO BRUCE NORDSTROM)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E.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Erik B.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B.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FRANCES W. NORDSTROM TRUST FBO BAN, created under will dated April 4, 1984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E.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Erik B. Nordstrom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B.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1617 Sixth Avenue, Seattle, Washington 98101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Erik B. Nordstrom and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Directors of Nordstrom,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 &amp; Centerview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 Sixth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Carmen Molinos &amp; Tony Kim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write in response to your letter, dated June 19, 2024, with respect to your invitation to submit this written proposal (the “Proposal”) for a potential acquisition (the “Proposed Transaction”) of Nordstrom, Inc. (the “Company”).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you know, Erik and Peter Nordstrom have been exploring the possibility of making a proposal to acquire the Company in a going private transaction. On August 31, 2024, they requested that the Board of Directors of the Company (the “Board”) grant them permission to form a group comprising (i) certain other members of the Nordstrom family, including various family-affiliated trusts and the estate of Bruce Nordstrom (the “Family Group”), and (ii) El Puerto de Liverpool, S.A.B. de C.V. (“Liverpool,” together with the Family Group, the “Buyer Group”). Prior to the delivery of this letter, on September 3, 2024, the Board of Directors authorized the formation of the Buyer Group. The members of the Buyer Group beneficially own approximately 43% of the outstanding shares of the Company’s common stock, based on the aggregate number of shares of the Company’s common stock reported on the Company’s most recently filed quarterly report on Form 10-Q.</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behalf of the Buyer Group, we are pleased to submit our proposal (this “Proposal”) to acquire 100% of the outstanding shares of common stock of the Company (other than the Rollover Shares (as defined below)) at a cash purchase price of $23.00 per share (the “Offer Price”), on the terms set forth in this letter.</w:t>
      </w:r>
    </w:p>
    <w:p>
      <w:pPr>
        <w:spacing w:after="0" w:line="172" w:lineRule="exact"/>
        <w:rPr>
          <w:sz w:val="20"/>
          <w:szCs w:val="20"/>
          <w:color w:val="auto"/>
        </w:rPr>
      </w:pPr>
    </w:p>
    <w:p>
      <w:pPr>
        <w:ind w:left="340" w:hanging="332"/>
        <w:spacing w:after="0" w:line="286" w:lineRule="auto"/>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Valuation and Assumptions: </w:t>
      </w:r>
      <w:r>
        <w:rPr>
          <w:rFonts w:ascii="Times New Roman" w:cs="Times New Roman" w:eastAsia="Times New Roman" w:hAnsi="Times New Roman"/>
          <w:sz w:val="18"/>
          <w:szCs w:val="18"/>
          <w:color w:val="auto"/>
        </w:rPr>
        <w:t>This purchase price provides a significant premium to the unaffected price of the Company’s shares in a transaction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high degree of certainty to close. Our price represents:</w:t>
      </w:r>
    </w:p>
    <w:p>
      <w:pPr>
        <w:spacing w:after="0" w:line="158" w:lineRule="exact"/>
        <w:rPr>
          <w:rFonts w:ascii="Times New Roman" w:cs="Times New Roman" w:eastAsia="Times New Roman" w:hAnsi="Times New Roman"/>
          <w:sz w:val="18"/>
          <w:szCs w:val="18"/>
          <w:b w:val="1"/>
          <w:bCs w:val="1"/>
          <w:color w:val="auto"/>
        </w:rPr>
      </w:pPr>
    </w:p>
    <w:p>
      <w:pPr>
        <w:ind w:left="1300" w:right="4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34.8% premium over the unaffected price of $17.06 per share on March 18, 2024, the closing price on the day before news reports were first published disclosing discussions between the Company and Erik and Peter Nordstrom regarding the Proposed Transaction; and</w:t>
      </w:r>
    </w:p>
    <w:p>
      <w:pPr>
        <w:spacing w:after="0" w:line="161" w:lineRule="exact"/>
        <w:rPr>
          <w:rFonts w:ascii="Times New Roman" w:cs="Times New Roman" w:eastAsia="Times New Roman" w:hAnsi="Times New Roman"/>
          <w:sz w:val="18"/>
          <w:szCs w:val="18"/>
          <w:color w:val="auto"/>
        </w:rPr>
      </w:pPr>
    </w:p>
    <w:p>
      <w:pPr>
        <w:ind w:left="1300" w:right="78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11.0% premium over the $20.71 average twelve month consensus share price targets for 14 analysts who regularly cover the Company’s share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left="8"/>
        <w:spacing w:after="0"/>
        <w:rPr>
          <w:sz w:val="20"/>
          <w:szCs w:val="20"/>
          <w:color w:val="auto"/>
        </w:rPr>
      </w:pPr>
      <w:r>
        <w:rPr>
          <w:rFonts w:ascii="Times New Roman" w:cs="Times New Roman" w:eastAsia="Times New Roman" w:hAnsi="Times New Roman"/>
          <w:sz w:val="18"/>
          <w:szCs w:val="18"/>
          <w:color w:val="auto"/>
        </w:rPr>
        <w:t>Our Proposal implies an equity value for the Company of $3.764 billion, and assumes the following:</w:t>
      </w:r>
    </w:p>
    <w:p>
      <w:pPr>
        <w:spacing w:after="0" w:line="225" w:lineRule="exact"/>
        <w:rPr>
          <w:sz w:val="20"/>
          <w:szCs w:val="20"/>
          <w:color w:val="auto"/>
        </w:rPr>
      </w:pPr>
    </w:p>
    <w:p>
      <w:pPr>
        <w:ind w:left="968" w:right="460" w:hanging="320"/>
        <w:spacing w:after="0" w:line="282"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$2.615 billion of indebtedness outstanding as of the consummation of the Proposed Transaction, all of which would remain outstanding thereafter;</w:t>
      </w:r>
    </w:p>
    <w:p>
      <w:pPr>
        <w:spacing w:after="0" w:line="161" w:lineRule="exact"/>
        <w:rPr>
          <w:rFonts w:ascii="Times New Roman" w:cs="Times New Roman" w:eastAsia="Times New Roman" w:hAnsi="Times New Roman"/>
          <w:sz w:val="18"/>
          <w:szCs w:val="18"/>
          <w:color w:val="auto"/>
        </w:rPr>
      </w:pPr>
    </w:p>
    <w:p>
      <w:pPr>
        <w:ind w:left="968" w:right="80" w:hanging="320"/>
        <w:spacing w:after="0" w:line="282"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163,648,780 shares of common stock of the Company outstanding immediately prior to the completion of the Proposed Transaction; and</w:t>
      </w:r>
    </w:p>
    <w:p>
      <w:pPr>
        <w:spacing w:after="0" w:line="161" w:lineRule="exact"/>
        <w:rPr>
          <w:rFonts w:ascii="Times New Roman" w:cs="Times New Roman" w:eastAsia="Times New Roman" w:hAnsi="Times New Roman"/>
          <w:sz w:val="18"/>
          <w:szCs w:val="18"/>
          <w:color w:val="auto"/>
        </w:rPr>
      </w:pPr>
    </w:p>
    <w:p>
      <w:pPr>
        <w:jc w:val="both"/>
        <w:ind w:left="968" w:right="320" w:hanging="320"/>
        <w:spacing w:after="0" w:line="289" w:lineRule="auto"/>
        <w:tabs>
          <w:tab w:leader="none" w:pos="96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promptly following the closing of the Proposed Transaction, the Company will fund the currently underfunded amount under the Company’s Supplemental Executive Retirement Plan (“SERP”), with the exception of the amounts required to be funded on behalf of Erik Nordstrom, Peter Nordstrom and Jamie Nordstrom, who are willing to waive the funding requirement for their SERP benefits.</w:t>
      </w:r>
    </w:p>
    <w:p>
      <w:pPr>
        <w:spacing w:after="0" w:line="153" w:lineRule="exact"/>
        <w:rPr>
          <w:rFonts w:ascii="Times New Roman" w:cs="Times New Roman" w:eastAsia="Times New Roman" w:hAnsi="Times New Roman"/>
          <w:sz w:val="17"/>
          <w:szCs w:val="17"/>
          <w:color w:val="auto"/>
        </w:rPr>
      </w:pPr>
    </w:p>
    <w:p>
      <w:pPr>
        <w:ind w:left="328" w:right="200" w:hanging="328"/>
        <w:spacing w:after="0" w:line="262" w:lineRule="auto"/>
        <w:tabs>
          <w:tab w:leader="none" w:pos="32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Identity of Purchaser: </w:t>
      </w:r>
      <w:r>
        <w:rPr>
          <w:rFonts w:ascii="Times New Roman" w:cs="Times New Roman" w:eastAsia="Times New Roman" w:hAnsi="Times New Roman"/>
          <w:sz w:val="18"/>
          <w:szCs w:val="18"/>
          <w:color w:val="auto"/>
        </w:rPr>
        <w:t>The purchaser is expected to be a newly-formed Delaware entity (“Parent”) that will be jointly owned by: (a) an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formed by the Family Group (such entity, the “Family Investor”), and (b) Liverpool (collectively with the Family Investor, the “Investors”). It is expected that immediately following the completion of the Proposed Transaction, Parent would be owned approximately 50.1% by the Family Investor and 49.9% by Liverpool.</w:t>
      </w:r>
    </w:p>
    <w:p>
      <w:pPr>
        <w:spacing w:after="0" w:line="180" w:lineRule="exact"/>
        <w:rPr>
          <w:rFonts w:ascii="Times New Roman" w:cs="Times New Roman" w:eastAsia="Times New Roman" w:hAnsi="Times New Roman"/>
          <w:sz w:val="18"/>
          <w:szCs w:val="18"/>
          <w:b w:val="1"/>
          <w:bCs w:val="1"/>
          <w:color w:val="auto"/>
        </w:rPr>
      </w:pPr>
    </w:p>
    <w:p>
      <w:pPr>
        <w:ind w:left="328"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Liverpool is a leading Mexican omnichannel retail group with significant resources and access to capital to facilitate a transaction. Founded more than 175 years ago, Liverpool operates 312 stores across its various retail banners in 87 cities in Mexico and is Mexico’s third largest credit card issuer with more than 7.2 million active accounts. Liverpool is a public company, listed on the Mexican Stock Exchange since 1964 and has a market capitalization of ~$8.6 billion, yearly revenues of ~$10.5 billion for 2023 and cash and cash equivalents of ~$1.2 billion as of June 30, 2024. Liverpool has a corporate debt rating of BBB by Standard &amp; Poor’s and BBB+ by Fitch.</w:t>
      </w:r>
    </w:p>
    <w:p>
      <w:pPr>
        <w:spacing w:after="0" w:line="179" w:lineRule="exact"/>
        <w:rPr>
          <w:rFonts w:ascii="Times New Roman" w:cs="Times New Roman" w:eastAsia="Times New Roman" w:hAnsi="Times New Roman"/>
          <w:sz w:val="18"/>
          <w:szCs w:val="18"/>
          <w:b w:val="1"/>
          <w:bCs w:val="1"/>
          <w:color w:val="auto"/>
        </w:rPr>
      </w:pPr>
    </w:p>
    <w:p>
      <w:pPr>
        <w:ind w:left="328" w:right="160" w:hanging="328"/>
        <w:spacing w:after="0" w:line="262" w:lineRule="auto"/>
        <w:tabs>
          <w:tab w:leader="none" w:pos="32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Structure Considerations: </w:t>
      </w:r>
      <w:r>
        <w:rPr>
          <w:rFonts w:ascii="Times New Roman" w:cs="Times New Roman" w:eastAsia="Times New Roman" w:hAnsi="Times New Roman"/>
          <w:sz w:val="18"/>
          <w:szCs w:val="18"/>
          <w:color w:val="auto"/>
        </w:rPr>
        <w:t>The Proposed Transaction would be effected via a merger of a newly-formed, wholly-owned corporate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with and into the Company (the “Merger”), with the Company being the surviving corporation of the Merger. Each outstanding share of common stock of the Company outstanding as of the effective time of the Merger (other than dissenting shares, shares held in treasury of the Company and the Rollover Shares), would be converted into the right to receive the Offer Price.</w:t>
      </w:r>
    </w:p>
    <w:p>
      <w:pPr>
        <w:spacing w:after="0" w:line="176"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Financing: </w:t>
      </w:r>
      <w:r>
        <w:rPr>
          <w:rFonts w:ascii="Times New Roman" w:cs="Times New Roman" w:eastAsia="Times New Roman" w:hAnsi="Times New Roman"/>
          <w:sz w:val="18"/>
          <w:szCs w:val="18"/>
          <w:color w:val="auto"/>
        </w:rPr>
        <w:t>The Proposed Transaction would be funded as follows:</w:t>
      </w:r>
    </w:p>
    <w:p>
      <w:pPr>
        <w:spacing w:after="0" w:line="229" w:lineRule="exact"/>
        <w:rPr>
          <w:rFonts w:ascii="Times New Roman" w:cs="Times New Roman" w:eastAsia="Times New Roman" w:hAnsi="Times New Roman"/>
          <w:sz w:val="18"/>
          <w:szCs w:val="18"/>
          <w:b w:val="1"/>
          <w:bCs w:val="1"/>
          <w:color w:val="auto"/>
        </w:rPr>
      </w:pPr>
    </w:p>
    <w:p>
      <w:pPr>
        <w:ind w:left="968" w:hanging="320"/>
        <w:spacing w:after="0" w:line="255"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of the Merger, pursuant to rollover agreements entered into in connection with the execution of definitive documentation for the Proposed Transaction: (a) the Family Group would contribute to the Family Investor an aggregate of approximately 49.6 million shares of common stock of the Company in exchange for newly-issued equity interests in the Family Investor, having an implied value of approximately $1.14 billion based on the Offer Price, and, in turn, the Family Investor would contribute those shares, and (b) Liverpool would contribute an aggregate of 15,755,000 shares of common stock of the Company, having an aggregate implied value of $362 million based on the Offer Price (the shares of common stock of the Company referenced in clauses (a) and (b), collectively, the “Rollover Shares”), in each case, to Parent in exchange for newly-issued common equity interests in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2" w:name="page53"/>
    <w:bookmarkEnd w:id="52"/>
    <w:p>
      <w:pPr>
        <w:ind w:left="968" w:right="40" w:hanging="320"/>
        <w:spacing w:after="0" w:line="257" w:lineRule="auto"/>
        <w:tabs>
          <w:tab w:leader="none" w:pos="9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Rollover Shares contributed to Parent by the Investors, (a) the Family Investor would commit to provide an additional $454 million to Parent in exchange for newly-issued common interests in Parent, and (b) Liverpool would commit to provide an additional approximate $1.23 billion to Parent in exchange for newly-issued common interests in Parent, in each of cases (a) and</w:t>
      </w:r>
    </w:p>
    <w:p>
      <w:pPr>
        <w:spacing w:after="0" w:line="1" w:lineRule="exact"/>
        <w:rPr>
          <w:rFonts w:ascii="Times New Roman" w:cs="Times New Roman" w:eastAsia="Times New Roman" w:hAnsi="Times New Roman"/>
          <w:sz w:val="18"/>
          <w:szCs w:val="18"/>
          <w:color w:val="auto"/>
        </w:rPr>
      </w:pPr>
    </w:p>
    <w:p>
      <w:pPr>
        <w:ind w:left="968"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pursuant to equity commitment letters to be executed in connection with entrance of Parent into definitive documentation providing for the Proposed Transaction.</w:t>
      </w:r>
    </w:p>
    <w:p>
      <w:pPr>
        <w:spacing w:after="0" w:line="181"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obtain incremental bank financing of $250 million at the Company. We have received preliminary proposals from two existing lenders to the Company, and with the Company’s continued cooperation, are highly confident in our ability to arrange this incremental financing and secure financing commitment letters.</w:t>
      </w:r>
    </w:p>
    <w:p>
      <w:pPr>
        <w:spacing w:after="0" w:line="176"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788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w w:val="99"/>
              </w:rPr>
              <w:t>A sources and uses table for the Proposed Transaction is set forth below:</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76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Sources ($ in millions)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Cash on Balance Sheet</w:t>
            </w:r>
          </w:p>
        </w:tc>
        <w:tc>
          <w:tcPr>
            <w:tcW w:w="74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 Existing Debt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Transaction Debt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Family Investor Equity Roll</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Family New Equity</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Liverpool Equity Roll</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r>
      <w:tr>
        <w:trPr>
          <w:trHeight w:val="229"/>
        </w:trPr>
        <w:tc>
          <w:tcPr>
            <w:tcW w:w="20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Liverpool New Equity</w:t>
            </w:r>
          </w:p>
        </w:tc>
        <w:tc>
          <w:tcPr>
            <w:tcW w:w="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60" w:type="dxa"/>
            <w:vAlign w:val="bottom"/>
          </w:tcPr>
          <w:p>
            <w:pPr>
              <w:spacing w:after="0"/>
              <w:rPr>
                <w:sz w:val="19"/>
                <w:szCs w:val="19"/>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Pr>
          <w:p>
            <w:pPr>
              <w:spacing w:after="0"/>
              <w:rPr>
                <w:sz w:val="19"/>
                <w:szCs w:val="19"/>
                <w:color w:val="auto"/>
              </w:rPr>
            </w:pPr>
          </w:p>
        </w:tc>
      </w:tr>
      <w:tr>
        <w:trPr>
          <w:trHeight w:val="414"/>
        </w:trPr>
        <w:tc>
          <w:tcPr>
            <w:tcW w:w="200" w:type="dxa"/>
            <w:vAlign w:val="bottom"/>
          </w:tcPr>
          <w:p>
            <w:pPr>
              <w:spacing w:after="0"/>
              <w:rPr>
                <w:sz w:val="24"/>
                <w:szCs w:val="24"/>
                <w:color w:val="auto"/>
              </w:rPr>
            </w:pPr>
          </w:p>
        </w:tc>
        <w:tc>
          <w:tcPr>
            <w:tcW w:w="7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Uses ($ in millions)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Equity Value</w:t>
            </w:r>
          </w:p>
        </w:tc>
        <w:tc>
          <w:tcPr>
            <w:tcW w:w="74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Existing Debt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SERP Funding</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Preliminary Transaction Fees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Cash Balance at the Company</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76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ind w:left="328" w:hanging="328"/>
        <w:spacing w:after="0"/>
        <w:tabs>
          <w:tab w:leader="none" w:pos="3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Due Diligence Requirements: </w:t>
      </w:r>
      <w:r>
        <w:rPr>
          <w:rFonts w:ascii="Times New Roman" w:cs="Times New Roman" w:eastAsia="Times New Roman" w:hAnsi="Times New Roman"/>
          <w:sz w:val="18"/>
          <w:szCs w:val="18"/>
          <w:color w:val="auto"/>
        </w:rPr>
        <w:t>The Buyer Group has completed the necessary due diligence to allow it to make this Proposal, including</w:t>
      </w:r>
    </w:p>
    <w:p>
      <w:pPr>
        <w:spacing w:after="0" w:line="31" w:lineRule="exact"/>
        <w:rPr>
          <w:rFonts w:ascii="Times New Roman" w:cs="Times New Roman" w:eastAsia="Times New Roman" w:hAnsi="Times New Roman"/>
          <w:sz w:val="18"/>
          <w:szCs w:val="18"/>
          <w:b w:val="1"/>
          <w:bCs w:val="1"/>
          <w:color w:val="auto"/>
        </w:rPr>
      </w:pPr>
    </w:p>
    <w:p>
      <w:pPr>
        <w:ind w:left="328" w:right="1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business and industry due diligence and (b) preliminary financial and accounting due diligence. The Buyer Group would expect to complete limited, confirmatory due diligence on an expedited basis.</w:t>
      </w:r>
    </w:p>
    <w:p>
      <w:pPr>
        <w:spacing w:after="0" w:line="177" w:lineRule="exact"/>
        <w:rPr>
          <w:rFonts w:ascii="Times New Roman" w:cs="Times New Roman" w:eastAsia="Times New Roman" w:hAnsi="Times New Roman"/>
          <w:sz w:val="18"/>
          <w:szCs w:val="18"/>
          <w:b w:val="1"/>
          <w:bCs w:val="1"/>
          <w:color w:val="auto"/>
        </w:rPr>
      </w:pPr>
    </w:p>
    <w:p>
      <w:pPr>
        <w:ind w:left="328" w:right="240" w:hanging="328"/>
        <w:spacing w:after="0" w:line="282" w:lineRule="auto"/>
        <w:tabs>
          <w:tab w:leader="none" w:pos="328"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Approvals and Timing: </w:t>
      </w:r>
      <w:r>
        <w:rPr>
          <w:rFonts w:ascii="Times New Roman" w:cs="Times New Roman" w:eastAsia="Times New Roman" w:hAnsi="Times New Roman"/>
          <w:sz w:val="17"/>
          <w:szCs w:val="17"/>
          <w:color w:val="auto"/>
        </w:rPr>
        <w:t>We are prepared to negotiate and execute definitive documentation on an expedited basis and complete the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as promptly as practicable. We would expect that the limited, confirmatory due diligence described above would be completed in parallel with the negotiation of definitive documentation for the Proposed Transaction. We welcome further discussions with the Special Committee around how we would propose to enter into definitive documentation for the Proposed Transaction as expeditiously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408305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8"/>
          </w:cols>
          <w:pgMar w:left="652" w:top="904" w:right="459" w:bottom="1440" w:gutter="0" w:footer="0" w:header="0"/>
        </w:sectPr>
      </w:pPr>
    </w:p>
    <w:bookmarkStart w:id="53" w:name="page54"/>
    <w:bookmarkEnd w:id="53"/>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While the Family Group and Liverpool have all approved the making of this Proposal, execution of definitive documentation with respect to the Proposed Transaction would be subject to, among other things, final approval of the board of directors of Liverpool.</w:t>
      </w:r>
    </w:p>
    <w:p>
      <w:pPr>
        <w:spacing w:after="0" w:line="162"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Our Proposal requires that it be approved not only by the Special Committee and the Board, and meet the two-third (2/3) shareholder vote requirement (including the shares held by the Buyer Group) under Washington State law, but also by a non-waivable majority of the outstanding shares of the Company other than shares owned by the Buyer Group. We also reiterate that in our capacity as shareholders of the Company, members of the Buyer Group will engage in good faith discussions with other potential buyers of the Company who submit a competing proposal, should one present itself, but, presently, we have no interest in a disposition or sale of our collective holdings in the Company, other than as contemplated by this Proposal. In our capacity as shareholders, we currently have no intention to vote in favor of any alternative or competing sale, merger or similar transaction involving the Company.</w:t>
      </w:r>
    </w:p>
    <w:p>
      <w:pPr>
        <w:spacing w:after="0" w:line="185" w:lineRule="exact"/>
        <w:rPr>
          <w:sz w:val="20"/>
          <w:szCs w:val="20"/>
          <w:color w:val="auto"/>
        </w:rPr>
      </w:pPr>
    </w:p>
    <w:p>
      <w:pPr>
        <w:jc w:val="both"/>
        <w:ind w:left="660" w:right="20" w:hanging="328"/>
        <w:spacing w:after="0" w:line="268" w:lineRule="auto"/>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Required Legal Disclosure: </w:t>
      </w:r>
      <w:r>
        <w:rPr>
          <w:rFonts w:ascii="Times New Roman" w:cs="Times New Roman" w:eastAsia="Times New Roman" w:hAnsi="Times New Roman"/>
          <w:sz w:val="18"/>
          <w:szCs w:val="18"/>
          <w:color w:val="auto"/>
        </w:rPr>
        <w:t>In accordance with our legal obligations, each of Liverpool and the Family Group will promptly file a Schedule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copy of this letter. In addition, Liverpool will promptly file a notice of material corporate event (</w:t>
      </w:r>
      <w:r>
        <w:rPr>
          <w:rFonts w:ascii="Times New Roman" w:cs="Times New Roman" w:eastAsia="Times New Roman" w:hAnsi="Times New Roman"/>
          <w:sz w:val="18"/>
          <w:szCs w:val="18"/>
          <w:i w:val="1"/>
          <w:iCs w:val="1"/>
          <w:color w:val="auto"/>
        </w:rPr>
        <w:t>evento relevante</w:t>
      </w:r>
      <w:r>
        <w:rPr>
          <w:rFonts w:ascii="Times New Roman" w:cs="Times New Roman" w:eastAsia="Times New Roman" w:hAnsi="Times New Roman"/>
          <w:sz w:val="18"/>
          <w:szCs w:val="18"/>
          <w:color w:val="auto"/>
        </w:rPr>
        <w:t>) as required pursuant to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660" w:right="40" w:hanging="328"/>
        <w:spacing w:after="0" w:line="268" w:lineRule="auto"/>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Contacts: </w:t>
      </w:r>
      <w:r>
        <w:rPr>
          <w:rFonts w:ascii="Times New Roman" w:cs="Times New Roman" w:eastAsia="Times New Roman" w:hAnsi="Times New Roman"/>
          <w:sz w:val="18"/>
          <w:szCs w:val="18"/>
          <w:color w:val="auto"/>
        </w:rPr>
        <w:t>Each of the Family Group and Liverpool has retained financial and legal advisors in connection with the making of this Proposal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Proposed Transaction as set forth below. We would welcome the earliest opportunity to meet with the Special Committee and/or its advisors to discuss the details of our Proposal.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Family Group</w:t>
            </w:r>
          </w:p>
        </w:tc>
        <w:tc>
          <w:tcPr>
            <w:tcW w:w="1640" w:type="dxa"/>
            <w:vAlign w:val="bottom"/>
          </w:tcPr>
          <w:p>
            <w:pPr>
              <w:spacing w:after="0"/>
              <w:rPr>
                <w:sz w:val="17"/>
                <w:szCs w:val="17"/>
                <w:color w:val="auto"/>
              </w:rPr>
            </w:pP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Liverpool</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Advisors/Contact</w:t>
            </w: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7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Perry Hall</w:t>
            </w:r>
          </w:p>
        </w:tc>
        <w:tc>
          <w:tcPr>
            <w:tcW w:w="176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Jonathan Dunlop</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4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Moelis</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J.P. Morgan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399 Park Avenue, 5th Floor</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2029 Century Park East, 38th Floor</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Los Angeles, California 90067</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Nik Johnston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J.P. Morgan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383 Madison Avenue, 34th Floor</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10179</w:t>
            </w:r>
          </w:p>
        </w:tc>
        <w:tc>
          <w:tcPr>
            <w:tcW w:w="0" w:type="dxa"/>
            <w:vAlign w:val="bottom"/>
          </w:tcPr>
          <w:p>
            <w:pPr>
              <w:spacing w:after="0"/>
              <w:rPr>
                <w:sz w:val="1"/>
                <w:szCs w:val="1"/>
                <w:color w:val="auto"/>
              </w:rPr>
            </w:pPr>
          </w:p>
        </w:tc>
      </w:tr>
      <w:tr>
        <w:trPr>
          <w:trHeight w:val="414"/>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Legal Advisors/Contact</w:t>
            </w: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Keith Trammell</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 P. Schaye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Michael Gilligan</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Juan F. Mendez</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Wilmer Cutler Pickering Hale &amp; Dorr LLP</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Simpson Thacher &amp; Bartlett LLP</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7 World Trade Center</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425 Lexington Avenue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250 Greenwich Street</w:t>
            </w: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New York, NY 10017</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New York, NY 10007</w:t>
            </w: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letter is not legally binding and does not create any obligation of any kind on any Investor or any of their respective affiliates, but is intended only to constitute an expression of our strong interest in exploring the Potential Transaction. No obligation of any kind on our part will be created unless and until definitive documentation with respect to a transaction is duly executed and delivered, and then only to the extent set forth therein. This letter, any information obtained in discussions or negotiations, and our interest in any Potential Transaction should be kept confidential by the Company and its affiliates and its and their respective representatives and advisors.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6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behalf of the Family Group</w:t>
            </w: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behalf of Liverpool</w:t>
            </w: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 PUERTO DE LIVERPOOL, S.A.B. DE C.V.</w:t>
            </w:r>
          </w:p>
        </w:tc>
        <w:tc>
          <w:tcPr>
            <w:tcW w:w="0" w:type="dxa"/>
            <w:vAlign w:val="bottom"/>
          </w:tcPr>
          <w:p>
            <w:pPr>
              <w:spacing w:after="0"/>
              <w:rPr>
                <w:sz w:val="1"/>
                <w:szCs w:val="1"/>
                <w:color w:val="auto"/>
              </w:rPr>
            </w:pPr>
          </w:p>
        </w:tc>
      </w:tr>
      <w:tr>
        <w:trPr>
          <w:trHeight w:val="432"/>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Erik Nordstrom</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Graciano Guichard</w:t>
            </w:r>
          </w:p>
        </w:tc>
        <w:tc>
          <w:tcPr>
            <w:tcW w:w="0" w:type="dxa"/>
            <w:vAlign w:val="bottom"/>
          </w:tcPr>
          <w:p>
            <w:pPr>
              <w:spacing w:after="0"/>
              <w:rPr>
                <w:sz w:val="1"/>
                <w:szCs w:val="1"/>
                <w:color w:val="auto"/>
              </w:rPr>
            </w:pPr>
          </w:p>
        </w:tc>
      </w:tr>
      <w:tr>
        <w:trPr>
          <w:trHeight w:val="191"/>
        </w:trPr>
        <w:tc>
          <w:tcPr>
            <w:tcW w:w="5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Erik Nordstrom</w:t>
            </w:r>
          </w:p>
        </w:tc>
        <w:tc>
          <w:tcPr>
            <w:tcW w:w="6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Graciano Guichard</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392"/>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Peter Nordstrom</w:t>
            </w:r>
          </w:p>
        </w:tc>
        <w:tc>
          <w:tcPr>
            <w:tcW w:w="410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Enrique Güijosa</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Peter Nordstrom</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Enrique Güijosa</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Jamie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 Sixth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Ann Munson Steines, Chief Legal Officer,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B. Nordstrom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Nordstrom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 Sixth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Erik B. Nordstrom and Peter E. Nordstrom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undersigned (collectively, the “</w:t>
      </w:r>
      <w:r>
        <w:rPr>
          <w:rFonts w:ascii="Times New Roman" w:cs="Times New Roman" w:eastAsia="Times New Roman" w:hAnsi="Times New Roman"/>
          <w:sz w:val="18"/>
          <w:szCs w:val="18"/>
          <w:u w:val="single" w:color="auto"/>
          <w:color w:val="auto"/>
        </w:rPr>
        <w:t>Family Owners</w:t>
      </w:r>
      <w:r>
        <w:rPr>
          <w:rFonts w:ascii="Times New Roman" w:cs="Times New Roman" w:eastAsia="Times New Roman" w:hAnsi="Times New Roman"/>
          <w:sz w:val="18"/>
          <w:szCs w:val="18"/>
          <w:color w:val="auto"/>
        </w:rPr>
        <w:t>”) hereby acknowledges that he, she or it has received and reviewed a copy of the Nondisclosure Confidentiality Agreement, dated as of April 17, 2024, by and between Erik B. Nordstrom, Peter E. Nordstrom, and certain related trusts (collectively, “</w:t>
      </w:r>
      <w:r>
        <w:rPr>
          <w:rFonts w:ascii="Times New Roman" w:cs="Times New Roman" w:eastAsia="Times New Roman" w:hAnsi="Times New Roman"/>
          <w:sz w:val="18"/>
          <w:szCs w:val="18"/>
          <w:u w:val="single" w:color="auto"/>
          <w:color w:val="auto"/>
        </w:rPr>
        <w:t>Messrs. Erik and Pete Nordstrom</w:t>
      </w:r>
      <w:r>
        <w:rPr>
          <w:rFonts w:ascii="Times New Roman" w:cs="Times New Roman" w:eastAsia="Times New Roman" w:hAnsi="Times New Roman"/>
          <w:sz w:val="18"/>
          <w:szCs w:val="18"/>
          <w:color w:val="auto"/>
        </w:rPr>
        <w:t>”) and Nordstrom,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Capitalized terms used but not defined in this letter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and the term “person” have the meaning ascribed thereto in the NDA.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Family Owner acknowledges that he, she or it is a potential source of financing to Messrs. Erik and Pete Nordstrom in connection with the Possible Transaction. Accordingly, each Family Owner acknowledges that he, she or it is a Representative of Messrs. Erik and Pete Nordstrom pursuant to the terms of the NDA and that all references to “Representatives” in the NDA will be deemed to include such Family Owner.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Family Owner hereby acknowledges and agrees that: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such Family Owner has been informed by Messrs. Erik and Pete Nordstrom of the confidential nature of the Proprietary Information and the Transaction Information;</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such Family Owner shall act in accordance with and </w:t>
      </w:r>
      <w:r>
        <w:rPr>
          <w:rFonts w:ascii="Times New Roman" w:cs="Times New Roman" w:eastAsia="Times New Roman" w:hAnsi="Times New Roman"/>
          <w:sz w:val="18"/>
          <w:szCs w:val="18"/>
          <w:color w:val="161818"/>
        </w:rPr>
        <w:t>be bound by the provisions of the NDA applicable to Messrs. Erik and Pete</w:t>
      </w:r>
      <w:r>
        <w:rPr>
          <w:rFonts w:ascii="Times New Roman" w:cs="Times New Roman" w:eastAsia="Times New Roman" w:hAnsi="Times New Roman"/>
          <w:sz w:val="18"/>
          <w:szCs w:val="18"/>
          <w:color w:val="auto"/>
        </w:rPr>
        <w:t xml:space="preserve"> Nordstrom as if a party thereto;</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such Family Owner </w:t>
      </w:r>
      <w:r>
        <w:rPr>
          <w:rFonts w:ascii="Times New Roman" w:cs="Times New Roman" w:eastAsia="Times New Roman" w:hAnsi="Times New Roman"/>
          <w:sz w:val="18"/>
          <w:szCs w:val="18"/>
          <w:color w:val="161818"/>
        </w:rPr>
        <w:t>is a member of the Transaction Group and the Transaction Group shall automatically, and without any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61818"/>
        </w:rPr>
        <w:t>action by any person, be disbanded on the date that is the earlier of twelve months after the date of the NDA and the date on which Messrs. Erik and Pete Nordstrom notify the Company in writing that they have elected to cease participating in the Transaction Group, which disbandment shall be binding upon all members of the Transaction Group, including the Family Owners;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the Proprietary Information and/or Transaction Information may contain or may itself be material non-public information concerning the Company and he, she or it has been advised of the restrictions imposed by the United States securities laws on the purchase or sale of securities by any person who has received material, non-public information about the issuer of such securities and on the communication of such information to any other person when it is reasonably foreseeable that such other person is likely to purchase or sell such securities in reliance upon such information; and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none of the Company, Messrs. Erik and Pete Nordstrom or their respective Representatives (other than such Family Owner) shall have any liability whatsoever to such Family Owner or any of its representatives, including, without limitation, in contract, tort or under federal or state securities laws, relating to or resulting from the use of the Proprietary Information or any errors therein or omissions therefrom.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161818"/>
        </w:rPr>
        <w:t>Each Family Owner and the Company hereby acknowledge and agree that: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161818"/>
        </w:rPr>
        <w:t xml:space="preserve">(i)             The allowance set forth Section 7(a)(ii) of the NDA shall be amended to include </w:t>
      </w:r>
      <w:r>
        <w:rPr>
          <w:rFonts w:ascii="Times New Roman" w:cs="Times New Roman" w:eastAsia="Times New Roman" w:hAnsi="Times New Roman"/>
          <w:sz w:val="18"/>
          <w:szCs w:val="18"/>
          <w:color w:val="000000"/>
        </w:rPr>
        <w:t>James F. Nordstrom, Jr.</w:t>
      </w:r>
      <w:r>
        <w:rPr>
          <w:rFonts w:ascii="Times New Roman" w:cs="Times New Roman" w:eastAsia="Times New Roman" w:hAnsi="Times New Roman"/>
          <w:sz w:val="18"/>
          <w:szCs w:val="18"/>
          <w:color w:val="161818"/>
        </w:rPr>
        <w:t xml:space="preserve"> in that provision; and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161818"/>
        </w:rPr>
        <w:t>(ii)            </w:t>
      </w:r>
      <w:r>
        <w:rPr>
          <w:rFonts w:ascii="Times New Roman" w:cs="Times New Roman" w:eastAsia="Times New Roman" w:hAnsi="Times New Roman"/>
          <w:sz w:val="18"/>
          <w:szCs w:val="18"/>
          <w:color w:val="000000"/>
        </w:rPr>
        <w:t>Nothing herein or in the NDA shall preclude any Family Owner from transferring or selling any securities of the Company in the</w:t>
      </w:r>
      <w:r>
        <w:rPr>
          <w:rFonts w:ascii="Times New Roman" w:cs="Times New Roman" w:eastAsia="Times New Roman" w:hAnsi="Times New Roman"/>
          <w:sz w:val="18"/>
          <w:szCs w:val="18"/>
          <w:color w:val="161818"/>
        </w:rPr>
        <w:t xml:space="preserve"> </w:t>
      </w:r>
      <w:r>
        <w:rPr>
          <w:rFonts w:ascii="Times New Roman" w:cs="Times New Roman" w:eastAsia="Times New Roman" w:hAnsi="Times New Roman"/>
          <w:sz w:val="18"/>
          <w:szCs w:val="18"/>
          <w:color w:val="000000"/>
        </w:rPr>
        <w:t>Possible Transaction.</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161818"/>
        </w:rPr>
        <w:t xml:space="preserve">This letter agreement shall be governed by the terms and conditions set forth in Section 11 of the NDA, as applicable, </w:t>
      </w:r>
      <w:r>
        <w:rPr>
          <w:rFonts w:ascii="Times New Roman" w:cs="Times New Roman" w:eastAsia="Times New Roman" w:hAnsi="Times New Roman"/>
          <w:sz w:val="18"/>
          <w:szCs w:val="18"/>
          <w:i w:val="1"/>
          <w:iCs w:val="1"/>
          <w:color w:val="161818"/>
        </w:rPr>
        <w:t>mutatis mutandis</w:t>
      </w:r>
      <w:r>
        <w:rPr>
          <w:rFonts w:ascii="Times New Roman" w:cs="Times New Roman" w:eastAsia="Times New Roman" w:hAnsi="Times New Roman"/>
          <w:sz w:val="18"/>
          <w:szCs w:val="18"/>
          <w:color w:val="161818"/>
        </w:rPr>
        <w:t xml:space="preserve">, </w:t>
      </w:r>
      <w:r>
        <w:rPr>
          <w:rFonts w:ascii="Times New Roman" w:cs="Times New Roman" w:eastAsia="Times New Roman" w:hAnsi="Times New Roman"/>
          <w:sz w:val="18"/>
          <w:szCs w:val="18"/>
          <w:color w:val="000000"/>
        </w:rPr>
        <w:t>as if the</w:t>
      </w:r>
      <w:r>
        <w:rPr>
          <w:rFonts w:ascii="Times New Roman" w:cs="Times New Roman" w:eastAsia="Times New Roman" w:hAnsi="Times New Roman"/>
          <w:sz w:val="18"/>
          <w:szCs w:val="18"/>
          <w:color w:val="161818"/>
        </w:rPr>
        <w:t xml:space="preserve"> </w:t>
      </w:r>
      <w:r>
        <w:rPr>
          <w:rFonts w:ascii="Times New Roman" w:cs="Times New Roman" w:eastAsia="Times New Roman" w:hAnsi="Times New Roman"/>
          <w:sz w:val="18"/>
          <w:szCs w:val="18"/>
          <w:color w:val="000000"/>
        </w:rPr>
        <w:t>Family Owners were Messrs. Erik and Pete Nordstrom.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61818"/>
        </w:rPr>
        <w:t>[</w:t>
      </w:r>
      <w:r>
        <w:rPr>
          <w:rFonts w:ascii="Times New Roman" w:cs="Times New Roman" w:eastAsia="Times New Roman" w:hAnsi="Times New Roman"/>
          <w:sz w:val="18"/>
          <w:szCs w:val="18"/>
          <w:i w:val="1"/>
          <w:iCs w:val="1"/>
          <w:color w:val="161818"/>
        </w:rPr>
        <w:t>Signature Page Follows</w:t>
      </w:r>
      <w:r>
        <w:rPr>
          <w:rFonts w:ascii="Times New Roman" w:cs="Times New Roman" w:eastAsia="Times New Roman" w:hAnsi="Times New Roman"/>
          <w:sz w:val="18"/>
          <w:szCs w:val="18"/>
          <w:color w:val="16181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FAMILY OWNERS: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Everett Nordstrom Trust FBO Anne Gittinger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W. Riley, Jr.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W. Riley,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F. Nordstrom,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F. Nordstrom, Jr.</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Anne E. Gittinger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Anne E. Gittinger</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1976 Elizabeth J. Nordstrom Trust FBO Anne Gittinger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 E. Gittinger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Anne E. Gittinger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Elizabeth J. Nordstrom Trust FBO Susan Dunn</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E. Dunn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E. Dunn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Susan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Susan E. Dunn</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Brandy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Brandy Nordstrom</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Julie 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Julie 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b w:val="1"/>
          <w:bCs w:val="1"/>
          <w:color w:val="auto"/>
        </w:rPr>
        <w:t>Bruce A. Nordstrom TR Frances W. Nordstrom Testamentary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W. Riley, Jr.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W. Riley,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Estate of Bruce A. Nordstrom</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Jean O’Roark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Margaret Jean O’Roark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Margaret Jean O’Roark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Margaret Jean O’Roark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60" w:name="page61"/>
    <w:bookmarkEnd w:id="60"/>
    <w:p>
      <w:pPr>
        <w:ind w:left="5640"/>
        <w:spacing w:after="0"/>
        <w:rPr>
          <w:sz w:val="20"/>
          <w:szCs w:val="20"/>
          <w:color w:val="auto"/>
        </w:rPr>
      </w:pPr>
      <w:r>
        <w:rPr>
          <w:rFonts w:ascii="Times New Roman" w:cs="Times New Roman" w:eastAsia="Times New Roman" w:hAnsi="Times New Roman"/>
          <w:sz w:val="18"/>
          <w:szCs w:val="18"/>
          <w:b w:val="1"/>
          <w:bCs w:val="1"/>
          <w:color w:val="auto"/>
        </w:rPr>
        <w:t>Katharine T. Nordstrom 2007 Trust Agreement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 Nordstrom, Jr.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F. Nordstrom,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Julia K. Nordstrom 2007 Trust Agreement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 Nordstrom, Jr.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F. Nordstrom, Jr.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Audrey G. Nordstrom 2007 Trust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 Nordstrom, Jr.</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F. Nordstrom, Jr.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70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LN 1989 TRUST JWN</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Linda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32061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Linda Nordstrom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LN Holdings JWN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Linda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Linda Nordstrom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Kimberly Bentz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Kimberly Bentz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Co-Manager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LN Holdings JWN II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Linda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Linda Nordstrom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Kimberly Bentz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Kimberly Bentz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62" w:name="page63"/>
    <w:bookmarkEnd w:id="62"/>
    <w:p>
      <w:pPr>
        <w:ind w:left="4520"/>
        <w:spacing w:after="0"/>
        <w:rPr>
          <w:sz w:val="20"/>
          <w:szCs w:val="20"/>
          <w:color w:val="auto"/>
        </w:rPr>
      </w:pPr>
      <w:r>
        <w:rPr>
          <w:rFonts w:ascii="Times New Roman" w:cs="Times New Roman" w:eastAsia="Times New Roman" w:hAnsi="Times New Roman"/>
          <w:sz w:val="18"/>
          <w:szCs w:val="18"/>
          <w:color w:val="auto"/>
        </w:rPr>
        <w:t>/s/ Alexandra F.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Alexandra F. Nordstrom</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Blake &amp; Molly Nordstrom 2012 Alexandra F. Nordstrom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Alexandra F.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Alexandra F.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Blake and Molly Nordstrom 2012 Andrew L Nordstrom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L. Nordstrom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L. Nordstrom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Leigh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Leigh E. Nordstrom</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Samuel C.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Samuel C. Nordstrom</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Sara D.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Sara D. Nordstrom</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Family Owners: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1617 Sixth Avenue, Seattle, Washington 98101</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Attention: Erik B. Nordstrom and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Munson Steines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 Munson Steines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General Counsel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1617 Sixth Avenue, Seattle, Washington 98101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Ann Munson Steines, Chief Legal Officer, General Counsel and Corporate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MESSRS. ERIK AND PETE NORDSTROM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Erik B.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B. Nordstrom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Nordstrom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 AND BRANDY NORDSTROM 2012 CHILDREN'S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 AND BRANDY NORDSTROM 2010 MFN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PETE AND BRANDY NORDSTROM 2012 CFN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AND JULIE NORDSTROM SARA D. NORDSTROM 2012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AND JEANNIE NORDSTROM 2010 MFN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AND JEANNIE NORDSTROM 2012 CFN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1976 BRUCE A. NORDSTROM TRUST (aka 1976 ELIZABETH J. NORDSTROM TRUST FBO BRUCE NORDSTROM)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c>
          <w:tcPr>
            <w:tcW w:w="562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FRANCES W. NORDSTROM TRUST FBO BAN, created under will dated April 4, 1984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1617 Sixth Avenue, Seattle, Washington 98101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Erik B. Nordstrom and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Peter E. Nordstrom and Charles W. Riley, Jr., or either one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Erik B.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ERIK B. NORDSTROM</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and Charles W. Riley, Jr., or either one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E. NORDSTROM</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 Nordstrom, Jr.</w:t>
            </w:r>
          </w:p>
        </w:tc>
      </w:tr>
      <w:tr>
        <w:trPr>
          <w:trHeight w:val="228"/>
        </w:trPr>
        <w:tc>
          <w:tcPr>
            <w:tcW w:w="3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414"/>
        </w:trPr>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James F. Nordstrom, Jr.</w:t>
            </w:r>
          </w:p>
        </w:tc>
      </w:tr>
      <w:tr>
        <w:trPr>
          <w:trHeight w:val="216"/>
        </w:trPr>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r>
      <w:tr>
        <w:trPr>
          <w:trHeight w:val="228"/>
        </w:trPr>
        <w:tc>
          <w:tcPr>
            <w:tcW w:w="3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657"/>
        </w:trPr>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Anne E. Gittinger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Anne E. Gittinger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and Peter E. Nordstrom, or either one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Charles W. Riley,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CHARLES W. RILEY, JR.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Margaret Jean O’Roark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Margaret Jean O’Roark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Linda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Linda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ind w:right="60"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Estate of Bruce A. Nordstrom</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Jean O’Roark Nordstrom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Margaret Jean O’Roark Nordstrom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B. Nordstrom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Erik B. Nordstrom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E. Nordstrom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E. Nordstrom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Co-Executor of the Estate of Bruce A. Nordstrom</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Susan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Susan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Alexandra F.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Alexandra F.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Andrew L.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L.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Leigh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Leigh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Samuel C.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Samuel C.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Erik B. Nordstrom, Peter E. Nordstrom and Charles W. Riley, Jr.,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0" w:lineRule="exact"/>
        <w:rPr>
          <w:sz w:val="20"/>
          <w:szCs w:val="20"/>
          <w:color w:val="auto"/>
        </w:rPr>
      </w:pPr>
    </w:p>
    <w:p>
      <w:pPr>
        <w:ind w:left="660" w:right="30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Nordstrom,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25" w:lineRule="exact"/>
        <w:rPr>
          <w:sz w:val="20"/>
          <w:szCs w:val="20"/>
          <w:color w:val="auto"/>
        </w:rPr>
      </w:pPr>
    </w:p>
    <w:p>
      <w:pPr>
        <w:ind w:left="1160" w:right="40" w:hanging="180"/>
        <w:spacing w:after="0" w:line="282" w:lineRule="auto"/>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1" w:lineRule="exact"/>
        <w:rPr>
          <w:rFonts w:ascii="Times New Roman" w:cs="Times New Roman" w:eastAsia="Times New Roman" w:hAnsi="Times New Roman"/>
          <w:sz w:val="18"/>
          <w:szCs w:val="18"/>
          <w:color w:val="auto"/>
        </w:rPr>
      </w:pPr>
    </w:p>
    <w:p>
      <w:pPr>
        <w:ind w:left="1160" w:right="280" w:hanging="180"/>
        <w:spacing w:after="0" w:line="282" w:lineRule="auto"/>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1" w:lineRule="exact"/>
        <w:rPr>
          <w:rFonts w:ascii="Times New Roman" w:cs="Times New Roman" w:eastAsia="Times New Roman" w:hAnsi="Times New Roman"/>
          <w:sz w:val="18"/>
          <w:szCs w:val="18"/>
          <w:color w:val="auto"/>
        </w:rPr>
      </w:pPr>
    </w:p>
    <w:p>
      <w:pPr>
        <w:ind w:left="1160" w:right="20" w:hanging="180"/>
        <w:spacing w:after="0" w:line="266" w:lineRule="auto"/>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5" w:lineRule="exact"/>
        <w:rPr>
          <w:rFonts w:ascii="Times New Roman" w:cs="Times New Roman" w:eastAsia="Times New Roman" w:hAnsi="Times New Roman"/>
          <w:sz w:val="18"/>
          <w:szCs w:val="18"/>
          <w:color w:val="auto"/>
        </w:rPr>
      </w:pPr>
    </w:p>
    <w:p>
      <w:pPr>
        <w:ind w:left="1160" w:right="180" w:hanging="180"/>
        <w:spacing w:after="0" w:line="266" w:lineRule="auto"/>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6" w:lineRule="exact"/>
        <w:rPr>
          <w:sz w:val="20"/>
          <w:szCs w:val="20"/>
          <w:color w:val="auto"/>
        </w:rPr>
      </w:pPr>
    </w:p>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September 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Sara D.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D.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bullet"/>
      <w:start w:val="1"/>
    </w:lvl>
  </w:abstractNum>
  <w:abstractNum w:abstractNumId="2">
    <w:nsid w:val="5577F8E1"/>
    <w:multiLevelType w:val="hybridMultilevel"/>
    <w:lvl w:ilvl="0">
      <w:lvlJc w:val="left"/>
      <w:lvlText w:val="(%1)"/>
      <w:numFmt w:val="lowerLetter"/>
      <w:start w:val="2"/>
    </w:lvl>
  </w:abstractNum>
  <w:abstractNum w:abstractNumId="3">
    <w:nsid w:val="440BADFC"/>
    <w:multiLevelType w:val="hybridMultilevel"/>
    <w:lvl w:ilvl="0">
      <w:lvlJc w:val="left"/>
      <w:lvlText w:val="3"/>
      <w:numFmt w:val="bullet"/>
      <w:start w:val="1"/>
    </w:lvl>
  </w:abstractNum>
  <w:abstractNum w:abstractNumId="4">
    <w:nsid w:val="5072367"/>
    <w:multiLevelType w:val="hybridMultilevel"/>
    <w:lvl w:ilvl="0">
      <w:lvlJc w:val="left"/>
      <w:lvlText w:val="4"/>
      <w:numFmt w:val="bullet"/>
      <w:start w:val="1"/>
    </w:lvl>
  </w:abstractNum>
  <w:abstractNum w:abstractNumId="5">
    <w:nsid w:val="3804823E"/>
    <w:multiLevelType w:val="hybridMultilevel"/>
    <w:lvl w:ilvl="0">
      <w:lvlJc w:val="left"/>
      <w:lvlText w:val="5"/>
      <w:numFmt w:val="bullet"/>
      <w:start w:val="1"/>
    </w:lvl>
  </w:abstractNum>
  <w:abstractNum w:abstractNumId="6">
    <w:nsid w:val="77465F01"/>
    <w:multiLevelType w:val="hybridMultilevel"/>
    <w:lvl w:ilvl="0">
      <w:lvlJc w:val="left"/>
      <w:lvlText w:val="6"/>
      <w:numFmt w:val="bullet"/>
      <w:start w:val="1"/>
    </w:lvl>
  </w:abstractNum>
  <w:abstractNum w:abstractNumId="7">
    <w:nsid w:val="7724C67E"/>
    <w:multiLevelType w:val="hybridMultilevel"/>
    <w:lvl w:ilvl="0">
      <w:lvlJc w:val="left"/>
      <w:lvlText w:val="%1"/>
      <w:numFmt w:val="decimal"/>
      <w:start w:val="11"/>
    </w:lvl>
  </w:abstractNum>
  <w:abstractNum w:abstractNumId="8">
    <w:nsid w:val="5C482A97"/>
    <w:multiLevelType w:val="hybridMultilevel"/>
    <w:lvl w:ilvl="0">
      <w:lvlJc w:val="left"/>
      <w:lvlText w:val="(%1)"/>
      <w:numFmt w:val="lowerRoman"/>
      <w:start w:val="1"/>
    </w:lvl>
  </w:abstractNum>
  <w:abstractNum w:abstractNumId="9">
    <w:nsid w:val="2463B9EA"/>
    <w:multiLevelType w:val="hybridMultilevel"/>
    <w:lvl w:ilvl="0">
      <w:lvlJc w:val="left"/>
      <w:lvlText w:val="(%1)"/>
      <w:numFmt w:val="lowerRoman"/>
      <w:start w:val="10"/>
    </w:lvl>
  </w:abstractNum>
  <w:abstractNum w:abstractNumId="10">
    <w:nsid w:val="5E884ADC"/>
    <w:multiLevelType w:val="hybridMultilevel"/>
    <w:lvl w:ilvl="0">
      <w:lvlJc w:val="left"/>
      <w:lvlText w:val="\emdash "/>
      <w:numFmt w:val="bullet"/>
      <w:start w:val="1"/>
    </w:lvl>
  </w:abstractNum>
  <w:abstractNum w:abstractNumId="11">
    <w:nsid w:val="51EAD36B"/>
    <w:multiLevelType w:val="hybridMultilevel"/>
    <w:lvl w:ilvl="0">
      <w:lvlJc w:val="left"/>
      <w:lvlText w:val="(%1)"/>
      <w:numFmt w:val="lowerRoman"/>
      <w:start w:val="1"/>
    </w:lvl>
  </w:abstractNum>
  <w:abstractNum w:abstractNumId="12">
    <w:nsid w:val="2D517796"/>
    <w:multiLevelType w:val="hybridMultilevel"/>
    <w:lvl w:ilvl="0">
      <w:lvlJc w:val="left"/>
      <w:lvlText w:val="(%1)"/>
      <w:numFmt w:val="lowerRoman"/>
      <w:start w:val="1"/>
    </w:lvl>
  </w:abstractNum>
  <w:abstractNum w:abstractNumId="13">
    <w:nsid w:val="580BD78F"/>
    <w:multiLevelType w:val="hybridMultilevel"/>
    <w:lvl w:ilvl="0">
      <w:lvlJc w:val="left"/>
      <w:lvlText w:val="(%1)"/>
      <w:numFmt w:val="lowerRoman"/>
      <w:start w:val="1"/>
    </w:lvl>
  </w:abstractNum>
  <w:abstractNum w:abstractNumId="14">
    <w:nsid w:val="153EA438"/>
    <w:multiLevelType w:val="hybridMultilevel"/>
    <w:lvl w:ilvl="0">
      <w:lvlJc w:val="left"/>
      <w:lvlText w:val="(%1)"/>
      <w:numFmt w:val="lowerRoman"/>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lowerLetter"/>
      <w:start w:val="2"/>
    </w:lvl>
  </w:abstractNum>
  <w:abstractNum w:abstractNumId="18">
    <w:nsid w:val="2A487CB0"/>
    <w:multiLevelType w:val="hybridMultilevel"/>
    <w:lvl w:ilvl="0">
      <w:lvlJc w:val="left"/>
      <w:lvlText w:val="(%1)"/>
      <w:numFmt w:val="lowerLetter"/>
      <w:start w:val="3"/>
    </w:lvl>
  </w:abstractNum>
  <w:abstractNum w:abstractNumId="19">
    <w:nsid w:val="1D4ED43B"/>
    <w:multiLevelType w:val="hybridMultilevel"/>
    <w:lvl w:ilvl="0">
      <w:lvlJc w:val="left"/>
      <w:lvlText w:val="%1."/>
      <w:numFmt w:val="decimal"/>
      <w:start w:val="2"/>
    </w:lvl>
  </w:abstractNum>
  <w:abstractNum w:abstractNumId="20">
    <w:nsid w:val="725A06FB"/>
    <w:multiLevelType w:val="hybridMultilevel"/>
    <w:lvl w:ilvl="0">
      <w:lvlJc w:val="left"/>
      <w:lvlText w:val="%1."/>
      <w:numFmt w:val="decimal"/>
      <w:start w:val="3"/>
    </w:lvl>
  </w:abstractNum>
  <w:abstractNum w:abstractNumId="21">
    <w:nsid w:val="2CD89A32"/>
    <w:multiLevelType w:val="hybridMultilevel"/>
    <w:lvl w:ilvl="0">
      <w:lvlJc w:val="left"/>
      <w:lvlText w:val="%1."/>
      <w:numFmt w:val="decimal"/>
      <w:start w:val="4"/>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3"/>
    </w:lvl>
  </w:abstractNum>
  <w:abstractNum w:abstractNumId="24">
    <w:nsid w:val="4B588F54"/>
    <w:multiLevelType w:val="hybridMultilevel"/>
    <w:lvl w:ilvl="0">
      <w:lvlJc w:val="left"/>
      <w:lvlText w:val="%1."/>
      <w:numFmt w:val="decimal"/>
      <w:start w:val="6"/>
    </w:lvl>
  </w:abstractNum>
  <w:abstractNum w:abstractNumId="25">
    <w:nsid w:val="542289EC"/>
    <w:multiLevelType w:val="hybridMultilevel"/>
    <w:lvl w:ilvl="0">
      <w:lvlJc w:val="left"/>
      <w:lvlText w:val="%1"/>
      <w:numFmt w:val="lowerLetter"/>
      <w:start w:val="1"/>
    </w:lvl>
    <w:lvl w:ilvl="1">
      <w:lvlJc w:val="left"/>
      <w:lvlText w:val="%2."/>
      <w:numFmt w:val="decimal"/>
      <w:start w:val="7"/>
    </w:lvl>
  </w:abstractNum>
  <w:abstractNum w:abstractNumId="26">
    <w:nsid w:val="6DE91B18"/>
    <w:multiLevelType w:val="hybridMultilevel"/>
    <w:lvl w:ilvl="0">
      <w:lvlJc w:val="left"/>
      <w:lvlText w:val="(%1)"/>
      <w:numFmt w:val="lowerLetter"/>
      <w:start w:val="61"/>
    </w:lvl>
    <w:lvl w:ilvl="1">
      <w:lvlJc w:val="left"/>
      <w:lvlText w:val="%2"/>
      <w:numFmt w:val="decimal"/>
      <w:start w:val="1"/>
    </w:lvl>
  </w:abstractNum>
  <w:abstractNum w:abstractNumId="27">
    <w:nsid w:val="38437FDB"/>
    <w:multiLevelType w:val="hybridMultilevel"/>
    <w:lvl w:ilvl="0">
      <w:lvlJc w:val="left"/>
      <w:lvlText w:val="(%1)"/>
      <w:numFmt w:val="lowerLetter"/>
      <w:start w:val="3"/>
    </w:lvl>
    <w:lvl w:ilvl="1">
      <w:lvlJc w:val="left"/>
      <w:lvlText w:val="%2"/>
      <w:numFmt w:val="decimal"/>
      <w:start w:val="1"/>
    </w:lvl>
  </w:abstractNum>
  <w:abstractNum w:abstractNumId="28">
    <w:nsid w:val="7644A45C"/>
    <w:multiLevelType w:val="hybridMultilevel"/>
    <w:lvl w:ilvl="0">
      <w:lvlJc w:val="left"/>
      <w:lvlText w:val="(%1)"/>
      <w:numFmt w:val="lowerLetter"/>
      <w:start w:val="5"/>
    </w:lvl>
    <w:lvl w:ilvl="1">
      <w:lvlJc w:val="left"/>
      <w:lvlText w:val="%2"/>
      <w:numFmt w:val="decimal"/>
      <w:start w:val="1"/>
    </w:lvl>
  </w:abstractNum>
  <w:abstractNum w:abstractNumId="29">
    <w:nsid w:val="32FFF902"/>
    <w:multiLevelType w:val="hybridMultilevel"/>
    <w:lvl w:ilvl="0">
      <w:lvlJc w:val="left"/>
      <w:lvlText w:val="%1."/>
      <w:numFmt w:val="decimal"/>
      <w:start w:val="8"/>
    </w:lvl>
  </w:abstractNum>
  <w:abstractNum w:abstractNumId="30">
    <w:nsid w:val="684A481A"/>
    <w:multiLevelType w:val="hybridMultilevel"/>
    <w:lvl w:ilvl="0">
      <w:lvlJc w:val="left"/>
      <w:lvlText w:val="%1."/>
      <w:numFmt w:val="decimal"/>
      <w:start w:val="10"/>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3"/>
    </w:lvl>
  </w:abstractNum>
  <w:abstractNum w:abstractNumId="33">
    <w:nsid w:val="3DC240FB"/>
    <w:multiLevelType w:val="hybridMultilevel"/>
    <w:lvl w:ilvl="0">
      <w:lvlJc w:val="left"/>
      <w:lvlText w:val="%1."/>
      <w:numFmt w:val="decimal"/>
      <w:start w:val="1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4"/>
    </w:lvl>
  </w:abstractNum>
  <w:abstractNum w:abstractNumId="36">
    <w:nsid w:val="75C6C33A"/>
    <w:multiLevelType w:val="hybridMultilevel"/>
    <w:lvl w:ilvl="0">
      <w:lvlJc w:val="left"/>
      <w:lvlText w:val="%1"/>
      <w:numFmt w:val="lowerLetter"/>
      <w:start w:val="1"/>
    </w:lvl>
    <w:lvl w:ilvl="1">
      <w:lvlJc w:val="left"/>
      <w:lvlText w:val="(%2)"/>
      <w:numFmt w:val="lowerLetter"/>
      <w:start w:val="7"/>
    </w:lvl>
  </w:abstractNum>
  <w:abstractNum w:abstractNumId="37">
    <w:nsid w:val="12E685FB"/>
    <w:multiLevelType w:val="hybridMultilevel"/>
    <w:lvl w:ilvl="0">
      <w:lvlJc w:val="left"/>
      <w:lvlText w:val="(%1)"/>
      <w:numFmt w:val="lowerLetter"/>
      <w:start w:val="9"/>
    </w:lvl>
    <w:lvl w:ilvl="1">
      <w:lvlJc w:val="left"/>
      <w:lvlText w:val="%2"/>
      <w:numFmt w:val="lowerLetter"/>
      <w:start w:val="1"/>
    </w:lvl>
  </w:abstractNum>
  <w:abstractNum w:abstractNumId="38">
    <w:nsid w:val="70C6A529"/>
    <w:multiLevelType w:val="hybridMultilevel"/>
    <w:lvl w:ilvl="0">
      <w:lvlJc w:val="left"/>
      <w:lvlText w:val="(%1)"/>
      <w:numFmt w:val="lowerLetter"/>
      <w:start w:val="10"/>
    </w:lvl>
  </w:abstractNum>
  <w:abstractNum w:abstractNumId="39">
    <w:nsid w:val="520EEDD1"/>
    <w:multiLevelType w:val="hybridMultilevel"/>
    <w:lvl w:ilvl="0">
      <w:lvlJc w:val="left"/>
      <w:lvlText w:val="%1."/>
      <w:numFmt w:val="decimal"/>
      <w:start w:val="1"/>
    </w:lvl>
    <w:lvl w:ilvl="1">
      <w:lvlJc w:val="left"/>
      <w:lvlText w:val="·"/>
      <w:numFmt w:val="bullet"/>
      <w:start w:val="1"/>
    </w:lvl>
  </w:abstractNum>
  <w:abstractNum w:abstractNumId="40">
    <w:nsid w:val="374A3FE6"/>
    <w:multiLevelType w:val="hybridMultilevel"/>
    <w:lvl w:ilvl="0">
      <w:lvlJc w:val="left"/>
      <w:lvlText w:val="%1."/>
      <w:numFmt w:val="decimal"/>
      <w:start w:val="1"/>
    </w:lvl>
    <w:lvl w:ilvl="1">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5"/>
    </w:lvl>
  </w:abstractNum>
  <w:abstractNum w:abstractNumId="43">
    <w:nsid w:val="649BB77C"/>
    <w:multiLevelType w:val="hybridMultilevel"/>
    <w:lvl w:ilvl="0">
      <w:lvlJc w:val="left"/>
      <w:lvlText w:val="%1."/>
      <w:numFmt w:val="decimal"/>
      <w:start w:val="7"/>
    </w:lvl>
  </w:abstractNum>
  <w:abstractNum w:abstractNumId="44">
    <w:nsid w:val="275AC794"/>
    <w:multiLevelType w:val="hybridMultilevel"/>
    <w:lvl w:ilvl="0">
      <w:lvlJc w:val="left"/>
      <w:lvlText w:val="%1."/>
      <w:numFmt w:val="decimal"/>
      <w:start w:val="1"/>
    </w:lvl>
    <w:lvl w:ilvl="1">
      <w:lvlJc w:val="left"/>
      <w:lvlText w:val="%2)"/>
      <w:numFmt w:val="lowerLetter"/>
      <w:start w:val="1"/>
    </w:lvl>
  </w:abstractNum>
  <w:abstractNum w:abstractNumId="45">
    <w:nsid w:val="39386575"/>
    <w:multiLevelType w:val="hybridMultilevel"/>
    <w:lvl w:ilvl="0">
      <w:lvlJc w:val="left"/>
      <w:lvlText w:val="%1."/>
      <w:numFmt w:val="decimal"/>
      <w:start w:val="1"/>
    </w:lvl>
    <w:lvl w:ilvl="1">
      <w:lvlJc w:val="left"/>
      <w:lvlText w:val="%2)"/>
      <w:numFmt w:val="lowerLetter"/>
      <w:start w:val="1"/>
    </w:lvl>
  </w:abstractNum>
  <w:abstractNum w:abstractNumId="46">
    <w:nsid w:val="1CF10FD8"/>
    <w:multiLevelType w:val="hybridMultilevel"/>
    <w:lvl w:ilvl="0">
      <w:lvlJc w:val="left"/>
      <w:lvlText w:val="%1."/>
      <w:numFmt w:val="decimal"/>
      <w:start w:val="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decimal"/>
      <w:start w:val="1"/>
    </w:lvl>
    <w:lvl w:ilvl="1">
      <w:lvlJc w:val="left"/>
      <w:lvlText w:val="%2)"/>
      <w:numFmt w:val="lowerLetter"/>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44" Type="http://schemas.openxmlformats.org/officeDocument/2006/relationships/hyperlink" Target="https://www.sec.gov/Archives/edgar/data/72333/000119312518075296/d638354dex101.htm" TargetMode="External"/><Relationship Id="rId45" Type="http://schemas.openxmlformats.org/officeDocument/2006/relationships/hyperlink" Target="http://www.sec.gov/Archives/edgar/data/72333/000007233319000026/jwn-03042019ex101.htm" TargetMode="External"/><Relationship Id="rId46" Type="http://schemas.openxmlformats.org/officeDocument/2006/relationships/hyperlink" Target="http://www.sec.gov/Archives/edgar/data/72333/000007233320000024/jwn-03032020xex101.htm" TargetMode="External"/><Relationship Id="rId47" Type="http://schemas.openxmlformats.org/officeDocument/2006/relationships/hyperlink" Target="http://www.sec.gov/Archives/edgar/data/72333/000007233320000142/jwn-q12020xex105.htm" TargetMode="External"/><Relationship Id="rId48" Type="http://schemas.openxmlformats.org/officeDocument/2006/relationships/hyperlink" Target="http://www.sec.gov/Archives/edgar/data/72333/000007233323000015/jwn-03062023xex101.htm" TargetMode="External"/><Relationship Id="rId49" Type="http://schemas.openxmlformats.org/officeDocument/2006/relationships/hyperlink" Target="https://www.sec.gov/Archives/edgar/data/72333/000007233324000002/jwn-03042024xex101.htm" TargetMode="External"/><Relationship Id="rId50" Type="http://schemas.openxmlformats.org/officeDocument/2006/relationships/hyperlink" Target="http://www.sec.gov/Archives/edgar/data/72333/000007233322000004/jwn-02282022xex102.htm" TargetMode="External"/><Relationship Id="rId51" Type="http://schemas.openxmlformats.org/officeDocument/2006/relationships/hyperlink" Target="http://www.sec.gov/Archives/edgar/data/72333/000007233323000015/jwn-03062023xex102.htm" TargetMode="External"/><Relationship Id="rId52" Type="http://schemas.openxmlformats.org/officeDocument/2006/relationships/hyperlink" Target="https://www.sec.gov/Archives/edgar/data/72333/000007233324000002/jwn-03042024xex102.htm" TargetMode="External"/><Relationship Id="rId53" Type="http://schemas.openxmlformats.org/officeDocument/2006/relationships/hyperlink" Target="http://www.sec.gov/Archives/edgar/data/72333/000119312510079583/ddef14a.htm" TargetMode="External"/><Relationship Id="rId54" Type="http://schemas.openxmlformats.org/officeDocument/2006/relationships/hyperlink" Target="http://www.sec.gov/Archives/edgar/data/72333/000130817913000145/lnordstrom2013_def14a.htm" TargetMode="External"/><Relationship Id="rId55" Type="http://schemas.openxmlformats.org/officeDocument/2006/relationships/hyperlink" Target="http://www.sec.gov/Archives/edgar/data/72333/000119312514082506/d687665dex104.htm" TargetMode="External"/><Relationship Id="rId56" Type="http://schemas.openxmlformats.org/officeDocument/2006/relationships/hyperlink" Target="http://www.sec.gov/Archives/edgar/data/72333/000130817917000102/ljwn2017_def14a.htm" TargetMode="External"/><Relationship Id="rId57" Type="http://schemas.openxmlformats.org/officeDocument/2006/relationships/hyperlink" Target="https://www.sec.gov/Archives/edgar/data/72333/000007233319000098/jwn2019-def14a.htm" TargetMode="External"/><Relationship Id="rId58" Type="http://schemas.openxmlformats.org/officeDocument/2006/relationships/hyperlink" Target="http://www.sec.gov/Archives/edgar/data/72333/000007233320000097/jwn2020-def14a.htm" TargetMode="External"/><Relationship Id="rId59" Type="http://schemas.openxmlformats.org/officeDocument/2006/relationships/hyperlink" Target="http://www.sec.gov/Archives/edgar/data/72333/000121390023033898/def14a0423_nordstrom.htm" TargetMode="External"/><Relationship Id="rId60" Type="http://schemas.openxmlformats.org/officeDocument/2006/relationships/hyperlink" Target="http://www.sec.gov/Archives/edgar/data/72333/000007233319000026/jwn-03042019ex103.htm" TargetMode="External"/><Relationship Id="rId61" Type="http://schemas.openxmlformats.org/officeDocument/2006/relationships/hyperlink" Target="http://www.sec.gov/Archives/edgar/data/72333/000007233320000024/jwn-03032020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2024-09-04T07:08:14Z</dcterms:created>
  <dcterms:modified xsi:type="dcterms:W3CDTF">2024-09-04T07:08:14Z</dcterms:modified>
</cp:coreProperties>
</file>