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3840" w:right="2220" w:hanging="3805"/>
        <w:spacing w:after="0" w:line="333"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October 29, 2016</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60"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November 23, 2016: 173,342,135 shares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29</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4"/>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10"/>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60" w:type="dxa"/>
            <w:vAlign w:val="bottom"/>
            <w:gridSpan w:val="1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Quarter and Nine Months Ended October 29, 2016 and October 31, 2015</w:t>
              </w:r>
            </w:hyperlink>
          </w:p>
        </w:tc>
        <w:tc>
          <w:tcPr>
            <w:tcW w:w="238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520" w:type="dxa"/>
            <w:vAlign w:val="bottom"/>
            <w:tcBorders>
              <w:top w:val="single" w:sz="8" w:color="0000EE"/>
            </w:tcBorders>
          </w:tcPr>
          <w:p>
            <w:pPr>
              <w:spacing w:after="0"/>
              <w:rPr>
                <w:sz w:val="24"/>
                <w:szCs w:val="24"/>
                <w:color w:val="auto"/>
              </w:rPr>
            </w:pPr>
          </w:p>
        </w:tc>
        <w:tc>
          <w:tcPr>
            <w:tcW w:w="23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60" w:type="dxa"/>
            <w:vAlign w:val="bottom"/>
            <w:gridSpan w:val="1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Quarter and Nine Months Ended October 29, 2016 and October 31, 2015</w:t>
              </w:r>
            </w:hyperlink>
          </w:p>
        </w:tc>
        <w:tc>
          <w:tcPr>
            <w:tcW w:w="2380" w:type="dxa"/>
            <w:vAlign w:val="bottom"/>
            <w:gridSpan w:val="2"/>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2280" w:type="dxa"/>
            <w:vAlign w:val="bottom"/>
            <w:tcBorders>
              <w:top w:val="single" w:sz="8" w:color="0000EE"/>
            </w:tcBorders>
            <w:gridSpan w:val="9"/>
          </w:tcPr>
          <w:p>
            <w:pPr>
              <w:spacing w:after="0"/>
              <w:rPr>
                <w:sz w:val="24"/>
                <w:szCs w:val="24"/>
                <w:color w:val="auto"/>
              </w:rPr>
            </w:pPr>
          </w:p>
        </w:tc>
        <w:tc>
          <w:tcPr>
            <w:tcW w:w="23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October 29, 2016, January 30, 2016 and October 31, 2015</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Nine Months Ended October 29, 2016 and October 31, 2015</w:t>
              </w:r>
            </w:hyperlink>
          </w:p>
        </w:tc>
        <w:tc>
          <w:tcPr>
            <w:tcW w:w="3280" w:type="dxa"/>
            <w:vAlign w:val="bottom"/>
            <w:gridSpan w:val="5"/>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600" w:type="dxa"/>
            <w:vAlign w:val="bottom"/>
            <w:tcBorders>
              <w:top w:val="single" w:sz="8" w:color="0000EE"/>
            </w:tcBorders>
            <w:gridSpan w:val="4"/>
          </w:tcPr>
          <w:p>
            <w:pPr>
              <w:spacing w:after="0"/>
              <w:rPr>
                <w:sz w:val="24"/>
                <w:szCs w:val="24"/>
                <w:color w:val="auto"/>
              </w:rPr>
            </w:pPr>
          </w:p>
        </w:tc>
        <w:tc>
          <w:tcPr>
            <w:tcW w:w="3280" w:type="dxa"/>
            <w:vAlign w:val="bottom"/>
            <w:gridSpan w:val="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60" w:type="dxa"/>
            <w:vAlign w:val="bottom"/>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Nine Months Ended October 29, 2016 and October 31, 2015</w:t>
              </w:r>
            </w:hyperlink>
          </w:p>
        </w:tc>
        <w:tc>
          <w:tcPr>
            <w:tcW w:w="3280" w:type="dxa"/>
            <w:vAlign w:val="bottom"/>
            <w:gridSpan w:val="5"/>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0"/>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60" w:type="dxa"/>
            <w:vAlign w:val="bottom"/>
            <w:gridSpan w:val="3"/>
          </w:tcPr>
          <w:p>
            <w:pPr>
              <w:spacing w:after="0"/>
              <w:rPr>
                <w:sz w:val="24"/>
                <w:szCs w:val="24"/>
                <w:color w:val="auto"/>
              </w:rPr>
            </w:pPr>
          </w:p>
        </w:tc>
        <w:tc>
          <w:tcPr>
            <w:tcW w:w="3280" w:type="dxa"/>
            <w:vAlign w:val="bottom"/>
            <w:gridSpan w:val="5"/>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8"/>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6"/>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gridSpan w:val="6"/>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3600" w:type="dxa"/>
            <w:vAlign w:val="bottom"/>
            <w:tcBorders>
              <w:left w:val="single" w:sz="8" w:color="0000EE"/>
            </w:tcBorders>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600" w:type="dxa"/>
            <w:vAlign w:val="bottom"/>
            <w:gridSpan w:val="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6500" w:type="dxa"/>
            <w:vAlign w:val="bottom"/>
            <w:gridSpan w:val="1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3"/>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3740" w:type="dxa"/>
            <w:vAlign w:val="bottom"/>
            <w:gridSpan w:val="10"/>
          </w:tcPr>
          <w:p>
            <w:pPr>
              <w:spacing w:after="0"/>
              <w:rPr>
                <w:sz w:val="24"/>
                <w:szCs w:val="24"/>
                <w:color w:val="auto"/>
              </w:rPr>
            </w:pPr>
          </w:p>
        </w:tc>
        <w:tc>
          <w:tcPr>
            <w:tcW w:w="3600" w:type="dxa"/>
            <w:vAlign w:val="bottom"/>
            <w:gridSpan w:val="7"/>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Signatures</w:t>
              </w:r>
            </w:hyperlink>
          </w:p>
        </w:tc>
        <w:tc>
          <w:tcPr>
            <w:tcW w:w="56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Exhibit Index</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10"/>
          </w:tcPr>
          <w:p>
            <w:pPr>
              <w:ind w:left="140"/>
              <w:spacing w:after="0"/>
              <w:rPr>
                <w:sz w:val="20"/>
                <w:szCs w:val="20"/>
                <w:color w:val="auto"/>
              </w:rPr>
            </w:pPr>
            <w:r>
              <w:rPr>
                <w:rFonts w:ascii="Arial" w:cs="Arial" w:eastAsia="Arial" w:hAnsi="Arial"/>
                <w:sz w:val="18"/>
                <w:szCs w:val="18"/>
                <w:color w:val="auto"/>
              </w:rPr>
              <w:t>2 of 29</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2015</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29, 2016</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$3,472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$10,255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70</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186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291</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3,542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3,328</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10,441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(2,261)</w:t>
            </w:r>
          </w:p>
        </w:tc>
        <w:tc>
          <w:tcPr>
            <w:tcW w:w="1320" w:type="dxa"/>
            <w:vAlign w:val="bottom"/>
          </w:tcPr>
          <w:p>
            <w:pPr>
              <w:jc w:val="right"/>
              <w:spacing w:after="0"/>
              <w:rPr>
                <w:sz w:val="20"/>
                <w:szCs w:val="20"/>
                <w:color w:val="auto"/>
              </w:rPr>
            </w:pPr>
            <w:r>
              <w:rPr>
                <w:rFonts w:ascii="Arial" w:cs="Arial" w:eastAsia="Arial" w:hAnsi="Arial"/>
                <w:sz w:val="16"/>
                <w:szCs w:val="16"/>
                <w:color w:val="auto"/>
              </w:rPr>
              <w:t>(2,142)</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(6,720)</w:t>
            </w:r>
          </w:p>
        </w:tc>
        <w:tc>
          <w:tcPr>
            <w:tcW w:w="1620" w:type="dxa"/>
            <w:vAlign w:val="bottom"/>
          </w:tcPr>
          <w:p>
            <w:pPr>
              <w:jc w:val="right"/>
              <w:spacing w:after="0"/>
              <w:rPr>
                <w:sz w:val="20"/>
                <w:szCs w:val="20"/>
                <w:color w:val="auto"/>
              </w:rPr>
            </w:pPr>
            <w:r>
              <w:rPr>
                <w:rFonts w:ascii="Arial" w:cs="Arial" w:eastAsia="Arial" w:hAnsi="Arial"/>
                <w:sz w:val="16"/>
                <w:szCs w:val="16"/>
                <w:color w:val="auto"/>
              </w:rPr>
              <w:t>(6,468)</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(1,029)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(3,143)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(197)</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(197)</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55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381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(30)</w:t>
            </w: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(90)</w:t>
            </w:r>
          </w:p>
        </w:tc>
        <w:tc>
          <w:tcPr>
            <w:tcW w:w="16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291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(35)</w:t>
            </w:r>
          </w:p>
        </w:tc>
        <w:tc>
          <w:tcPr>
            <w:tcW w:w="13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100" w:type="dxa"/>
            <w:vAlign w:val="bottom"/>
          </w:tcPr>
          <w:p>
            <w:pPr>
              <w:jc w:val="right"/>
              <w:ind w:right="279"/>
              <w:spacing w:after="0"/>
              <w:rPr>
                <w:sz w:val="20"/>
                <w:szCs w:val="20"/>
                <w:color w:val="auto"/>
              </w:rPr>
            </w:pPr>
            <w:r>
              <w:rPr>
                <w:rFonts w:ascii="Arial" w:cs="Arial" w:eastAsia="Arial" w:hAnsi="Arial"/>
                <w:sz w:val="16"/>
                <w:szCs w:val="16"/>
                <w:b w:val="1"/>
                <w:bCs w:val="1"/>
                <w:color w:val="auto"/>
              </w:rPr>
              <w:t>(138)</w:t>
            </w:r>
          </w:p>
        </w:tc>
        <w:tc>
          <w:tcPr>
            <w:tcW w:w="16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earnings</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$153</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per share:</w:t>
            </w:r>
          </w:p>
        </w:tc>
        <w:tc>
          <w:tcPr>
            <w:tcW w:w="2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Basic</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($0.06)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$0.88</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($0.06)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$0.87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outstanding:</w:t>
            </w:r>
          </w:p>
        </w:tc>
        <w:tc>
          <w:tcPr>
            <w:tcW w:w="2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Basic</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173.4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173.3</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189.1</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173.4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175.6</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193.2</w:t>
            </w:r>
          </w:p>
        </w:tc>
      </w:tr>
      <w:tr>
        <w:trPr>
          <w:trHeight w:val="20"/>
        </w:trPr>
        <w:tc>
          <w:tcPr>
            <w:tcW w:w="37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2015</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29, 2016</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$153</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Postretirement plan adjustments, net of tax</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(9)</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(loss) earnings</w:t>
            </w:r>
          </w:p>
        </w:tc>
        <w:tc>
          <w:tcPr>
            <w:tcW w:w="24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($19)</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$162</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29</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October 29, 2016</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30, 2016</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$531</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$595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216</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196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2,411</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1,945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2,402</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Current deferred tax assets, net</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227</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278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1"/>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1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3,385</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3,014</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9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960" w:type="dxa"/>
            <w:vAlign w:val="bottom"/>
          </w:tcPr>
          <w:p>
            <w:pPr>
              <w:ind w:left="40"/>
              <w:spacing w:after="0"/>
              <w:rPr>
                <w:sz w:val="20"/>
                <w:szCs w:val="20"/>
                <w:color w:val="auto"/>
              </w:rPr>
            </w:pPr>
            <w:r>
              <w:rPr>
                <w:rFonts w:ascii="Arial" w:cs="Arial" w:eastAsia="Arial" w:hAnsi="Arial"/>
                <w:sz w:val="16"/>
                <w:szCs w:val="16"/>
                <w:color w:val="auto"/>
                <w:w w:val="96"/>
              </w:rPr>
              <w:t>Land, property and equipment (net of accumulated depreciation of $5,462, $5,108 and</w:t>
            </w:r>
          </w:p>
        </w:tc>
        <w:tc>
          <w:tcPr>
            <w:tcW w:w="19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3,865</w:t>
            </w:r>
          </w:p>
        </w:tc>
        <w:tc>
          <w:tcPr>
            <w:tcW w:w="1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60" w:type="dxa"/>
            <w:vAlign w:val="bottom"/>
          </w:tcPr>
          <w:p>
            <w:pPr>
              <w:ind w:left="280"/>
              <w:spacing w:after="0"/>
              <w:rPr>
                <w:sz w:val="20"/>
                <w:szCs w:val="20"/>
                <w:color w:val="auto"/>
              </w:rPr>
            </w:pPr>
            <w:r>
              <w:rPr>
                <w:rFonts w:ascii="Arial" w:cs="Arial" w:eastAsia="Arial" w:hAnsi="Arial"/>
                <w:sz w:val="16"/>
                <w:szCs w:val="16"/>
                <w:color w:val="auto"/>
              </w:rPr>
              <w:t>$5,020)</w:t>
            </w:r>
          </w:p>
        </w:tc>
        <w:tc>
          <w:tcPr>
            <w:tcW w:w="1900" w:type="dxa"/>
            <w:vAlign w:val="bottom"/>
            <w:vMerge w:val="continue"/>
          </w:tcPr>
          <w:p>
            <w:pPr>
              <w:spacing w:after="0"/>
              <w:rPr>
                <w:sz w:val="17"/>
                <w:szCs w:val="17"/>
                <w:color w:val="auto"/>
              </w:rPr>
            </w:pP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3,735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3,742</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238</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435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478</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514</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$7,966</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$7,698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$8,586</w:t>
            </w:r>
          </w:p>
        </w:tc>
        <w:tc>
          <w:tcPr>
            <w:tcW w:w="0" w:type="dxa"/>
            <w:vAlign w:val="bottom"/>
          </w:tcPr>
          <w:p>
            <w:pPr>
              <w:spacing w:after="0"/>
              <w:rPr>
                <w:sz w:val="1"/>
                <w:szCs w:val="1"/>
                <w:color w:val="auto"/>
              </w:rPr>
            </w:pPr>
          </w:p>
        </w:tc>
      </w:tr>
      <w:tr>
        <w:trPr>
          <w:trHeight w:val="291"/>
        </w:trPr>
        <w:tc>
          <w:tcPr>
            <w:tcW w:w="59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$1,653</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$1,324</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391</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416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1,186</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1,161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11</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3,241</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2,911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297"/>
        </w:trPr>
        <w:tc>
          <w:tcPr>
            <w:tcW w:w="5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2,767</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2,795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Deferred property incentives, net</w:t>
            </w:r>
          </w:p>
        </w:tc>
        <w:tc>
          <w:tcPr>
            <w:tcW w:w="1900" w:type="dxa"/>
            <w:vAlign w:val="bottom"/>
          </w:tcPr>
          <w:p>
            <w:pPr>
              <w:jc w:val="right"/>
              <w:ind w:right="339"/>
              <w:spacing w:after="0"/>
              <w:rPr>
                <w:sz w:val="20"/>
                <w:szCs w:val="20"/>
                <w:color w:val="auto"/>
              </w:rPr>
            </w:pPr>
            <w:r>
              <w:rPr>
                <w:rFonts w:ascii="Arial" w:cs="Arial" w:eastAsia="Arial" w:hAnsi="Arial"/>
                <w:sz w:val="16"/>
                <w:szCs w:val="16"/>
                <w:b w:val="1"/>
                <w:bCs w:val="1"/>
                <w:color w:val="auto"/>
              </w:rPr>
              <w:t>532</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540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566</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581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97"/>
        </w:trPr>
        <w:tc>
          <w:tcPr>
            <w:tcW w:w="5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5)</w:t>
            </w: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960" w:type="dxa"/>
            <w:vAlign w:val="bottom"/>
          </w:tcPr>
          <w:p>
            <w:pPr>
              <w:ind w:left="280"/>
              <w:spacing w:after="0"/>
              <w:rPr>
                <w:sz w:val="20"/>
                <w:szCs w:val="20"/>
                <w:color w:val="auto"/>
              </w:rPr>
            </w:pPr>
            <w:r>
              <w:rPr>
                <w:rFonts w:ascii="Arial" w:cs="Arial" w:eastAsia="Arial" w:hAnsi="Arial"/>
                <w:sz w:val="16"/>
                <w:szCs w:val="16"/>
                <w:color w:val="auto"/>
              </w:rPr>
              <w:t>Common stock, no par value: 1,000 shares authorized; 173.2, 173.5 and 185.4</w:t>
            </w:r>
          </w:p>
        </w:tc>
        <w:tc>
          <w:tcPr>
            <w:tcW w:w="19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2,651</w:t>
            </w:r>
          </w:p>
        </w:tc>
        <w:tc>
          <w:tcPr>
            <w:tcW w:w="1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60" w:type="dxa"/>
            <w:vAlign w:val="bottom"/>
          </w:tcPr>
          <w:p>
            <w:pPr>
              <w:ind w:left="520"/>
              <w:spacing w:after="0"/>
              <w:rPr>
                <w:sz w:val="20"/>
                <w:szCs w:val="20"/>
                <w:color w:val="auto"/>
              </w:rPr>
            </w:pPr>
            <w:r>
              <w:rPr>
                <w:rFonts w:ascii="Arial" w:cs="Arial" w:eastAsia="Arial" w:hAnsi="Arial"/>
                <w:sz w:val="16"/>
                <w:szCs w:val="16"/>
                <w:color w:val="auto"/>
              </w:rPr>
              <w:t>shares issued and outstanding</w:t>
            </w:r>
          </w:p>
        </w:tc>
        <w:tc>
          <w:tcPr>
            <w:tcW w:w="1900" w:type="dxa"/>
            <w:vAlign w:val="bottom"/>
            <w:vMerge w:val="continue"/>
          </w:tcPr>
          <w:p>
            <w:pPr>
              <w:spacing w:after="0"/>
              <w:rPr>
                <w:sz w:val="17"/>
                <w:szCs w:val="17"/>
                <w:color w:val="auto"/>
              </w:rPr>
            </w:pP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2,539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2,519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9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(1,742)</w:t>
            </w:r>
          </w:p>
        </w:tc>
        <w:tc>
          <w:tcPr>
            <w:tcW w:w="1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(1,610)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(49)</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(58)</w:t>
            </w:r>
          </w:p>
        </w:tc>
        <w:tc>
          <w:tcPr>
            <w:tcW w:w="16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860</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871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31"/>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$7,966</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$7,698</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$8,586</w:t>
            </w: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29</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ind w:right="-59"/>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80" w:type="dxa"/>
            <w:vAlign w:val="bottom"/>
          </w:tcPr>
          <w:p>
            <w:pPr>
              <w:jc w:val="right"/>
              <w:ind w:right="53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08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Comprehensive</w:t>
            </w:r>
          </w:p>
        </w:tc>
        <w:tc>
          <w:tcPr>
            <w:tcW w:w="108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6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Loss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173.5</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($1,610)</w:t>
            </w:r>
          </w:p>
        </w:tc>
        <w:tc>
          <w:tcPr>
            <w:tcW w:w="18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($58)</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153</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9</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Dividends ($1.11 per share)</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(192)</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1.4</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0.2</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2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(93)</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October 29, 2016</w:t>
            </w:r>
          </w:p>
        </w:tc>
        <w:tc>
          <w:tcPr>
            <w:tcW w:w="226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173.2</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$2,651</w:t>
            </w:r>
          </w:p>
        </w:tc>
        <w:tc>
          <w:tcPr>
            <w:tcW w:w="17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($1,742)</w:t>
            </w:r>
          </w:p>
        </w:tc>
        <w:tc>
          <w:tcPr>
            <w:tcW w:w="18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($49)</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$860</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649"/>
        </w:trPr>
        <w:tc>
          <w:tcPr>
            <w:tcW w:w="35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Retained</w:t>
            </w: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Earnings</w:t>
            </w: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08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6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Comprehensive</w:t>
            </w:r>
          </w:p>
        </w:tc>
        <w:tc>
          <w:tcPr>
            <w:tcW w:w="108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6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6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880" w:type="dxa"/>
            <w:vAlign w:val="bottom"/>
          </w:tcPr>
          <w:p>
            <w:pPr>
              <w:jc w:val="right"/>
              <w:ind w:right="499"/>
              <w:spacing w:after="0"/>
              <w:rPr>
                <w:sz w:val="20"/>
                <w:szCs w:val="20"/>
                <w:color w:val="auto"/>
              </w:rPr>
            </w:pPr>
            <w:r>
              <w:rPr>
                <w:rFonts w:ascii="Arial" w:cs="Arial" w:eastAsia="Arial" w:hAnsi="Arial"/>
                <w:sz w:val="16"/>
                <w:szCs w:val="16"/>
                <w:b w:val="1"/>
                <w:bCs w:val="1"/>
                <w:color w:val="auto"/>
              </w:rPr>
              <w:t>Loss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31, 2015</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190.1</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$166</w:t>
            </w:r>
          </w:p>
        </w:tc>
        <w:tc>
          <w:tcPr>
            <w:tcW w:w="18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($64)</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420</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Dividends ($1.11 per share)</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(211)</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dividend related to the sale of credit card</w:t>
            </w:r>
          </w:p>
        </w:tc>
        <w:tc>
          <w:tcPr>
            <w:tcW w:w="2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($4.85 per share)</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(905)</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Issuance of common stock for Trunk Club</w:t>
            </w: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acquisition</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0.3</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2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7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60" w:type="dxa"/>
            <w:vAlign w:val="bottom"/>
          </w:tcPr>
          <w:p>
            <w:pPr>
              <w:jc w:val="right"/>
              <w:ind w:right="819"/>
              <w:spacing w:after="0"/>
              <w:rPr>
                <w:sz w:val="20"/>
                <w:szCs w:val="20"/>
                <w:color w:val="auto"/>
              </w:rPr>
            </w:pPr>
            <w:r>
              <w:rPr>
                <w:rFonts w:ascii="Arial" w:cs="Arial" w:eastAsia="Arial" w:hAnsi="Arial"/>
                <w:sz w:val="16"/>
                <w:szCs w:val="16"/>
                <w:color w:val="auto"/>
              </w:rPr>
              <w:t>0.1</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7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2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(7.0)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(517)</w:t>
            </w: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October 31, 2015</w:t>
            </w:r>
          </w:p>
        </w:tc>
        <w:tc>
          <w:tcPr>
            <w:tcW w:w="226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185.4</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$2,519</w:t>
            </w:r>
          </w:p>
        </w:tc>
        <w:tc>
          <w:tcPr>
            <w:tcW w:w="17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($1,047)</w:t>
            </w:r>
          </w:p>
        </w:tc>
        <w:tc>
          <w:tcPr>
            <w:tcW w:w="18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($64)</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$1,408</w:t>
            </w:r>
          </w:p>
        </w:tc>
      </w:tr>
      <w:tr>
        <w:trPr>
          <w:trHeight w:val="33"/>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 of 29</w:t>
      </w:r>
    </w:p>
    <w:p>
      <w:pPr>
        <w:sectPr>
          <w:pgSz w:w="11900" w:h="16838" w:orient="portrait"/>
          <w:cols w:equalWidth="0" w:num="1">
            <w:col w:w="11360"/>
          </w:cols>
          <w:pgMar w:left="240" w:top="118" w:right="2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29, 2016</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$153</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480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impairment</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197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(57)</w:t>
            </w:r>
          </w:p>
        </w:tc>
        <w:tc>
          <w:tcPr>
            <w:tcW w:w="16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68</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(deficiency) benefit from stock-based compensation</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(2)</w:t>
            </w: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Bad debt expense</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Proceeds from sale of credit card receivables originated at Nordstrom</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1,297</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(393)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25</w:t>
            </w:r>
          </w:p>
        </w:tc>
        <w:tc>
          <w:tcPr>
            <w:tcW w:w="16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360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(30)</w:t>
            </w:r>
          </w:p>
        </w:tc>
        <w:tc>
          <w:tcPr>
            <w:tcW w:w="16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54</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1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872</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1,745</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(625)</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credit card receivables originated at third parties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credit card receivables originated at third parties</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47</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(578)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766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(7)</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Defeasance of long-term debt</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cash book overdrafts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(127)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(192)</w:t>
            </w:r>
          </w:p>
        </w:tc>
        <w:tc>
          <w:tcPr>
            <w:tcW w:w="162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(91)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51</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(358)</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r>
      <w:tr>
        <w:trPr>
          <w:trHeight w:val="237"/>
        </w:trPr>
        <w:tc>
          <w:tcPr>
            <w:tcW w:w="766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1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(64)</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595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7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$531</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r>
      <w:tr>
        <w:trPr>
          <w:trHeight w:val="237"/>
        </w:trPr>
        <w:tc>
          <w:tcPr>
            <w:tcW w:w="7660" w:type="dxa"/>
            <w:vAlign w:val="bottom"/>
            <w:tcBorders>
              <w:top w:val="single" w:sz="8" w:color="auto"/>
              <w:bottom w:val="single" w:sz="8" w:color="auto"/>
            </w:tcBorders>
          </w:tcPr>
          <w:p>
            <w:pPr>
              <w:spacing w:after="0"/>
              <w:rPr>
                <w:sz w:val="20"/>
                <w:szCs w:val="20"/>
                <w:color w:val="auto"/>
              </w:rPr>
            </w:pPr>
          </w:p>
        </w:tc>
        <w:tc>
          <w:tcPr>
            <w:tcW w:w="214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net</w:t>
            </w:r>
          </w:p>
        </w:tc>
        <w:tc>
          <w:tcPr>
            <w:tcW w:w="21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$99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140" w:type="dxa"/>
            <w:vAlign w:val="bottom"/>
          </w:tcPr>
          <w:p>
            <w:pPr>
              <w:jc w:val="right"/>
              <w:ind w:right="319"/>
              <w:spacing w:after="0"/>
              <w:rPr>
                <w:sz w:val="20"/>
                <w:szCs w:val="20"/>
                <w:color w:val="auto"/>
              </w:rPr>
            </w:pPr>
            <w:r>
              <w:rPr>
                <w:rFonts w:ascii="Arial" w:cs="Arial" w:eastAsia="Arial" w:hAnsi="Arial"/>
                <w:sz w:val="16"/>
                <w:szCs w:val="16"/>
                <w:b w:val="1"/>
                <w:bCs w:val="1"/>
                <w:color w:val="auto"/>
              </w:rPr>
              <w:t>83</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76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6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bl>
    <w:p>
      <w:pPr>
        <w:sectPr>
          <w:pgSz w:w="11900" w:h="16838"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0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7"/>
        </w:trPr>
        <w:tc>
          <w:tcPr>
            <w:tcW w:w="71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Beneficial interest asset acquired from the sale of credit card receivables</w:t>
            </w:r>
          </w:p>
        </w:tc>
        <w:tc>
          <w:tcPr>
            <w:tcW w:w="3180" w:type="dxa"/>
            <w:vAlign w:val="bottom"/>
            <w:tcBorders>
              <w:bottom w:val="single" w:sz="8" w:color="CCEEFF"/>
            </w:tcBorders>
            <w:shd w:val="clear" w:color="auto" w:fill="CCEEFF"/>
          </w:tcPr>
          <w:p>
            <w:pPr>
              <w:ind w:left="21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Issuance of common stock for Trunk Club acquisition</w:t>
            </w:r>
          </w:p>
        </w:tc>
        <w:tc>
          <w:tcPr>
            <w:tcW w:w="3180" w:type="dxa"/>
            <w:vAlign w:val="bottom"/>
          </w:tcPr>
          <w:p>
            <w:pPr>
              <w:ind w:left="214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29</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2015 Annual Report on Form 10-K (“Annual Report”),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October 29, 2016 and October 31, 2015 are unaudited. The Condensed Consolidated Balance Sheet as of January 30, 2016 has been derived from the audited Consolidated Financial Statements included in our 2015 Annual Report. The interim Condensed Consolidated Financial Statements should be read together with the Consolidated Financial Statements and related footnote disclosures contained in our 2015 Annual Report.</w:t>
      </w:r>
    </w:p>
    <w:p>
      <w:pPr>
        <w:spacing w:after="0" w:line="13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like that of other retailers, is subject to seasonal fluctuations. Due to our Anniversary Sale in July and the holidays in the fourth quarter, our sales are typically higher in the second and fourth quarters than in the first and third quarters of the fiscal year. In 2016, the Anniversary Sale event started one week later in July relative to last year, shifting one week of the event into the third quarter. Results for any quarter are not necessarily indicative of the results that may be achieved for a full 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Prior to the second quarter of 2016, customers who used Nordstrom Visa or Nordstrom credit or debit cards were able to participate in the Nordstrom Rewards program. During the second quarter of 2016, the Nordstrom Rewards program was expanded to enable all customers to earn benefits regardless of how they choose to pay. Customers accumulate points based on their level of spending. Upon reaching a certain points threshold, customers receive Nordstrom Notes, which can be redeemed for any goods or services offered at Nordstrom full-line stores, Nordstrom.com, Nordstrom Rack and Nordstromrack.com/HauteLook. Customers who use Nordstrom private label credit or debit cards or Nordstrom Visa credit cards receive additional benefits, including reimbursements for alterations, shopping and fashion events and early access to the Anniversary Sale.</w:t>
      </w:r>
    </w:p>
    <w:p>
      <w:pPr>
        <w:spacing w:after="0" w:line="1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estimate the net cost of Nordstrom Notes that will be issued and redeemed and record this cost as rewards points are accumulated. These costs, as well as reimbursed alterations, are recorded in cost of sales as we provide customers with products and services for these rewards. Other benefits of the loyalty program, including shopping and fashion events, are recorded in selling, general and administrative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Reclassifications were made to our fiscal 2015 Condensed Consolidated Statements of Earnings and Condensed Consolidated Statement of Cash Flows to conform with current period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was subsequently modified in August 2015 by ASU No. 2015-14,</w:t>
      </w:r>
      <w:r>
        <w:rPr>
          <w:rFonts w:ascii="Arial" w:cs="Arial" w:eastAsia="Arial" w:hAnsi="Arial"/>
          <w:sz w:val="18"/>
          <w:szCs w:val="18"/>
          <w:i w:val="1"/>
          <w:iCs w:val="1"/>
          <w:color w:val="auto"/>
        </w:rPr>
        <w:t xml:space="preserve"> Revenue from Contracts with Customers: Deferral of the Effective Date</w:t>
      </w:r>
      <w:r>
        <w:rPr>
          <w:rFonts w:ascii="Arial" w:cs="Arial" w:eastAsia="Arial" w:hAnsi="Arial"/>
          <w:sz w:val="18"/>
          <w:szCs w:val="18"/>
          <w:color w:val="auto"/>
        </w:rPr>
        <w:t>. The core principle of ASU No. 2014-09 is that companies should recognize revenue when the transfer of promised goods or services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occurs in an amount that reflects what the company expects to receive. It requires additional disclosures to describe the nature, amount, timing and uncertainty of revenue and cash flows from contracts with customers. In 2016, the FASB issued additional ASUs which clarify the implementation guidance on principal versus agent considerations, on identifying performance obligations and licensing and on the revenue recognition criteria. This guidance is effective for us beginning in the first quarter of 2018. We are currently evaluating the impact these provisions will have on our Consolidated Financial Statements.</w:t>
      </w:r>
    </w:p>
    <w:p>
      <w:pPr>
        <w:spacing w:after="0" w:line="1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ASU increases transparency and comparability by recognizing a lessee’s rights and obligations resulting from leases by recording them on the balance sheet as lease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This ASU is effective for us beginning in the first quarter of 2019. Though we are currently evaluating the impact of these provisions, we expect they will have a material impact on our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of 29</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 Improvements to Employee Share-Based Payment Accounting</w:t>
      </w:r>
      <w:r>
        <w:rPr>
          <w:rFonts w:ascii="Arial" w:cs="Arial" w:eastAsia="Arial" w:hAnsi="Arial"/>
          <w:sz w:val="16"/>
          <w:szCs w:val="16"/>
          <w:color w:val="auto"/>
        </w:rPr>
        <w:t>. This ASU impacts several aspects of the accounting for share-based payment transactions, including income tax consequences, classification of awards as either equity or liabilities and classification on the statement of cash flows. This ASU is effective for us beginning in the first quarter of 2017. We have evaluated this ASU and believe the impact to our Consolidated Financial Statements upon adoption will be nominal, however, actual results will be dependent on unpredictable events, including the future price of our common stock, option exercise activity and forfeitures.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CREDIT CARD RECEIVABLE TRANSACTION</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October 1, 2015, we completed the sale of a substantial majority of our U.S. Visa and private label credit card portfolio to TD Bank, N.A. (“TD”) and we entered into a long-term program agreement under which TD is the exclusive issuer of our U.S. consumer credit cards.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close of the credit card receivable transaction, we completed the defeasance of our $325 Series 2011-1 Class A Notes in order to provide the credit card receivables to TD free and clear. At close, we received $2.2 billion in cash consideration reflecting the par value of the receivables sold and incurred $32 in transaction-related expenses during the third quarter of 2015. Pursuant to the agreement, we are obligated to offer and administer our loyalty program and perform other account servicing functions. In return, we receive a portion of the ongoing credit card revenue, net of credit losses, from both the sold and newly generated credit card receivables.</w:t>
      </w:r>
    </w:p>
    <w:p>
      <w:pPr>
        <w:spacing w:after="0" w:line="1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recorded certain assets and liabilities associated with the arrangement. The beneficial interest asset is carried at fair value (see Note 4: Fair Value Measurements) and is amortized over approximately four years based primarily on the payment rate of the associated receivables. The deferred revenue and investment in contract asset are recognized/amortized over seven years on a straight line basis, following the delivery of the contract obligations and expected life of the agreement. We record each of these items in credit card revenue, net in our Condensed Consolidated Statements of Earnings.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480" w:type="dxa"/>
            <w:vAlign w:val="bottom"/>
          </w:tcPr>
          <w:p>
            <w:pPr>
              <w:jc w:val="right"/>
              <w:ind w:right="338"/>
              <w:spacing w:after="0"/>
              <w:rPr>
                <w:sz w:val="20"/>
                <w:szCs w:val="20"/>
                <w:color w:val="auto"/>
              </w:rPr>
            </w:pPr>
            <w:r>
              <w:rPr>
                <w:rFonts w:ascii="Arial" w:cs="Arial" w:eastAsia="Arial" w:hAnsi="Arial"/>
                <w:sz w:val="16"/>
                <w:szCs w:val="16"/>
                <w:b w:val="1"/>
                <w:bCs w:val="1"/>
                <w:color w:val="auto"/>
              </w:rPr>
              <w:t>October 29, 2016</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January 30, 2016</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43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3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438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3480" w:type="dxa"/>
            <w:vAlign w:val="bottom"/>
          </w:tcPr>
          <w:p>
            <w:pPr>
              <w:jc w:val="right"/>
              <w:ind w:right="338"/>
              <w:spacing w:after="0"/>
              <w:rPr>
                <w:sz w:val="20"/>
                <w:szCs w:val="20"/>
                <w:color w:val="auto"/>
              </w:rPr>
            </w:pPr>
            <w:r>
              <w:rPr>
                <w:rFonts w:ascii="Arial" w:cs="Arial" w:eastAsia="Arial" w:hAnsi="Arial"/>
                <w:sz w:val="16"/>
                <w:szCs w:val="16"/>
                <w:b w:val="1"/>
                <w:bCs w:val="1"/>
                <w:color w:val="auto"/>
              </w:rPr>
              <w:t>$26</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$30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3</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1"/>
        </w:trPr>
        <w:tc>
          <w:tcPr>
            <w:tcW w:w="4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secured debt</w:t>
            </w:r>
          </w:p>
        </w:tc>
        <w:tc>
          <w:tcPr>
            <w:tcW w:w="3480" w:type="dxa"/>
            <w:vAlign w:val="bottom"/>
            <w:tcBorders>
              <w:top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29</w:t>
            </w:r>
          </w:p>
        </w:tc>
        <w:tc>
          <w:tcPr>
            <w:tcW w:w="19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35</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43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91"/>
        </w:trPr>
        <w:tc>
          <w:tcPr>
            <w:tcW w:w="438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6"/>
                <w:szCs w:val="16"/>
                <w:b w:val="1"/>
                <w:bCs w:val="1"/>
                <w:color w:val="auto"/>
              </w:rPr>
              <w:t>Unsecured</w:t>
            </w:r>
          </w:p>
        </w:tc>
        <w:tc>
          <w:tcPr>
            <w:tcW w:w="3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of unamortized discount:</w:t>
            </w:r>
          </w:p>
        </w:tc>
        <w:tc>
          <w:tcPr>
            <w:tcW w:w="3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4380" w:type="dxa"/>
            <w:vAlign w:val="bottom"/>
          </w:tcPr>
          <w:p>
            <w:pPr>
              <w:ind w:left="500"/>
              <w:spacing w:after="0"/>
              <w:rPr>
                <w:sz w:val="20"/>
                <w:szCs w:val="20"/>
                <w:color w:val="auto"/>
              </w:rPr>
            </w:pPr>
            <w:r>
              <w:rPr>
                <w:rFonts w:ascii="Arial" w:cs="Arial" w:eastAsia="Arial" w:hAnsi="Arial"/>
                <w:sz w:val="16"/>
                <w:szCs w:val="16"/>
                <w:color w:val="auto"/>
              </w:rPr>
              <w:t>Senior notes, 6.25%, due January 2018</w:t>
            </w:r>
          </w:p>
        </w:tc>
        <w:tc>
          <w:tcPr>
            <w:tcW w:w="3480" w:type="dxa"/>
            <w:vAlign w:val="bottom"/>
          </w:tcPr>
          <w:p>
            <w:pPr>
              <w:jc w:val="right"/>
              <w:ind w:right="338"/>
              <w:spacing w:after="0"/>
              <w:rPr>
                <w:sz w:val="20"/>
                <w:szCs w:val="20"/>
                <w:color w:val="auto"/>
              </w:rPr>
            </w:pPr>
            <w:r>
              <w:rPr>
                <w:rFonts w:ascii="Arial" w:cs="Arial" w:eastAsia="Arial" w:hAnsi="Arial"/>
                <w:sz w:val="16"/>
                <w:szCs w:val="16"/>
                <w:b w:val="1"/>
                <w:bCs w:val="1"/>
                <w:color w:val="auto"/>
              </w:rPr>
              <w:t>650</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649</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649</w:t>
            </w:r>
          </w:p>
        </w:tc>
      </w:tr>
      <w:tr>
        <w:trPr>
          <w:trHeight w:val="33"/>
        </w:trPr>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4.75%, due May 2020</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499</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499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37"/>
        </w:trPr>
        <w:tc>
          <w:tcPr>
            <w:tcW w:w="4380" w:type="dxa"/>
            <w:vAlign w:val="bottom"/>
          </w:tcPr>
          <w:p>
            <w:pPr>
              <w:ind w:left="500"/>
              <w:spacing w:after="0"/>
              <w:rPr>
                <w:sz w:val="20"/>
                <w:szCs w:val="20"/>
                <w:color w:val="auto"/>
              </w:rPr>
            </w:pPr>
            <w:r>
              <w:rPr>
                <w:rFonts w:ascii="Arial" w:cs="Arial" w:eastAsia="Arial" w:hAnsi="Arial"/>
                <w:sz w:val="16"/>
                <w:szCs w:val="16"/>
                <w:color w:val="auto"/>
              </w:rPr>
              <w:t>Senior notes, 4.00%, due October 2021</w:t>
            </w:r>
          </w:p>
        </w:tc>
        <w:tc>
          <w:tcPr>
            <w:tcW w:w="3480" w:type="dxa"/>
            <w:vAlign w:val="bottom"/>
          </w:tcPr>
          <w:p>
            <w:pPr>
              <w:jc w:val="right"/>
              <w:ind w:right="338"/>
              <w:spacing w:after="0"/>
              <w:rPr>
                <w:sz w:val="20"/>
                <w:szCs w:val="20"/>
                <w:color w:val="auto"/>
              </w:rPr>
            </w:pPr>
            <w:r>
              <w:rPr>
                <w:rFonts w:ascii="Arial" w:cs="Arial" w:eastAsia="Arial" w:hAnsi="Arial"/>
                <w:sz w:val="16"/>
                <w:szCs w:val="16"/>
                <w:b w:val="1"/>
                <w:bCs w:val="1"/>
                <w:color w:val="auto"/>
              </w:rPr>
              <w:t>500</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500</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debentures, 6.95%, due March 2028</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300</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300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4380" w:type="dxa"/>
            <w:vAlign w:val="bottom"/>
          </w:tcPr>
          <w:p>
            <w:pPr>
              <w:ind w:left="500"/>
              <w:spacing w:after="0"/>
              <w:rPr>
                <w:sz w:val="20"/>
                <w:szCs w:val="20"/>
                <w:color w:val="auto"/>
              </w:rPr>
            </w:pPr>
            <w:r>
              <w:rPr>
                <w:rFonts w:ascii="Arial" w:cs="Arial" w:eastAsia="Arial" w:hAnsi="Arial"/>
                <w:sz w:val="16"/>
                <w:szCs w:val="16"/>
                <w:color w:val="auto"/>
              </w:rPr>
              <w:t>Senior notes, 7.00%, due January 2038</w:t>
            </w:r>
          </w:p>
        </w:tc>
        <w:tc>
          <w:tcPr>
            <w:tcW w:w="3480" w:type="dxa"/>
            <w:vAlign w:val="bottom"/>
          </w:tcPr>
          <w:p>
            <w:pPr>
              <w:jc w:val="right"/>
              <w:ind w:right="338"/>
              <w:spacing w:after="0"/>
              <w:rPr>
                <w:sz w:val="20"/>
                <w:szCs w:val="20"/>
                <w:color w:val="auto"/>
              </w:rPr>
            </w:pPr>
            <w:r>
              <w:rPr>
                <w:rFonts w:ascii="Arial" w:cs="Arial" w:eastAsia="Arial" w:hAnsi="Arial"/>
                <w:sz w:val="16"/>
                <w:szCs w:val="16"/>
                <w:b w:val="1"/>
                <w:bCs w:val="1"/>
                <w:color w:val="auto"/>
              </w:rPr>
              <w:t>146</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146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43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5.00%, due January 2044</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602</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600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37"/>
        </w:trPr>
        <w:tc>
          <w:tcPr>
            <w:tcW w:w="4380" w:type="dxa"/>
            <w:vAlign w:val="bottom"/>
          </w:tcPr>
          <w:p>
            <w:pPr>
              <w:ind w:left="280"/>
              <w:spacing w:after="0"/>
              <w:rPr>
                <w:sz w:val="20"/>
                <w:szCs w:val="20"/>
                <w:color w:val="auto"/>
              </w:rPr>
            </w:pPr>
            <w:r>
              <w:rPr>
                <w:rFonts w:ascii="Arial" w:cs="Arial" w:eastAsia="Arial" w:hAnsi="Arial"/>
                <w:sz w:val="16"/>
                <w:szCs w:val="16"/>
                <w:color w:val="auto"/>
              </w:rPr>
              <w:t>Other</w:t>
            </w:r>
          </w:p>
        </w:tc>
        <w:tc>
          <w:tcPr>
            <w:tcW w:w="3480" w:type="dxa"/>
            <w:vAlign w:val="bottom"/>
          </w:tcPr>
          <w:p>
            <w:pPr>
              <w:jc w:val="right"/>
              <w:ind w:right="338"/>
              <w:spacing w:after="0"/>
              <w:rPr>
                <w:sz w:val="20"/>
                <w:szCs w:val="20"/>
                <w:color w:val="auto"/>
              </w:rPr>
            </w:pPr>
            <w:r>
              <w:rPr>
                <w:rFonts w:ascii="Arial" w:cs="Arial" w:eastAsia="Arial" w:hAnsi="Arial"/>
                <w:sz w:val="16"/>
                <w:szCs w:val="16"/>
                <w:b w:val="1"/>
                <w:bCs w:val="1"/>
                <w:color w:val="auto"/>
              </w:rPr>
              <w:t>52</w:t>
            </w: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76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33"/>
        </w:trPr>
        <w:tc>
          <w:tcPr>
            <w:tcW w:w="43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unsecured debt</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2,749</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2,770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2,772</w:t>
            </w:r>
          </w:p>
        </w:tc>
      </w:tr>
      <w:tr>
        <w:trPr>
          <w:trHeight w:val="291"/>
        </w:trPr>
        <w:tc>
          <w:tcPr>
            <w:tcW w:w="438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2,778</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2,805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r>
      <w:tr>
        <w:trPr>
          <w:trHeight w:val="237"/>
        </w:trPr>
        <w:tc>
          <w:tcPr>
            <w:tcW w:w="43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3480" w:type="dxa"/>
            <w:vAlign w:val="bottom"/>
          </w:tcPr>
          <w:p>
            <w:pPr>
              <w:jc w:val="right"/>
              <w:ind w:right="278"/>
              <w:spacing w:after="0"/>
              <w:rPr>
                <w:sz w:val="20"/>
                <w:szCs w:val="20"/>
                <w:color w:val="auto"/>
              </w:rPr>
            </w:pPr>
            <w:r>
              <w:rPr>
                <w:rFonts w:ascii="Arial" w:cs="Arial" w:eastAsia="Arial" w:hAnsi="Arial"/>
                <w:sz w:val="16"/>
                <w:szCs w:val="16"/>
                <w:b w:val="1"/>
                <w:bCs w:val="1"/>
                <w:color w:val="auto"/>
              </w:rPr>
              <w:t>(11)</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(10)</w:t>
            </w:r>
          </w:p>
        </w:tc>
        <w:tc>
          <w:tcPr>
            <w:tcW w:w="16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43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3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b w:val="1"/>
                <w:bCs w:val="1"/>
                <w:color w:val="auto"/>
              </w:rPr>
              <w:t>$2,767</w:t>
            </w:r>
          </w:p>
        </w:tc>
        <w:tc>
          <w:tcPr>
            <w:tcW w:w="19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$2,795</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w:t>
            </w:r>
          </w:p>
        </w:tc>
      </w:tr>
      <w:tr>
        <w:trPr>
          <w:trHeight w:val="453"/>
        </w:trPr>
        <w:tc>
          <w:tcPr>
            <w:tcW w:w="438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jc w:val="right"/>
              <w:ind w:right="1818"/>
              <w:spacing w:after="0"/>
              <w:rPr>
                <w:sz w:val="20"/>
                <w:szCs w:val="20"/>
                <w:color w:val="auto"/>
              </w:rPr>
            </w:pPr>
            <w:r>
              <w:rPr>
                <w:rFonts w:ascii="Arial" w:cs="Arial" w:eastAsia="Arial" w:hAnsi="Arial"/>
                <w:sz w:val="18"/>
                <w:szCs w:val="18"/>
                <w:color w:val="auto"/>
              </w:rPr>
              <w:t>8 of 29</w:t>
            </w:r>
          </w:p>
        </w:tc>
        <w:tc>
          <w:tcPr>
            <w:tcW w:w="19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of October 29, 2016, we had total short-term borrowing capacity of $800 under our senior unsecured revolving credit facility (“revolver”) that expires in April 2020, with an option to extend for an additional year.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As of October 29, 2016, we had no issuances outstanding under our commercial paper program and no borrowings outstanding under our revolver.</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less than four times. As of October 29, 2016, we were in compliance with this covenant.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recorded a beneficial interest asset when we completed the sale of a substantial majority of our U.S. Visa and private label credit card portfolio (see Note</w:t>
      </w:r>
    </w:p>
    <w:p>
      <w:pPr>
        <w:spacing w:after="0" w:line="32" w:lineRule="exact"/>
        <w:rPr>
          <w:sz w:val="20"/>
          <w:szCs w:val="20"/>
          <w:color w:val="auto"/>
        </w:rPr>
      </w:pPr>
    </w:p>
    <w:p>
      <w:pPr>
        <w:ind w:right="180" w:firstLine="8"/>
        <w:spacing w:after="0" w:line="295" w:lineRule="auto"/>
        <w:tabs>
          <w:tab w:leader="none" w:pos="185"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Credit Card Receivable Transaction). We determined the fair value of the beneficial interest asset based on a discounted cash flow model using Level 3 inputs of the fair value hierarchy. Inputs and assumptions include the discount rate, payment rate, credit loss rate and revenues and expenses associated with the program agreement. Given our review of market participant capital structures in the banking and credit card industries and our historical and expected portfolio performance, we used the following ranges of input assumptions to determine the fair value as of October 29, 2016 and October 31,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2720" w:type="dxa"/>
            <w:vAlign w:val="bottom"/>
          </w:tcPr>
          <w:p>
            <w:pPr>
              <w:jc w:val="right"/>
              <w:ind w:right="119"/>
              <w:spacing w:after="0"/>
              <w:rPr>
                <w:sz w:val="20"/>
                <w:szCs w:val="20"/>
                <w:color w:val="auto"/>
              </w:rPr>
            </w:pPr>
            <w:r>
              <w:rPr>
                <w:rFonts w:ascii="Arial" w:cs="Arial" w:eastAsia="Arial" w:hAnsi="Arial"/>
                <w:sz w:val="16"/>
                <w:szCs w:val="16"/>
                <w:b w:val="1"/>
                <w:bCs w:val="1"/>
                <w:color w:val="auto"/>
              </w:rPr>
              <w:t>October 29, 2016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right"/>
              <w:ind w:right="119"/>
              <w:spacing w:after="0"/>
              <w:rPr>
                <w:sz w:val="20"/>
                <w:szCs w:val="20"/>
                <w:color w:val="auto"/>
              </w:rPr>
            </w:pPr>
            <w:r>
              <w:rPr>
                <w:rFonts w:ascii="Arial" w:cs="Arial" w:eastAsia="Arial" w:hAnsi="Arial"/>
                <w:sz w:val="16"/>
                <w:szCs w:val="16"/>
                <w:b w:val="1"/>
                <w:bCs w:val="1"/>
                <w:color w:val="auto"/>
              </w:rPr>
              <w:t>October 31, 2015</w:t>
            </w:r>
          </w:p>
        </w:tc>
        <w:tc>
          <w:tcPr>
            <w:tcW w:w="110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3680" w:type="dxa"/>
            <w:vAlign w:val="bottom"/>
          </w:tcPr>
          <w:p>
            <w:pPr>
              <w:spacing w:after="0"/>
              <w:rPr>
                <w:sz w:val="20"/>
                <w:szCs w:val="20"/>
                <w:color w:val="auto"/>
              </w:rPr>
            </w:pPr>
          </w:p>
        </w:tc>
        <w:tc>
          <w:tcPr>
            <w:tcW w:w="2720" w:type="dxa"/>
            <w:vAlign w:val="bottom"/>
          </w:tcPr>
          <w:p>
            <w:pPr>
              <w:jc w:val="right"/>
              <w:ind w:right="959"/>
              <w:spacing w:after="0"/>
              <w:rPr>
                <w:sz w:val="20"/>
                <w:szCs w:val="20"/>
                <w:color w:val="auto"/>
              </w:rPr>
            </w:pPr>
            <w:r>
              <w:rPr>
                <w:rFonts w:ascii="Arial" w:cs="Arial" w:eastAsia="Arial" w:hAnsi="Arial"/>
                <w:sz w:val="16"/>
                <w:szCs w:val="16"/>
                <w:b w:val="1"/>
                <w:bCs w:val="1"/>
                <w:color w:val="auto"/>
              </w:rPr>
              <w:t>Minimum</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Maximum</w:t>
            </w:r>
          </w:p>
        </w:tc>
        <w:tc>
          <w:tcPr>
            <w:tcW w:w="2700" w:type="dxa"/>
            <w:vAlign w:val="bottom"/>
          </w:tcPr>
          <w:p>
            <w:pPr>
              <w:jc w:val="right"/>
              <w:ind w:right="939"/>
              <w:spacing w:after="0"/>
              <w:rPr>
                <w:sz w:val="20"/>
                <w:szCs w:val="20"/>
                <w:color w:val="auto"/>
              </w:rPr>
            </w:pPr>
            <w:r>
              <w:rPr>
                <w:rFonts w:ascii="Arial" w:cs="Arial" w:eastAsia="Arial" w:hAnsi="Arial"/>
                <w:sz w:val="16"/>
                <w:szCs w:val="16"/>
                <w:b w:val="1"/>
                <w:bCs w:val="1"/>
                <w:color w:val="auto"/>
              </w:rPr>
              <w:t>Minimum</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Maximum</w:t>
            </w:r>
          </w:p>
        </w:tc>
      </w:tr>
      <w:tr>
        <w:trPr>
          <w:trHeight w:val="33"/>
        </w:trPr>
        <w:tc>
          <w:tcPr>
            <w:tcW w:w="36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27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12%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Monthly payment rate</w:t>
            </w:r>
          </w:p>
        </w:tc>
        <w:tc>
          <w:tcPr>
            <w:tcW w:w="2720" w:type="dxa"/>
            <w:vAlign w:val="bottom"/>
          </w:tcPr>
          <w:p>
            <w:pPr>
              <w:jc w:val="right"/>
              <w:ind w:right="799"/>
              <w:spacing w:after="0"/>
              <w:rPr>
                <w:sz w:val="20"/>
                <w:szCs w:val="20"/>
                <w:color w:val="auto"/>
              </w:rPr>
            </w:pPr>
            <w:r>
              <w:rPr>
                <w:rFonts w:ascii="Arial" w:cs="Arial" w:eastAsia="Arial" w:hAnsi="Arial"/>
                <w:sz w:val="16"/>
                <w:szCs w:val="16"/>
                <w:b w:val="1"/>
                <w:bCs w:val="1"/>
                <w:color w:val="auto"/>
              </w:rPr>
              <w:t>6%</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2700" w:type="dxa"/>
            <w:vAlign w:val="bottom"/>
          </w:tcPr>
          <w:p>
            <w:pPr>
              <w:jc w:val="right"/>
              <w:ind w:right="799"/>
              <w:spacing w:after="0"/>
              <w:rPr>
                <w:sz w:val="20"/>
                <w:szCs w:val="20"/>
                <w:color w:val="auto"/>
              </w:rPr>
            </w:pPr>
            <w:r>
              <w:rPr>
                <w:rFonts w:ascii="Arial" w:cs="Arial" w:eastAsia="Arial" w:hAnsi="Arial"/>
                <w:sz w:val="16"/>
                <w:szCs w:val="16"/>
                <w:color w:val="auto"/>
              </w:rPr>
              <w:t>6%</w:t>
            </w: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3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credit loss rate</w:t>
            </w:r>
          </w:p>
        </w:tc>
        <w:tc>
          <w:tcPr>
            <w:tcW w:w="27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w w:val="91"/>
              </w:rPr>
              <w:t>Annual revenues as a percent to credit card receivables</w:t>
            </w:r>
          </w:p>
        </w:tc>
        <w:tc>
          <w:tcPr>
            <w:tcW w:w="2720" w:type="dxa"/>
            <w:vAlign w:val="bottom"/>
          </w:tcPr>
          <w:p>
            <w:pPr>
              <w:jc w:val="right"/>
              <w:ind w:right="799"/>
              <w:spacing w:after="0"/>
              <w:rPr>
                <w:sz w:val="20"/>
                <w:szCs w:val="20"/>
                <w:color w:val="auto"/>
              </w:rPr>
            </w:pPr>
            <w:r>
              <w:rPr>
                <w:rFonts w:ascii="Arial" w:cs="Arial" w:eastAsia="Arial" w:hAnsi="Arial"/>
                <w:sz w:val="16"/>
                <w:szCs w:val="16"/>
                <w:b w:val="1"/>
                <w:bCs w:val="1"/>
                <w:color w:val="auto"/>
              </w:rPr>
              <w:t>14%</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0"/>
                <w:szCs w:val="20"/>
                <w:color w:val="auto"/>
              </w:rPr>
            </w:pPr>
          </w:p>
        </w:tc>
        <w:tc>
          <w:tcPr>
            <w:tcW w:w="2700" w:type="dxa"/>
            <w:vAlign w:val="bottom"/>
          </w:tcPr>
          <w:p>
            <w:pPr>
              <w:jc w:val="right"/>
              <w:ind w:right="799"/>
              <w:spacing w:after="0"/>
              <w:rPr>
                <w:sz w:val="20"/>
                <w:szCs w:val="20"/>
                <w:color w:val="auto"/>
              </w:rPr>
            </w:pPr>
            <w:r>
              <w:rPr>
                <w:rFonts w:ascii="Arial" w:cs="Arial" w:eastAsia="Arial" w:hAnsi="Arial"/>
                <w:sz w:val="16"/>
                <w:szCs w:val="16"/>
                <w:color w:val="auto"/>
              </w:rPr>
              <w:t>6%</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3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Annual expenses as a percent to credit card receivables</w:t>
            </w:r>
          </w:p>
        </w:tc>
        <w:tc>
          <w:tcPr>
            <w:tcW w:w="27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368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recognized $5 and $22 of amortization expense for the quarter and nine months ended October 29, 2016 on the beneficial interest asset, which had a fair value of $15 and $37 as of October 29, 2016 and January 30, 2016. Amortization primarily reflects payments received on the receivables sold and is recorded in credit card revenues, net.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accounts payable and certificates of deposit, which approximate fair value due to their short-term nature, and long-term debt.</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3600" w:type="dxa"/>
            <w:vAlign w:val="bottom"/>
          </w:tcPr>
          <w:p>
            <w:pPr>
              <w:jc w:val="right"/>
              <w:ind w:right="299"/>
              <w:spacing w:after="0"/>
              <w:rPr>
                <w:sz w:val="20"/>
                <w:szCs w:val="20"/>
                <w:color w:val="auto"/>
              </w:rPr>
            </w:pPr>
            <w:r>
              <w:rPr>
                <w:rFonts w:ascii="Arial" w:cs="Arial" w:eastAsia="Arial" w:hAnsi="Arial"/>
                <w:sz w:val="16"/>
                <w:szCs w:val="16"/>
                <w:b w:val="1"/>
                <w:bCs w:val="1"/>
                <w:color w:val="auto"/>
              </w:rPr>
              <w:t>October 29, 2016</w:t>
            </w: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30, 2016</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4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6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$2,778</w:t>
            </w:r>
          </w:p>
        </w:tc>
        <w:tc>
          <w:tcPr>
            <w:tcW w:w="19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$2,805</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r>
      <w:tr>
        <w:trPr>
          <w:trHeight w:val="237"/>
        </w:trPr>
        <w:tc>
          <w:tcPr>
            <w:tcW w:w="422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600" w:type="dxa"/>
            <w:vAlign w:val="bottom"/>
          </w:tcPr>
          <w:p>
            <w:pPr>
              <w:jc w:val="right"/>
              <w:ind w:right="299"/>
              <w:spacing w:after="0"/>
              <w:rPr>
                <w:sz w:val="20"/>
                <w:szCs w:val="20"/>
                <w:color w:val="auto"/>
              </w:rPr>
            </w:pPr>
            <w:r>
              <w:rPr>
                <w:rFonts w:ascii="Arial" w:cs="Arial" w:eastAsia="Arial" w:hAnsi="Arial"/>
                <w:sz w:val="16"/>
                <w:szCs w:val="16"/>
                <w:b w:val="1"/>
                <w:bCs w:val="1"/>
                <w:color w:val="auto"/>
              </w:rPr>
              <w:t>3,064</w:t>
            </w:r>
          </w:p>
        </w:tc>
        <w:tc>
          <w:tcPr>
            <w:tcW w:w="1940" w:type="dxa"/>
            <w:vAlign w:val="bottom"/>
          </w:tcPr>
          <w:p>
            <w:pPr>
              <w:jc w:val="right"/>
              <w:ind w:right="279"/>
              <w:spacing w:after="0"/>
              <w:rPr>
                <w:sz w:val="20"/>
                <w:szCs w:val="20"/>
                <w:color w:val="auto"/>
              </w:rPr>
            </w:pPr>
            <w:r>
              <w:rPr>
                <w:rFonts w:ascii="Arial" w:cs="Arial" w:eastAsia="Arial" w:hAnsi="Arial"/>
                <w:sz w:val="16"/>
                <w:szCs w:val="16"/>
                <w:color w:val="auto"/>
              </w:rPr>
              <w:t>3,077</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3,177</w:t>
            </w:r>
          </w:p>
        </w:tc>
      </w:tr>
      <w:tr>
        <w:trPr>
          <w:trHeight w:val="33"/>
        </w:trPr>
        <w:tc>
          <w:tcPr>
            <w:tcW w:w="42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29</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investment in contract asset and long-lived tangible and intangible assets, in connection with periodic evaluations for potential impairment. We estimate the fair value of these assets using primarily unobservable inputs and, as such, these are considered Level 3 fair value measurements.</w:t>
      </w:r>
    </w:p>
    <w:p>
      <w:pPr>
        <w:spacing w:after="0" w:line="13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During the quarter, the long-term operating plan for Trunk Club was updated to reflect current expectations for future growth and profitability which were lower than previous expectations. Due to lowered expectations, we tested Trunk Club goodwill for impairment in the third quarter, one quarter prior to the annual evaluation. Step 1 test results indicated that the estimated fair value of the reporting unit was less than the carrying value.</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our Step 2 analysis, we used a combination of the expected present value of future cash flows (income approach) and comparable public companies (market approach) to determine the fair value of the reporting unit. These approaches use primarily unobservable inputs, including discount, sales growth and profit margin rates, which are considered Level 3 fair value measurements. The fair value analysis took into account recent and expected operating performance as well as the overall decline in the retail industry. Within our Retail Segment, we recognized a goodwill impairment charge of $197, reducing Trunk Club goodwill to $64 as of October 29, 2016 from $261 as of January 30,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impairment charges for the nine months ended October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October 29, 2016, we had approximately $201 of fee interest in land, which is expected to convert to a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 in the 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SHAREHOLDERS’ EQUITY</w:t>
      </w:r>
    </w:p>
    <w:p>
      <w:pPr>
        <w:spacing w:after="0" w:line="27" w:lineRule="exact"/>
        <w:rPr>
          <w:sz w:val="20"/>
          <w:szCs w:val="20"/>
          <w:color w:val="auto"/>
        </w:rPr>
      </w:pPr>
    </w:p>
    <w:p>
      <w:pPr>
        <w:jc w:val="both"/>
        <w:ind w:right="480"/>
        <w:spacing w:after="0" w:line="273" w:lineRule="auto"/>
        <w:rPr>
          <w:sz w:val="20"/>
          <w:szCs w:val="20"/>
          <w:color w:val="auto"/>
        </w:rPr>
      </w:pPr>
      <w:r>
        <w:rPr>
          <w:rFonts w:ascii="Arial" w:cs="Arial" w:eastAsia="Arial" w:hAnsi="Arial"/>
          <w:sz w:val="17"/>
          <w:szCs w:val="17"/>
          <w:color w:val="auto"/>
        </w:rPr>
        <w:t>On October 1, 2015, our Board of Directors authorized a program to repurchase up to $1,000 of our outstanding common stock through March 1, 2017. During the nine months ended October 29, 2016, we repurchased 1.9 shares of our common stock for an aggregate purchase price of $93 and had $718 remaining in share repurchase capacity as of October 29, 2016. The actual number, price, manner and timing of future share repurchases, if any, will be subject to market and economic conditions and applicable Securities and Exchange Commission (“SEC”) rules.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2016, subsequent to quarter end, we declared a quarterly dividend of $0.37 per share, which will be paid on December 13,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 of 29</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2015</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29, 2016</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$9</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10</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25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w:t>
            </w:r>
          </w:p>
        </w:tc>
        <w:tc>
          <w:tcPr>
            <w:tcW w:w="1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480" w:type="dxa"/>
            <w:vAlign w:val="bottom"/>
            <w:tcBorders>
              <w:top w:val="single" w:sz="8" w:color="auto"/>
            </w:tcBorders>
            <w:vMerge w:val="restart"/>
          </w:tcPr>
          <w:p>
            <w:pPr>
              <w:jc w:val="right"/>
              <w:ind w:right="679"/>
              <w:spacing w:after="0"/>
              <w:rPr>
                <w:sz w:val="20"/>
                <w:szCs w:val="20"/>
                <w:color w:val="auto"/>
              </w:rPr>
            </w:pPr>
            <w:r>
              <w:rPr>
                <w:rFonts w:ascii="Arial" w:cs="Arial" w:eastAsia="Arial" w:hAnsi="Arial"/>
                <w:sz w:val="16"/>
                <w:szCs w:val="16"/>
                <w:b w:val="1"/>
                <w:bCs w:val="1"/>
                <w:color w:val="auto"/>
              </w:rPr>
              <w:t>21</w:t>
            </w: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68</w:t>
            </w: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80"/>
              <w:spacing w:after="0"/>
              <w:rPr>
                <w:sz w:val="20"/>
                <w:szCs w:val="20"/>
                <w:color w:val="auto"/>
              </w:rPr>
            </w:pPr>
            <w:r>
              <w:rPr>
                <w:rFonts w:ascii="Arial" w:cs="Arial" w:eastAsia="Arial" w:hAnsi="Arial"/>
                <w:sz w:val="16"/>
                <w:szCs w:val="16"/>
                <w:color w:val="auto"/>
              </w:rPr>
              <w:t>tax benefit</w:t>
            </w:r>
          </w:p>
        </w:tc>
        <w:tc>
          <w:tcPr>
            <w:tcW w:w="2480" w:type="dxa"/>
            <w:vAlign w:val="bottom"/>
            <w:vMerge w:val="continue"/>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4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$46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0" w:type="dxa"/>
            <w:vAlign w:val="bottom"/>
            <w:gridSpan w:val="3"/>
          </w:tcPr>
          <w:p>
            <w:pPr>
              <w:ind w:left="1140"/>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780" w:type="dxa"/>
            <w:vAlign w:val="bottom"/>
            <w:tcBorders>
              <w:bottom w:val="single" w:sz="8" w:color="auto"/>
            </w:tcBorders>
            <w:gridSpan w:val="4"/>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780" w:type="dxa"/>
            <w:vAlign w:val="bottom"/>
            <w:gridSpan w:val="4"/>
          </w:tcPr>
          <w:p>
            <w:pPr>
              <w:ind w:left="1320"/>
              <w:spacing w:after="0"/>
              <w:rPr>
                <w:sz w:val="20"/>
                <w:szCs w:val="20"/>
                <w:color w:val="auto"/>
              </w:rPr>
            </w:pPr>
            <w:r>
              <w:rPr>
                <w:rFonts w:ascii="Arial" w:cs="Arial" w:eastAsia="Arial" w:hAnsi="Arial"/>
                <w:sz w:val="16"/>
                <w:szCs w:val="16"/>
                <w:b w:val="1"/>
                <w:bCs w:val="1"/>
                <w:color w:val="auto"/>
              </w:rPr>
              <w:t>October 29, 2016</w:t>
            </w:r>
          </w:p>
        </w:tc>
        <w:tc>
          <w:tcPr>
            <w:tcW w:w="286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Weighted-average</w:t>
            </w:r>
          </w:p>
        </w:tc>
        <w:tc>
          <w:tcPr>
            <w:tcW w:w="108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grant-date fair value</w:t>
            </w:r>
          </w:p>
        </w:tc>
        <w:tc>
          <w:tcPr>
            <w:tcW w:w="108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per unit</w:t>
            </w: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2.9</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 special dividend adjustment</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N/A</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0.9</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1.9</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0.5</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 units special dividend adjustment</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2800" w:type="dxa"/>
            <w:vAlign w:val="bottom"/>
            <w:gridSpan w:val="3"/>
          </w:tcPr>
          <w:p>
            <w:pPr>
              <w:jc w:val="right"/>
              <w:ind w:right="1100"/>
              <w:spacing w:after="0"/>
              <w:rPr>
                <w:sz w:val="20"/>
                <w:szCs w:val="20"/>
                <w:color w:val="auto"/>
              </w:rPr>
            </w:pPr>
            <w:r>
              <w:rPr>
                <w:rFonts w:ascii="Arial" w:cs="Arial" w:eastAsia="Arial" w:hAnsi="Arial"/>
                <w:sz w:val="16"/>
                <w:szCs w:val="16"/>
                <w:b w:val="1"/>
                <w:bCs w:val="1"/>
                <w:color w:val="auto"/>
              </w:rPr>
              <w:t>N/A</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1</w:t>
            </w:r>
          </w:p>
        </w:tc>
        <w:tc>
          <w:tcPr>
            <w:tcW w:w="19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0.1</w:t>
            </w: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Performance share units granted in 2015 were liability-based awards, therefore the weighted-average grant-date fair value is not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(LOSS)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(loss) 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2015</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29, 2016</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earnings</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$153</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173.4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173.3</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w:t>
            </w:r>
          </w:p>
        </w:tc>
      </w:tr>
      <w:tr>
        <w:trPr>
          <w:trHeight w:val="270"/>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Dilutive effect of stock options and other</w:t>
            </w:r>
            <w:r>
              <w:rPr>
                <w:rFonts w:ascii="Arial" w:cs="Arial" w:eastAsia="Arial" w:hAnsi="Arial"/>
                <w:sz w:val="21"/>
                <w:szCs w:val="21"/>
                <w:color w:val="auto"/>
                <w:vertAlign w:val="superscript"/>
              </w:rPr>
              <w:t>1</w:t>
            </w:r>
          </w:p>
        </w:tc>
        <w:tc>
          <w:tcPr>
            <w:tcW w:w="2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2.3</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173.4</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175.6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193.2</w:t>
            </w:r>
          </w:p>
        </w:tc>
      </w:tr>
      <w:tr>
        <w:trPr>
          <w:trHeight w:val="291"/>
        </w:trPr>
        <w:tc>
          <w:tcPr>
            <w:tcW w:w="378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Earnings per basic share</w:t>
            </w:r>
          </w:p>
        </w:tc>
        <w:tc>
          <w:tcPr>
            <w:tcW w:w="2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($0.06)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$0.88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(Loss) Earnings per diluted share</w:t>
            </w:r>
          </w:p>
        </w:tc>
        <w:tc>
          <w:tcPr>
            <w:tcW w:w="2480" w:type="dxa"/>
            <w:vAlign w:val="bottom"/>
          </w:tcPr>
          <w:p>
            <w:pPr>
              <w:jc w:val="right"/>
              <w:ind w:right="619"/>
              <w:spacing w:after="0"/>
              <w:rPr>
                <w:sz w:val="20"/>
                <w:szCs w:val="20"/>
                <w:color w:val="auto"/>
              </w:rPr>
            </w:pPr>
            <w:r>
              <w:rPr>
                <w:rFonts w:ascii="Arial" w:cs="Arial" w:eastAsia="Arial" w:hAnsi="Arial"/>
                <w:sz w:val="16"/>
                <w:szCs w:val="16"/>
                <w:b w:val="1"/>
                <w:bCs w:val="1"/>
                <w:color w:val="auto"/>
              </w:rPr>
              <w:t>($0.06)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$0.87</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stock options and other</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6.5</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9.0</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1.8</w:t>
            </w:r>
          </w:p>
        </w:tc>
      </w:tr>
    </w:tbl>
    <w:p>
      <w:pPr>
        <w:spacing w:after="0" w:line="28" w:lineRule="exact"/>
        <w:rPr>
          <w:sz w:val="20"/>
          <w:szCs w:val="20"/>
          <w:color w:val="auto"/>
        </w:rPr>
      </w:pPr>
    </w:p>
    <w:p>
      <w:pPr>
        <w:ind w:left="80" w:right="160" w:hanging="72"/>
        <w:spacing w:after="0" w:line="257" w:lineRule="auto"/>
        <w:tabs>
          <w:tab w:leader="none" w:pos="66" w:val="left"/>
        </w:tabs>
        <w:numPr>
          <w:ilvl w:val="0"/>
          <w:numId w:val="5"/>
        </w:numPr>
        <w:rPr>
          <w:rFonts w:ascii="Arial" w:cs="Arial" w:eastAsia="Arial" w:hAnsi="Arial"/>
          <w:sz w:val="9"/>
          <w:szCs w:val="9"/>
          <w:color w:val="auto"/>
        </w:rPr>
      </w:pPr>
      <w:r>
        <w:rPr>
          <w:rFonts w:ascii="Arial" w:cs="Arial" w:eastAsia="Arial" w:hAnsi="Arial"/>
          <w:sz w:val="14"/>
          <w:szCs w:val="14"/>
          <w:color w:val="auto"/>
        </w:rPr>
        <w:t>Due to the anti-dilutive effect resulting from the reported net loss for the quarter ended October 29, 2016, the impact of potentially dilutive securities on the weighted-average shares outstanding has been omitted from the quarterly calculation of loss per diluted share. The impact of these potentially dilutive securities has been included in the calculation of weighted-average shares for the nine months ended 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29</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Retail</w:t>
            </w: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Retail</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Corporate/Other</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Business</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Credit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Ended October 29, 2016</w:t>
            </w:r>
          </w:p>
        </w:tc>
        <w:tc>
          <w:tcPr>
            <w:tcW w:w="1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$3,317</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$155</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$3,472</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$3,472</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70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18</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5</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23</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32</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55</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(30)</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(30)</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18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(25)</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(7)</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32</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5,760</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1,759</w:t>
            </w:r>
          </w:p>
        </w:tc>
        <w:tc>
          <w:tcPr>
            <w:tcW w:w="15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7,519</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447</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7,966</w:t>
            </w:r>
          </w:p>
        </w:tc>
      </w:tr>
      <w:tr>
        <w:trPr>
          <w:trHeight w:val="297"/>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Ended October 31, 2015</w:t>
            </w:r>
          </w:p>
        </w:tc>
        <w:tc>
          <w:tcPr>
            <w:tcW w:w="1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$3,169</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$70</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$3,239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$3,239</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89</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(30)</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148</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155</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(27)</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(27)</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(57)</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121</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4</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6,140</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1,869</w:t>
            </w:r>
          </w:p>
        </w:tc>
        <w:tc>
          <w:tcPr>
            <w:tcW w:w="15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8,009</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577</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8,586</w:t>
            </w:r>
          </w:p>
        </w:tc>
      </w:tr>
      <w:tr>
        <w:trPr>
          <w:trHeight w:val="297"/>
        </w:trPr>
        <w:tc>
          <w:tcPr>
            <w:tcW w:w="4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October 29, 2016</w:t>
            </w:r>
          </w:p>
        </w:tc>
        <w:tc>
          <w:tcPr>
            <w:tcW w:w="1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$10,446</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($191)</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$10,255</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$10,255</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186</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590</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(274)</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316</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65</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381</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(90)</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(90)</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Pr>
          <w:p>
            <w:pPr>
              <w:jc w:val="right"/>
              <w:ind w:right="59"/>
              <w:spacing w:after="0"/>
              <w:rPr>
                <w:sz w:val="20"/>
                <w:szCs w:val="20"/>
                <w:color w:val="auto"/>
              </w:rPr>
            </w:pPr>
            <w:r>
              <w:rPr>
                <w:rFonts w:ascii="Arial" w:cs="Arial" w:eastAsia="Arial" w:hAnsi="Arial"/>
                <w:sz w:val="16"/>
                <w:szCs w:val="16"/>
                <w:b w:val="1"/>
                <w:bCs w:val="1"/>
                <w:color w:val="auto"/>
              </w:rPr>
              <w:t>590</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(364)</w:t>
            </w:r>
          </w:p>
        </w:tc>
        <w:tc>
          <w:tcPr>
            <w:tcW w:w="1540" w:type="dxa"/>
            <w:vAlign w:val="bottom"/>
          </w:tcPr>
          <w:p>
            <w:pPr>
              <w:jc w:val="right"/>
              <w:ind w:right="499"/>
              <w:spacing w:after="0"/>
              <w:rPr>
                <w:sz w:val="20"/>
                <w:szCs w:val="20"/>
                <w:color w:val="auto"/>
              </w:rPr>
            </w:pPr>
            <w:r>
              <w:rPr>
                <w:rFonts w:ascii="Arial" w:cs="Arial" w:eastAsia="Arial" w:hAnsi="Arial"/>
                <w:sz w:val="16"/>
                <w:szCs w:val="16"/>
                <w:b w:val="1"/>
                <w:bCs w:val="1"/>
                <w:color w:val="auto"/>
              </w:rPr>
              <w:t>226</w:t>
            </w: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65</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291</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5,760</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1,759</w:t>
            </w:r>
          </w:p>
        </w:tc>
        <w:tc>
          <w:tcPr>
            <w:tcW w:w="15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7,519</w:t>
            </w:r>
          </w:p>
        </w:tc>
        <w:tc>
          <w:tcPr>
            <w:tcW w:w="154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447</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7,966</w:t>
            </w:r>
          </w:p>
        </w:tc>
      </w:tr>
      <w:tr>
        <w:trPr>
          <w:trHeight w:val="270"/>
        </w:trPr>
        <w:tc>
          <w:tcPr>
            <w:tcW w:w="40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October 31, 2015</w:t>
            </w:r>
          </w:p>
        </w:tc>
        <w:tc>
          <w:tcPr>
            <w:tcW w:w="1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$10,135</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($182)</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$9,953</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$9,953</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291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836</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(227)</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609</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168</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777</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(82)</w:t>
            </w:r>
          </w:p>
        </w:tc>
        <w:tc>
          <w:tcPr>
            <w:tcW w:w="15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(82)</w:t>
            </w:r>
          </w:p>
        </w:tc>
        <w:tc>
          <w:tcPr>
            <w:tcW w:w="15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836</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(309)</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527</w:t>
            </w:r>
          </w:p>
        </w:tc>
        <w:tc>
          <w:tcPr>
            <w:tcW w:w="1540" w:type="dxa"/>
            <w:vAlign w:val="bottom"/>
          </w:tcPr>
          <w:p>
            <w:pPr>
              <w:jc w:val="right"/>
              <w:ind w:right="459"/>
              <w:spacing w:after="0"/>
              <w:rPr>
                <w:sz w:val="20"/>
                <w:szCs w:val="20"/>
                <w:color w:val="auto"/>
              </w:rPr>
            </w:pPr>
            <w:r>
              <w:rPr>
                <w:rFonts w:ascii="Arial" w:cs="Arial" w:eastAsia="Arial" w:hAnsi="Arial"/>
                <w:sz w:val="16"/>
                <w:szCs w:val="16"/>
                <w:color w:val="auto"/>
              </w:rPr>
              <w:t>156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683</w:t>
            </w:r>
          </w:p>
        </w:tc>
      </w:tr>
      <w:tr>
        <w:trPr>
          <w:trHeight w:val="33"/>
        </w:trPr>
        <w:tc>
          <w:tcPr>
            <w:tcW w:w="4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w:t>
            </w:r>
            <w:r>
              <w:rPr>
                <w:rFonts w:ascii="Arial" w:cs="Arial" w:eastAsia="Arial" w:hAnsi="Arial"/>
                <w:sz w:val="21"/>
                <w:szCs w:val="21"/>
                <w:color w:val="auto"/>
                <w:vertAlign w:val="superscript"/>
              </w:rPr>
              <w:t>1</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6,140</w:t>
            </w:r>
          </w:p>
        </w:tc>
        <w:tc>
          <w:tcPr>
            <w:tcW w:w="17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1,869</w:t>
            </w:r>
          </w:p>
        </w:tc>
        <w:tc>
          <w:tcPr>
            <w:tcW w:w="15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8,009</w:t>
            </w:r>
          </w:p>
        </w:tc>
        <w:tc>
          <w:tcPr>
            <w:tcW w:w="15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577</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8,586</w:t>
            </w:r>
          </w:p>
        </w:tc>
      </w:tr>
    </w:tbl>
    <w:p>
      <w:pPr>
        <w:ind w:left="80" w:hanging="72"/>
        <w:spacing w:after="0" w:line="220" w:lineRule="auto"/>
        <w:tabs>
          <w:tab w:leader="none" w:pos="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Assets in Corporate/Other include unallocated assets in corporate headquarters, consisting primarily of cash, land, property and equipment and deferred tax assets.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29</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within our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2015</w:t>
            </w: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29, 2016</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$1,568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$5,128</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497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1,675</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1,518</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2,065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6,803</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6,949</w:t>
            </w:r>
          </w:p>
        </w:tc>
      </w:tr>
      <w:tr>
        <w:trPr>
          <w:trHeight w:val="297"/>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958</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2,777</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159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482</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363</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1,117</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3,259</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2,936</w:t>
            </w:r>
          </w:p>
        </w:tc>
      </w:tr>
      <w:tr>
        <w:trPr>
          <w:trHeight w:val="297"/>
        </w:trPr>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24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135</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384</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color w:val="auto"/>
              </w:rPr>
              <w:t>Total Retail segment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3,317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20"/>
                <w:szCs w:val="20"/>
                <w:color w:val="auto"/>
              </w:rPr>
            </w:pPr>
          </w:p>
        </w:tc>
        <w:tc>
          <w:tcPr>
            <w:tcW w:w="2100" w:type="dxa"/>
            <w:vAlign w:val="bottom"/>
          </w:tcPr>
          <w:p>
            <w:pPr>
              <w:jc w:val="right"/>
              <w:ind w:right="319"/>
              <w:spacing w:after="0"/>
              <w:rPr>
                <w:sz w:val="20"/>
                <w:szCs w:val="20"/>
                <w:color w:val="auto"/>
              </w:rPr>
            </w:pPr>
            <w:r>
              <w:rPr>
                <w:rFonts w:ascii="Arial" w:cs="Arial" w:eastAsia="Arial" w:hAnsi="Arial"/>
                <w:sz w:val="16"/>
                <w:szCs w:val="16"/>
                <w:b w:val="1"/>
                <w:bCs w:val="1"/>
                <w:color w:val="auto"/>
              </w:rPr>
              <w:t>10,446</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10,135</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155</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(191)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24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$3,472</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$3,239</w:t>
            </w:r>
          </w:p>
        </w:tc>
        <w:tc>
          <w:tcPr>
            <w:tcW w:w="1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$10,255</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$9,953</w:t>
            </w:r>
          </w:p>
        </w:tc>
      </w:tr>
    </w:tbl>
    <w:p>
      <w:pPr>
        <w:spacing w:after="0" w:line="28" w:lineRule="exact"/>
        <w:rPr>
          <w:sz w:val="20"/>
          <w:szCs w:val="20"/>
          <w:color w:val="auto"/>
        </w:rPr>
      </w:pP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29</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anticipated financial outlook for the fiscal year ending January 28, 2017, anticipated annual total and comparable sales rates, anticipated new store openings in existing, new and international markets, anticipated Return on Invested Capital and trends in our operations. Such statements are based upon the current beliefs and expectations of the Company’s management and are subject to significant risks and uncertainties.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and effective execution of our ecommerce initiatives and ability to manage the costs and organizational changes associated with this evolving business model,</w:t>
      </w:r>
    </w:p>
    <w:p>
      <w:pPr>
        <w:ind w:left="660" w:right="2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relationships with our employees and to effectively attract, develop and retain our future leaders,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processes and systems, disruptions in our supply chain and our ability to control costs,</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systems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respond to the business environment, fashion trends and consumer preferences, including changing expectations of service and experience in stores and online, and evolve our business model,</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retail industry,</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price, manner and amounts of share repurchases by the Company, if any, or any share issuances by the Company, including issuances associated with option exercises or 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patterns,</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disruptions, or the prospects of these events and the resulting impact on consumer spending patterns,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660" w:right="1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and health care reforms,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debt covenants, availability and cost of credit, changes in our credit rating, changes in interest rates, debt repayment patterns and personal bankruptcies.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2015 Annual Report on Form 10-K could affect our financial results and cause actual results to differ materially from any forward-looking information we may provide. We undertake no obligation to update or revise any forward-looking statements to reflect subsequent events, new information or future circumstances.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 of 29</w:t>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Our third quarter results reflected our team’s substantial progress to align to current business trends and make longer-term changes to our business model. The changes we’ve made in the way we operate to enhance the customer experience and increase our productivity contributed to our strong operating performance. In addition, continued focus on inventory led to a positive spread between sales and inventory growth for the quarter.</w:t>
      </w:r>
    </w:p>
    <w:p>
      <w:pPr>
        <w:spacing w:after="0" w:line="11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third quarter net loss of $10 included a non-cash goodwill impairment charge of $197 related to Trunk Club, which we acquired in August 2014. While this business continues to deliver outsized top-line growth, current expectations for future growth and profitability are lower than initial estimates. To better position Trunk Club’s business, we are making a number of operational changes to improve the customer experience and improve operating results.</w:t>
      </w:r>
    </w:p>
    <w:p>
      <w:pPr>
        <w:spacing w:after="0" w:line="9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net sales in the quarter grew 7.2% and we had positive comparable sales for both full-price and off-price. Total Company comparable sales for the quarter increased 2.4%, which included one week of our Anniversary Sale shifting into the quarter. The combined second and third quarter comparable sales, which removes the impact of the event shift, increased 0.4%, which was generally consistent with our trends over the past year.</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strategy is squarely focused on serving customers on their terms with the high-quality product and service they expect from us. We continue to make progress in the areas of supply chain, marketing and technology that enhance the customer experience and improve our operating performance. This quarter, we have executed on a number of initiatives to better serve customers and drive top-line growth.</w:t>
      </w:r>
    </w:p>
    <w:p>
      <w:pPr>
        <w:spacing w:after="0" w:line="127" w:lineRule="exact"/>
        <w:rPr>
          <w:sz w:val="20"/>
          <w:szCs w:val="20"/>
          <w:color w:val="auto"/>
        </w:rPr>
      </w:pPr>
    </w:p>
    <w:p>
      <w:pPr>
        <w:ind w:left="340" w:right="2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Nordstrom brand, we achieved another milestone related to our Canada expansion with two successful store openings in Toronto, at Eaton Centre and Yorkdale Centre. With Toronto being the fourth largest market in North America, we believe these stores will be among our top volume stores. In the U.S., we had a successful opening of our second store in Austin, Texas, at The Domain.</w:t>
      </w:r>
    </w:p>
    <w:p>
      <w:pPr>
        <w:spacing w:after="0" w:line="19" w:lineRule="exact"/>
        <w:rPr>
          <w:rFonts w:ascii="Arial" w:cs="Arial" w:eastAsia="Arial" w:hAnsi="Arial"/>
          <w:sz w:val="18"/>
          <w:szCs w:val="18"/>
          <w:color w:val="auto"/>
        </w:rPr>
      </w:pPr>
    </w:p>
    <w:p>
      <w:pPr>
        <w:jc w:val="both"/>
        <w:ind w:left="340" w:right="30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Rack business serves as a great way of attracting new customers to Nordstrom. We expanded our reach with 15 new store openings this fall for a total of 215 Racks. These stores are complemented by our online offering at Nordstromrack.com/HauteLook, which is expected to reach over $700 in sales this year.</w:t>
      </w:r>
    </w:p>
    <w:p>
      <w:pPr>
        <w:spacing w:after="0" w:line="19" w:lineRule="exact"/>
        <w:rPr>
          <w:rFonts w:ascii="Arial" w:cs="Arial" w:eastAsia="Arial" w:hAnsi="Arial"/>
          <w:sz w:val="18"/>
          <w:szCs w:val="18"/>
          <w:color w:val="auto"/>
        </w:rPr>
      </w:pPr>
    </w:p>
    <w:p>
      <w:pPr>
        <w:ind w:left="340" w:right="200" w:hanging="332"/>
        <w:spacing w:after="0" w:line="29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curated product assortment is an integral element of our customer strategy and led to the launch of new collaborations with J. Crew and denim brand Good American. Through these and other partnerships, we are able to give our customers compelling product that has limited distribution.</w:t>
      </w:r>
    </w:p>
    <w:p>
      <w:pPr>
        <w:jc w:val="both"/>
        <w:ind w:left="340" w:right="700" w:hanging="332"/>
        <w:spacing w:after="0" w:line="317"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website platform has been upgraded enabling us to accelerate the continuous delivery of new customer-facing features. From a productivity standpoint, we’ve prioritized our investments toward modernizing our infrastructure and implementing the highest value customer experiences.</w:t>
      </w:r>
    </w:p>
    <w:p>
      <w:pPr>
        <w:ind w:left="340" w:right="58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May, we expanded the Nordstrom Rewards loyalty program to enable all customers to earn benefits regardless of how they choose to pay. This represents a meaningful opportunity to directly engage with customers and drives incremental trips and sales. We now have more than 7 million customers in our overall program, up over 40% from a year ago.</w:t>
      </w:r>
    </w:p>
    <w:p>
      <w:pPr>
        <w:spacing w:after="0" w:line="12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customer expectations continue to evolve, it’s even more important for us to focus on how best to serve our customers. This guides us on how we set priorities, allocate resources and accelerate the speed of our execution to ensure that we provide a relevant, best-in-class experience for our customers. We have strong momentum in place and remain committed to continuing our progress to ensure we’re best positioned to achieve profitable growth.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 of 29</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reportable segments are Retail and Credit. We analyze our results of operations through earnings before interest and income taxes for our Retail Business and Credit, while interest expense, income taxes and earnings per share are discussed on a total Company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Business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Retail Business includes our Nordstrom U.S. and Canada full-line stores, Nordstrom.com, Nordstrom Rack stores, Nordstromrack.com/HauteLook, Trunk Club, Jeffrey and our Last Chance clearance stores. For purposes of discussion and analysis of our results of operations of our Retail Business, we combine our Retail segment results with revenues and expenses in the “Corporate/Other” column of Note 9: Segment Reporting in Item 1 (collectively, the “Retail Business”).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16" w:lineRule="exact"/>
        <w:rPr>
          <w:sz w:val="20"/>
          <w:szCs w:val="20"/>
          <w:color w:val="auto"/>
        </w:rPr>
      </w:pPr>
    </w:p>
    <w:p>
      <w:pPr>
        <w:ind w:left="340" w:righ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Comparable Sales – sales from stores that have been open at least one full year at the beginning of the year. Total Company comparable sales include sales from our online channels.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Turnover Rate – annual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Sales Per Square Foot – net sales divided by weighted-average square footage.</w:t>
      </w:r>
    </w:p>
    <w:p>
      <w:pPr>
        <w:spacing w:after="0" w:line="6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4-wall Sales Per Square Foot – sales for Nordstrom U.S. and Canada full-line stores, Nordstrom Rack stores, Trunk Club clubhouses, Jeffrey boutiques and our Last Chance clearance stores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60" w:type="dxa"/>
            <w:vAlign w:val="bottom"/>
            <w:gridSpan w:val="3"/>
          </w:tcPr>
          <w:p>
            <w:pPr>
              <w:jc w:val="center"/>
              <w:ind w:left="939"/>
              <w:spacing w:after="0"/>
              <w:rPr>
                <w:sz w:val="20"/>
                <w:szCs w:val="20"/>
                <w:color w:val="auto"/>
              </w:rPr>
            </w:pPr>
            <w:r>
              <w:rPr>
                <w:rFonts w:ascii="Arial" w:cs="Arial" w:eastAsia="Arial" w:hAnsi="Arial"/>
                <w:sz w:val="16"/>
                <w:szCs w:val="16"/>
                <w:b w:val="1"/>
                <w:bCs w:val="1"/>
                <w:color w:val="auto"/>
                <w:w w:val="95"/>
              </w:rPr>
              <w:t>Quarter Ended</w:t>
            </w: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4860" w:type="dxa"/>
            <w:vAlign w:val="bottom"/>
            <w:tcBorders>
              <w:bottom w:val="single" w:sz="8" w:color="auto"/>
            </w:tcBorders>
            <w:gridSpan w:val="4"/>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4860" w:type="dxa"/>
            <w:vAlign w:val="bottom"/>
            <w:gridSpan w:val="4"/>
          </w:tcPr>
          <w:p>
            <w:pPr>
              <w:ind w:left="1400"/>
              <w:spacing w:after="0"/>
              <w:rPr>
                <w:sz w:val="20"/>
                <w:szCs w:val="20"/>
                <w:color w:val="auto"/>
              </w:rPr>
            </w:pPr>
            <w:r>
              <w:rPr>
                <w:rFonts w:ascii="Arial" w:cs="Arial" w:eastAsia="Arial" w:hAnsi="Arial"/>
                <w:sz w:val="16"/>
                <w:szCs w:val="16"/>
                <w:b w:val="1"/>
                <w:bCs w:val="1"/>
                <w:color w:val="auto"/>
              </w:rPr>
              <w:t>October 29, 2016</w:t>
            </w:r>
          </w:p>
        </w:tc>
        <w:tc>
          <w:tcPr>
            <w:tcW w:w="308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2760" w:type="dxa"/>
            <w:vAlign w:val="bottom"/>
            <w:gridSpan w:val="3"/>
          </w:tcPr>
          <w:p>
            <w:pPr>
              <w:ind w:left="44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10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$3,472</w:t>
            </w:r>
          </w:p>
        </w:tc>
        <w:tc>
          <w:tcPr>
            <w:tcW w:w="18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$3,239</w:t>
            </w:r>
          </w:p>
        </w:tc>
        <w:tc>
          <w:tcPr>
            <w:tcW w:w="18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(2,262)</w:t>
            </w:r>
          </w:p>
        </w:tc>
        <w:tc>
          <w:tcPr>
            <w:tcW w:w="1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10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(2,140)</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1,210</w:t>
            </w:r>
          </w:p>
        </w:tc>
        <w:tc>
          <w:tcPr>
            <w:tcW w:w="1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1,099</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100" w:type="dxa"/>
            <w:vAlign w:val="bottom"/>
          </w:tcPr>
          <w:p>
            <w:pPr>
              <w:jc w:val="right"/>
              <w:ind w:right="379"/>
              <w:spacing w:after="0"/>
              <w:rPr>
                <w:sz w:val="20"/>
                <w:szCs w:val="20"/>
                <w:color w:val="auto"/>
              </w:rPr>
            </w:pPr>
            <w:r>
              <w:rPr>
                <w:rFonts w:ascii="Arial" w:cs="Arial" w:eastAsia="Arial" w:hAnsi="Arial"/>
                <w:sz w:val="16"/>
                <w:szCs w:val="16"/>
                <w:b w:val="1"/>
                <w:bCs w:val="1"/>
                <w:color w:val="auto"/>
              </w:rPr>
              <w:t>(990)</w:t>
            </w:r>
          </w:p>
        </w:tc>
        <w:tc>
          <w:tcPr>
            <w:tcW w:w="1820" w:type="dxa"/>
            <w:vAlign w:val="bottom"/>
          </w:tcPr>
          <w:p>
            <w:pPr>
              <w:jc w:val="right"/>
              <w:ind w:right="79"/>
              <w:spacing w:after="0"/>
              <w:rPr>
                <w:sz w:val="20"/>
                <w:szCs w:val="20"/>
                <w:color w:val="auto"/>
              </w:rPr>
            </w:pPr>
            <w:r>
              <w:rPr>
                <w:rFonts w:ascii="Arial" w:cs="Arial" w:eastAsia="Arial" w:hAnsi="Arial"/>
                <w:sz w:val="16"/>
                <w:szCs w:val="16"/>
                <w:b w:val="1"/>
                <w:bCs w:val="1"/>
                <w:color w:val="auto"/>
              </w:rPr>
              <w:t>(28.5%)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(951)</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(197)</w:t>
            </w: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1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$23</w:t>
            </w:r>
          </w:p>
        </w:tc>
        <w:tc>
          <w:tcPr>
            <w:tcW w:w="1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0.6%</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$148</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3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3"/>
              </w:rPr>
              <w:t>Nine Months Ended</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4860" w:type="dxa"/>
            <w:vAlign w:val="bottom"/>
            <w:tcBorders>
              <w:bottom w:val="single" w:sz="8" w:color="auto"/>
            </w:tcBorders>
            <w:gridSpan w:val="4"/>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tcPr>
          <w:p>
            <w:pPr>
              <w:spacing w:after="0"/>
              <w:rPr>
                <w:sz w:val="20"/>
                <w:szCs w:val="20"/>
                <w:color w:val="auto"/>
              </w:rPr>
            </w:pPr>
          </w:p>
        </w:tc>
        <w:tc>
          <w:tcPr>
            <w:tcW w:w="4860" w:type="dxa"/>
            <w:vAlign w:val="bottom"/>
            <w:gridSpan w:val="4"/>
          </w:tcPr>
          <w:p>
            <w:pPr>
              <w:ind w:left="1400"/>
              <w:spacing w:after="0"/>
              <w:rPr>
                <w:sz w:val="20"/>
                <w:szCs w:val="20"/>
                <w:color w:val="auto"/>
              </w:rPr>
            </w:pPr>
            <w:r>
              <w:rPr>
                <w:rFonts w:ascii="Arial" w:cs="Arial" w:eastAsia="Arial" w:hAnsi="Arial"/>
                <w:sz w:val="16"/>
                <w:szCs w:val="16"/>
                <w:b w:val="1"/>
                <w:bCs w:val="1"/>
                <w:color w:val="auto"/>
              </w:rPr>
              <w:t>October 29, 2016</w:t>
            </w:r>
          </w:p>
        </w:tc>
        <w:tc>
          <w:tcPr>
            <w:tcW w:w="308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2760" w:type="dxa"/>
            <w:vAlign w:val="bottom"/>
            <w:gridSpan w:val="3"/>
          </w:tcPr>
          <w:p>
            <w:pPr>
              <w:ind w:left="440"/>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 of net sales</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10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$10,255</w:t>
            </w:r>
          </w:p>
        </w:tc>
        <w:tc>
          <w:tcPr>
            <w:tcW w:w="18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$9,953</w:t>
            </w:r>
          </w:p>
        </w:tc>
        <w:tc>
          <w:tcPr>
            <w:tcW w:w="18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1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(6,718)</w:t>
            </w:r>
          </w:p>
        </w:tc>
        <w:tc>
          <w:tcPr>
            <w:tcW w:w="1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tcPr>
          <w:p>
            <w:pPr>
              <w:ind w:left="280"/>
              <w:spacing w:after="0"/>
              <w:rPr>
                <w:sz w:val="20"/>
                <w:szCs w:val="20"/>
                <w:color w:val="auto"/>
              </w:rPr>
            </w:pPr>
            <w:r>
              <w:rPr>
                <w:rFonts w:ascii="Arial" w:cs="Arial" w:eastAsia="Arial" w:hAnsi="Arial"/>
                <w:sz w:val="16"/>
                <w:szCs w:val="16"/>
                <w:color w:val="auto"/>
              </w:rPr>
              <w:t>costs</w:t>
            </w:r>
          </w:p>
        </w:tc>
        <w:tc>
          <w:tcPr>
            <w:tcW w:w="210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(6,463)</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33"/>
        </w:trPr>
        <w:tc>
          <w:tcPr>
            <w:tcW w:w="34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3,537</w:t>
            </w:r>
          </w:p>
        </w:tc>
        <w:tc>
          <w:tcPr>
            <w:tcW w:w="1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3,490</w:t>
            </w:r>
          </w:p>
        </w:tc>
        <w:tc>
          <w:tcPr>
            <w:tcW w:w="1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100" w:type="dxa"/>
            <w:vAlign w:val="bottom"/>
          </w:tcPr>
          <w:p>
            <w:pPr>
              <w:jc w:val="right"/>
              <w:ind w:right="379"/>
              <w:spacing w:after="0"/>
              <w:rPr>
                <w:sz w:val="20"/>
                <w:szCs w:val="20"/>
                <w:color w:val="auto"/>
              </w:rPr>
            </w:pPr>
            <w:r>
              <w:rPr>
                <w:rFonts w:ascii="Arial" w:cs="Arial" w:eastAsia="Arial" w:hAnsi="Arial"/>
                <w:sz w:val="16"/>
                <w:szCs w:val="16"/>
                <w:b w:val="1"/>
                <w:bCs w:val="1"/>
                <w:color w:val="auto"/>
              </w:rPr>
              <w:t>(3,024)</w:t>
            </w:r>
          </w:p>
        </w:tc>
        <w:tc>
          <w:tcPr>
            <w:tcW w:w="1820" w:type="dxa"/>
            <w:vAlign w:val="bottom"/>
          </w:tcPr>
          <w:p>
            <w:pPr>
              <w:jc w:val="right"/>
              <w:ind w:right="79"/>
              <w:spacing w:after="0"/>
              <w:rPr>
                <w:sz w:val="20"/>
                <w:szCs w:val="20"/>
                <w:color w:val="auto"/>
              </w:rPr>
            </w:pPr>
            <w:r>
              <w:rPr>
                <w:rFonts w:ascii="Arial" w:cs="Arial" w:eastAsia="Arial" w:hAnsi="Arial"/>
                <w:sz w:val="16"/>
                <w:szCs w:val="16"/>
                <w:b w:val="1"/>
                <w:bCs w:val="1"/>
                <w:color w:val="auto"/>
              </w:rPr>
              <w:t>(29.5%)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color w:val="auto"/>
              </w:rPr>
              <w:t>(2,881)</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34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1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(197)</w:t>
            </w:r>
          </w:p>
        </w:tc>
        <w:tc>
          <w:tcPr>
            <w:tcW w:w="1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1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$316</w:t>
            </w:r>
          </w:p>
        </w:tc>
        <w:tc>
          <w:tcPr>
            <w:tcW w:w="1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3.1%</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$609</w:t>
            </w:r>
          </w:p>
        </w:tc>
        <w:tc>
          <w:tcPr>
            <w:tcW w:w="1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29</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To provide additional transparency into our net sales by channel, we present the following summary of our Retail Business:</w:t>
      </w:r>
    </w:p>
    <w:p>
      <w:pPr>
        <w:sectPr>
          <w:pgSz w:w="11900" w:h="16838" w:orient="portrait"/>
          <w:cols w:equalWidth="0" w:num="1">
            <w:col w:w="11420"/>
          </w:cols>
          <w:pgMar w:left="240" w:top="118" w:right="239" w:bottom="1440" w:gutter="0" w:footer="0" w:header="0"/>
        </w:sectPr>
      </w:pPr>
    </w:p>
    <w:p>
      <w:pPr>
        <w:spacing w:after="0" w:line="150" w:lineRule="exact"/>
        <w:rPr>
          <w:sz w:val="20"/>
          <w:szCs w:val="20"/>
          <w:color w:val="auto"/>
        </w:rPr>
      </w:pPr>
    </w:p>
    <w:p>
      <w:pPr>
        <w:jc w:val="center"/>
        <w:ind w:left="3680"/>
        <w:spacing w:after="0"/>
        <w:rPr>
          <w:sz w:val="20"/>
          <w:szCs w:val="20"/>
          <w:color w:val="auto"/>
        </w:rPr>
      </w:pPr>
      <w:r>
        <w:rPr>
          <w:rFonts w:ascii="Arial" w:cs="Arial" w:eastAsia="Arial" w:hAnsi="Arial"/>
          <w:sz w:val="16"/>
          <w:szCs w:val="16"/>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37465</wp:posOffset>
            </wp:positionV>
            <wp:extent cx="250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80" w:lineRule="exact"/>
        <w:rPr>
          <w:sz w:val="20"/>
          <w:szCs w:val="20"/>
          <w:color w:val="auto"/>
        </w:rPr>
      </w:pPr>
    </w:p>
    <w:p>
      <w:pPr>
        <w:ind w:left="3800"/>
        <w:spacing w:after="0"/>
        <w:tabs>
          <w:tab w:leader="none" w:pos="5820" w:val="left"/>
        </w:tabs>
        <w:rPr>
          <w:sz w:val="20"/>
          <w:szCs w:val="20"/>
          <w:color w:val="auto"/>
        </w:rPr>
      </w:pPr>
      <w:r>
        <w:rPr>
          <w:rFonts w:ascii="Arial" w:cs="Arial" w:eastAsia="Arial" w:hAnsi="Arial"/>
          <w:sz w:val="16"/>
          <w:szCs w:val="16"/>
          <w:b w:val="1"/>
          <w:bCs w:val="1"/>
          <w:color w:val="auto"/>
        </w:rPr>
        <w:t>October 29, 2016</w:t>
      </w:r>
      <w:r>
        <w:rPr>
          <w:sz w:val="20"/>
          <w:szCs w:val="20"/>
          <w:color w:val="auto"/>
        </w:rPr>
        <w:tab/>
      </w:r>
      <w:r>
        <w:rPr>
          <w:rFonts w:ascii="Arial" w:cs="Arial" w:eastAsia="Arial" w:hAnsi="Arial"/>
          <w:sz w:val="14"/>
          <w:szCs w:val="14"/>
          <w:b w:val="1"/>
          <w:bCs w:val="1"/>
          <w:color w:val="auto"/>
        </w:rPr>
        <w:t>October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37465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80"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October 29, 2016</w:t>
      </w:r>
      <w:r>
        <w:rPr>
          <w:sz w:val="20"/>
          <w:szCs w:val="20"/>
          <w:color w:val="auto"/>
        </w:rPr>
        <w:tab/>
      </w:r>
      <w:r>
        <w:rPr>
          <w:rFonts w:ascii="Arial" w:cs="Arial" w:eastAsia="Arial" w:hAnsi="Arial"/>
          <w:sz w:val="14"/>
          <w:szCs w:val="14"/>
          <w:b w:val="1"/>
          <w:bCs w:val="1"/>
          <w:color w:val="auto"/>
        </w:rPr>
        <w:t>October 31, 2015</w:t>
      </w:r>
    </w:p>
    <w:p>
      <w:pPr>
        <w:spacing w:after="0" w:line="100" w:lineRule="exact"/>
        <w:rPr>
          <w:sz w:val="20"/>
          <w:szCs w:val="20"/>
          <w:color w:val="auto"/>
        </w:rPr>
      </w:pPr>
    </w:p>
    <w:p>
      <w:pPr>
        <w:sectPr>
          <w:pgSz w:w="11900" w:h="16838" w:orient="portrait"/>
          <w:cols w:equalWidth="0" w:num="2">
            <w:col w:w="7140" w:space="720"/>
            <w:col w:w="356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Net sales by channel: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2200" w:type="dxa"/>
            <w:vAlign w:val="bottom"/>
          </w:tcPr>
          <w:p>
            <w:pPr>
              <w:jc w:val="right"/>
              <w:ind w:right="819"/>
              <w:spacing w:after="0"/>
              <w:rPr>
                <w:sz w:val="20"/>
                <w:szCs w:val="20"/>
                <w:color w:val="auto"/>
              </w:rPr>
            </w:pPr>
            <w:r>
              <w:rPr>
                <w:rFonts w:ascii="Arial" w:cs="Arial" w:eastAsia="Arial" w:hAnsi="Arial"/>
                <w:sz w:val="16"/>
                <w:szCs w:val="16"/>
                <w:b w:val="1"/>
                <w:bCs w:val="1"/>
                <w:color w:val="auto"/>
              </w:rPr>
              <w:t>$1,568</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$1,634</w:t>
            </w:r>
          </w:p>
        </w:tc>
        <w:tc>
          <w:tcPr>
            <w:tcW w:w="2080" w:type="dxa"/>
            <w:vAlign w:val="bottom"/>
          </w:tcPr>
          <w:p>
            <w:pPr>
              <w:jc w:val="right"/>
              <w:ind w:right="839"/>
              <w:spacing w:after="0"/>
              <w:rPr>
                <w:sz w:val="20"/>
                <w:szCs w:val="20"/>
                <w:color w:val="auto"/>
              </w:rPr>
            </w:pPr>
            <w:r>
              <w:rPr>
                <w:rFonts w:ascii="Arial" w:cs="Arial" w:eastAsia="Arial" w:hAnsi="Arial"/>
                <w:sz w:val="16"/>
                <w:szCs w:val="16"/>
                <w:b w:val="1"/>
                <w:bCs w:val="1"/>
                <w:color w:val="auto"/>
              </w:rPr>
              <w:t>$5,128</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$5,431</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497</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414</w:t>
            </w:r>
          </w:p>
        </w:tc>
        <w:tc>
          <w:tcPr>
            <w:tcW w:w="2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1,675</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1,518</w:t>
            </w:r>
          </w:p>
        </w:tc>
      </w:tr>
      <w:tr>
        <w:trPr>
          <w:trHeight w:val="231"/>
        </w:trPr>
        <w:tc>
          <w:tcPr>
            <w:tcW w:w="3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22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2,065</w:t>
            </w:r>
          </w:p>
        </w:tc>
        <w:tc>
          <w:tcPr>
            <w:tcW w:w="1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2,048</w:t>
            </w:r>
          </w:p>
        </w:tc>
        <w:tc>
          <w:tcPr>
            <w:tcW w:w="208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6,803</w:t>
            </w:r>
          </w:p>
        </w:tc>
        <w:tc>
          <w:tcPr>
            <w:tcW w:w="1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6,949</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36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2200" w:type="dxa"/>
            <w:vAlign w:val="bottom"/>
          </w:tcPr>
          <w:p>
            <w:pPr>
              <w:jc w:val="right"/>
              <w:ind w:right="819"/>
              <w:spacing w:after="0"/>
              <w:rPr>
                <w:sz w:val="20"/>
                <w:szCs w:val="20"/>
                <w:color w:val="auto"/>
              </w:rPr>
            </w:pPr>
            <w:r>
              <w:rPr>
                <w:rFonts w:ascii="Arial" w:cs="Arial" w:eastAsia="Arial" w:hAnsi="Arial"/>
                <w:sz w:val="16"/>
                <w:szCs w:val="16"/>
                <w:b w:val="1"/>
                <w:bCs w:val="1"/>
                <w:color w:val="auto"/>
              </w:rPr>
              <w:t>958</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885</w:t>
            </w:r>
          </w:p>
        </w:tc>
        <w:tc>
          <w:tcPr>
            <w:tcW w:w="2080" w:type="dxa"/>
            <w:vAlign w:val="bottom"/>
          </w:tcPr>
          <w:p>
            <w:pPr>
              <w:jc w:val="right"/>
              <w:ind w:right="839"/>
              <w:spacing w:after="0"/>
              <w:rPr>
                <w:sz w:val="20"/>
                <w:szCs w:val="20"/>
                <w:color w:val="auto"/>
              </w:rPr>
            </w:pPr>
            <w:r>
              <w:rPr>
                <w:rFonts w:ascii="Arial" w:cs="Arial" w:eastAsia="Arial" w:hAnsi="Arial"/>
                <w:sz w:val="16"/>
                <w:szCs w:val="16"/>
                <w:b w:val="1"/>
                <w:bCs w:val="1"/>
                <w:color w:val="auto"/>
              </w:rPr>
              <w:t>2,777</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2,573</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2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159</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129</w:t>
            </w:r>
          </w:p>
        </w:tc>
        <w:tc>
          <w:tcPr>
            <w:tcW w:w="2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482</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363</w:t>
            </w:r>
          </w:p>
        </w:tc>
      </w:tr>
      <w:tr>
        <w:trPr>
          <w:trHeight w:val="231"/>
        </w:trPr>
        <w:tc>
          <w:tcPr>
            <w:tcW w:w="36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22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1,117</w:t>
            </w:r>
          </w:p>
        </w:tc>
        <w:tc>
          <w:tcPr>
            <w:tcW w:w="1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1,014</w:t>
            </w:r>
          </w:p>
        </w:tc>
        <w:tc>
          <w:tcPr>
            <w:tcW w:w="208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3,259</w:t>
            </w:r>
          </w:p>
        </w:tc>
        <w:tc>
          <w:tcPr>
            <w:tcW w:w="1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2,936</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68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22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135</w:t>
            </w:r>
          </w:p>
        </w:tc>
        <w:tc>
          <w:tcPr>
            <w:tcW w:w="19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107</w:t>
            </w:r>
          </w:p>
        </w:tc>
        <w:tc>
          <w:tcPr>
            <w:tcW w:w="20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384</w:t>
            </w: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250</w:t>
            </w: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2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3,317</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3,169</w:t>
            </w:r>
          </w:p>
        </w:tc>
        <w:tc>
          <w:tcPr>
            <w:tcW w:w="2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10,446</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10,135</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2200" w:type="dxa"/>
            <w:vAlign w:val="bottom"/>
          </w:tcPr>
          <w:p>
            <w:pPr>
              <w:jc w:val="right"/>
              <w:ind w:right="819"/>
              <w:spacing w:after="0"/>
              <w:rPr>
                <w:sz w:val="20"/>
                <w:szCs w:val="20"/>
                <w:color w:val="auto"/>
              </w:rPr>
            </w:pPr>
            <w:r>
              <w:rPr>
                <w:rFonts w:ascii="Arial" w:cs="Arial" w:eastAsia="Arial" w:hAnsi="Arial"/>
                <w:sz w:val="16"/>
                <w:szCs w:val="16"/>
                <w:b w:val="1"/>
                <w:bCs w:val="1"/>
                <w:color w:val="auto"/>
              </w:rPr>
              <w:t>155</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70</w:t>
            </w:r>
          </w:p>
        </w:tc>
        <w:tc>
          <w:tcPr>
            <w:tcW w:w="2080" w:type="dxa"/>
            <w:vAlign w:val="bottom"/>
          </w:tcPr>
          <w:p>
            <w:pPr>
              <w:jc w:val="right"/>
              <w:ind w:right="779"/>
              <w:spacing w:after="0"/>
              <w:rPr>
                <w:sz w:val="20"/>
                <w:szCs w:val="20"/>
                <w:color w:val="auto"/>
              </w:rPr>
            </w:pPr>
            <w:r>
              <w:rPr>
                <w:rFonts w:ascii="Arial" w:cs="Arial" w:eastAsia="Arial" w:hAnsi="Arial"/>
                <w:sz w:val="16"/>
                <w:szCs w:val="16"/>
                <w:b w:val="1"/>
                <w:bCs w:val="1"/>
                <w:color w:val="auto"/>
              </w:rPr>
              <w:t>(191)</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(182)</w:t>
            </w:r>
          </w:p>
        </w:tc>
      </w:tr>
      <w:tr>
        <w:trPr>
          <w:trHeight w:val="33"/>
        </w:trPr>
        <w:tc>
          <w:tcPr>
            <w:tcW w:w="36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$3,472</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$3,239</w:t>
            </w:r>
          </w:p>
        </w:tc>
        <w:tc>
          <w:tcPr>
            <w:tcW w:w="2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$10,255</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$9,953</w:t>
            </w:r>
          </w:p>
        </w:tc>
      </w:tr>
      <w:tr>
        <w:trPr>
          <w:trHeight w:val="291"/>
        </w:trPr>
        <w:tc>
          <w:tcPr>
            <w:tcW w:w="36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increase</w:t>
            </w:r>
          </w:p>
        </w:tc>
        <w:tc>
          <w:tcPr>
            <w:tcW w:w="22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7.2%</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6.6%</w:t>
            </w:r>
          </w:p>
        </w:tc>
        <w:tc>
          <w:tcPr>
            <w:tcW w:w="20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3.0%</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w:t>
            </w:r>
          </w:p>
        </w:tc>
      </w:tr>
      <w:tr>
        <w:trPr>
          <w:trHeight w:val="297"/>
        </w:trPr>
        <w:tc>
          <w:tcPr>
            <w:tcW w:w="3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3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w:t>
            </w:r>
          </w:p>
        </w:tc>
        <w:tc>
          <w:tcPr>
            <w:tcW w:w="2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3"/>
        </w:trPr>
        <w:tc>
          <w:tcPr>
            <w:tcW w:w="3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channel:</w:t>
            </w:r>
          </w:p>
        </w:tc>
        <w:tc>
          <w:tcPr>
            <w:tcW w:w="22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2200" w:type="dxa"/>
            <w:vAlign w:val="bottom"/>
          </w:tcPr>
          <w:p>
            <w:pPr>
              <w:jc w:val="right"/>
              <w:ind w:right="599"/>
              <w:spacing w:after="0"/>
              <w:rPr>
                <w:sz w:val="20"/>
                <w:szCs w:val="20"/>
                <w:color w:val="auto"/>
              </w:rPr>
            </w:pPr>
            <w:r>
              <w:rPr>
                <w:rFonts w:ascii="Arial" w:cs="Arial" w:eastAsia="Arial" w:hAnsi="Arial"/>
                <w:sz w:val="16"/>
                <w:szCs w:val="16"/>
                <w:b w:val="1"/>
                <w:bCs w:val="1"/>
                <w:color w:val="auto"/>
              </w:rPr>
              <w:t>(4.5%)</w:t>
            </w:r>
          </w:p>
        </w:tc>
        <w:tc>
          <w:tcPr>
            <w:tcW w:w="1980" w:type="dxa"/>
            <w:vAlign w:val="bottom"/>
          </w:tcPr>
          <w:p>
            <w:pPr>
              <w:jc w:val="right"/>
              <w:ind w:right="579"/>
              <w:spacing w:after="0"/>
              <w:rPr>
                <w:sz w:val="20"/>
                <w:szCs w:val="20"/>
                <w:color w:val="auto"/>
              </w:rPr>
            </w:pPr>
            <w:r>
              <w:rPr>
                <w:rFonts w:ascii="Arial" w:cs="Arial" w:eastAsia="Arial" w:hAnsi="Arial"/>
                <w:sz w:val="16"/>
                <w:szCs w:val="16"/>
                <w:color w:val="auto"/>
              </w:rPr>
              <w:t>(2.2%)</w:t>
            </w:r>
          </w:p>
        </w:tc>
        <w:tc>
          <w:tcPr>
            <w:tcW w:w="2080" w:type="dxa"/>
            <w:vAlign w:val="bottom"/>
          </w:tcPr>
          <w:p>
            <w:pPr>
              <w:jc w:val="right"/>
              <w:ind w:right="619"/>
              <w:spacing w:after="0"/>
              <w:rPr>
                <w:sz w:val="20"/>
                <w:szCs w:val="20"/>
                <w:color w:val="auto"/>
              </w:rPr>
            </w:pPr>
            <w:r>
              <w:rPr>
                <w:rFonts w:ascii="Arial" w:cs="Arial" w:eastAsia="Arial" w:hAnsi="Arial"/>
                <w:sz w:val="16"/>
                <w:szCs w:val="16"/>
                <w:b w:val="1"/>
                <w:bCs w:val="1"/>
                <w:color w:val="auto"/>
              </w:rPr>
              <w:t>(6.3%)</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2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20.1%</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11.4%</w:t>
            </w:r>
          </w:p>
        </w:tc>
        <w:tc>
          <w:tcPr>
            <w:tcW w:w="20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10.3%</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17.6%</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200" w:type="dxa"/>
            <w:vAlign w:val="bottom"/>
          </w:tcPr>
          <w:p>
            <w:pPr>
              <w:jc w:val="right"/>
              <w:ind w:right="659"/>
              <w:spacing w:after="0"/>
              <w:rPr>
                <w:sz w:val="20"/>
                <w:szCs w:val="20"/>
                <w:color w:val="auto"/>
              </w:rPr>
            </w:pPr>
            <w:r>
              <w:rPr>
                <w:rFonts w:ascii="Arial" w:cs="Arial" w:eastAsia="Arial" w:hAnsi="Arial"/>
                <w:sz w:val="16"/>
                <w:szCs w:val="16"/>
                <w:b w:val="1"/>
                <w:bCs w:val="1"/>
                <w:color w:val="auto"/>
              </w:rPr>
              <w:t>0.5%</w:t>
            </w:r>
          </w:p>
        </w:tc>
        <w:tc>
          <w:tcPr>
            <w:tcW w:w="1980" w:type="dxa"/>
            <w:vAlign w:val="bottom"/>
          </w:tcPr>
          <w:p>
            <w:pPr>
              <w:jc w:val="right"/>
              <w:ind w:right="619"/>
              <w:spacing w:after="0"/>
              <w:rPr>
                <w:sz w:val="20"/>
                <w:szCs w:val="20"/>
                <w:color w:val="auto"/>
              </w:rPr>
            </w:pPr>
            <w:r>
              <w:rPr>
                <w:rFonts w:ascii="Arial" w:cs="Arial" w:eastAsia="Arial" w:hAnsi="Arial"/>
                <w:sz w:val="16"/>
                <w:szCs w:val="16"/>
                <w:color w:val="auto"/>
              </w:rPr>
              <w:t>0.3%</w:t>
            </w:r>
          </w:p>
        </w:tc>
        <w:tc>
          <w:tcPr>
            <w:tcW w:w="2080" w:type="dxa"/>
            <w:vAlign w:val="bottom"/>
          </w:tcPr>
          <w:p>
            <w:pPr>
              <w:jc w:val="right"/>
              <w:ind w:right="619"/>
              <w:spacing w:after="0"/>
              <w:rPr>
                <w:sz w:val="20"/>
                <w:szCs w:val="20"/>
                <w:color w:val="auto"/>
              </w:rPr>
            </w:pPr>
            <w:r>
              <w:rPr>
                <w:rFonts w:ascii="Arial" w:cs="Arial" w:eastAsia="Arial" w:hAnsi="Arial"/>
                <w:sz w:val="16"/>
                <w:szCs w:val="16"/>
                <w:b w:val="1"/>
                <w:bCs w:val="1"/>
                <w:color w:val="auto"/>
              </w:rPr>
              <w:t>(2.6%)</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3.2%</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2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0.9%</w:t>
            </w:r>
          </w:p>
        </w:tc>
        <w:tc>
          <w:tcPr>
            <w:tcW w:w="19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(2.2%)</w:t>
            </w:r>
          </w:p>
        </w:tc>
        <w:tc>
          <w:tcPr>
            <w:tcW w:w="20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0.4%</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200" w:type="dxa"/>
            <w:vAlign w:val="bottom"/>
          </w:tcPr>
          <w:p>
            <w:pPr>
              <w:jc w:val="right"/>
              <w:ind w:right="659"/>
              <w:spacing w:after="0"/>
              <w:rPr>
                <w:sz w:val="20"/>
                <w:szCs w:val="20"/>
                <w:color w:val="auto"/>
              </w:rPr>
            </w:pPr>
            <w:r>
              <w:rPr>
                <w:rFonts w:ascii="Arial" w:cs="Arial" w:eastAsia="Arial" w:hAnsi="Arial"/>
                <w:sz w:val="16"/>
                <w:szCs w:val="16"/>
                <w:b w:val="1"/>
                <w:bCs w:val="1"/>
                <w:color w:val="auto"/>
              </w:rPr>
              <w:t>23.2%</w:t>
            </w:r>
          </w:p>
        </w:tc>
        <w:tc>
          <w:tcPr>
            <w:tcW w:w="1980" w:type="dxa"/>
            <w:vAlign w:val="bottom"/>
          </w:tcPr>
          <w:p>
            <w:pPr>
              <w:jc w:val="right"/>
              <w:ind w:right="619"/>
              <w:spacing w:after="0"/>
              <w:rPr>
                <w:sz w:val="20"/>
                <w:szCs w:val="20"/>
                <w:color w:val="auto"/>
              </w:rPr>
            </w:pPr>
            <w:r>
              <w:rPr>
                <w:rFonts w:ascii="Arial" w:cs="Arial" w:eastAsia="Arial" w:hAnsi="Arial"/>
                <w:sz w:val="16"/>
                <w:szCs w:val="16"/>
                <w:color w:val="auto"/>
              </w:rPr>
              <w:t>38.8%</w:t>
            </w:r>
          </w:p>
        </w:tc>
        <w:tc>
          <w:tcPr>
            <w:tcW w:w="2080" w:type="dxa"/>
            <w:vAlign w:val="bottom"/>
          </w:tcPr>
          <w:p>
            <w:pPr>
              <w:jc w:val="right"/>
              <w:ind w:right="659"/>
              <w:spacing w:after="0"/>
              <w:rPr>
                <w:sz w:val="20"/>
                <w:szCs w:val="20"/>
                <w:color w:val="auto"/>
              </w:rPr>
            </w:pPr>
            <w:r>
              <w:rPr>
                <w:rFonts w:ascii="Arial" w:cs="Arial" w:eastAsia="Arial" w:hAnsi="Arial"/>
                <w:sz w:val="16"/>
                <w:szCs w:val="16"/>
                <w:b w:val="1"/>
                <w:bCs w:val="1"/>
                <w:color w:val="auto"/>
              </w:rPr>
              <w:t>32.9%</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46.1%</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2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3.9%</w:t>
            </w:r>
          </w:p>
        </w:tc>
        <w:tc>
          <w:tcPr>
            <w:tcW w:w="19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2.4%</w:t>
            </w:r>
          </w:p>
        </w:tc>
        <w:tc>
          <w:tcPr>
            <w:tcW w:w="20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4.6%</w:t>
            </w:r>
          </w:p>
        </w:tc>
        <w:tc>
          <w:tcPr>
            <w:tcW w:w="14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200" w:type="dxa"/>
            <w:vAlign w:val="bottom"/>
          </w:tcPr>
          <w:p>
            <w:pPr>
              <w:jc w:val="right"/>
              <w:ind w:right="659"/>
              <w:spacing w:after="0"/>
              <w:rPr>
                <w:sz w:val="20"/>
                <w:szCs w:val="20"/>
                <w:color w:val="auto"/>
              </w:rPr>
            </w:pPr>
            <w:r>
              <w:rPr>
                <w:rFonts w:ascii="Arial" w:cs="Arial" w:eastAsia="Arial" w:hAnsi="Arial"/>
                <w:sz w:val="16"/>
                <w:szCs w:val="16"/>
                <w:b w:val="1"/>
                <w:bCs w:val="1"/>
                <w:color w:val="auto"/>
              </w:rPr>
              <w:t>2.4%</w:t>
            </w:r>
          </w:p>
        </w:tc>
        <w:tc>
          <w:tcPr>
            <w:tcW w:w="1980" w:type="dxa"/>
            <w:vAlign w:val="bottom"/>
          </w:tcPr>
          <w:p>
            <w:pPr>
              <w:jc w:val="right"/>
              <w:ind w:right="619"/>
              <w:spacing w:after="0"/>
              <w:rPr>
                <w:sz w:val="20"/>
                <w:szCs w:val="20"/>
                <w:color w:val="auto"/>
              </w:rPr>
            </w:pPr>
            <w:r>
              <w:rPr>
                <w:rFonts w:ascii="Arial" w:cs="Arial" w:eastAsia="Arial" w:hAnsi="Arial"/>
                <w:sz w:val="16"/>
                <w:szCs w:val="16"/>
                <w:color w:val="auto"/>
              </w:rPr>
              <w:t>0.9%</w:t>
            </w:r>
          </w:p>
        </w:tc>
        <w:tc>
          <w:tcPr>
            <w:tcW w:w="2080" w:type="dxa"/>
            <w:vAlign w:val="bottom"/>
          </w:tcPr>
          <w:p>
            <w:pPr>
              <w:jc w:val="right"/>
              <w:ind w:right="619"/>
              <w:spacing w:after="0"/>
              <w:rPr>
                <w:sz w:val="20"/>
                <w:szCs w:val="20"/>
                <w:color w:val="auto"/>
              </w:rPr>
            </w:pPr>
            <w:r>
              <w:rPr>
                <w:rFonts w:ascii="Arial" w:cs="Arial" w:eastAsia="Arial" w:hAnsi="Arial"/>
                <w:sz w:val="16"/>
                <w:szCs w:val="16"/>
                <w:b w:val="1"/>
                <w:bCs w:val="1"/>
                <w:color w:val="auto"/>
              </w:rPr>
              <w:t>(0.2%)</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3.5%</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368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2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2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$119</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$116</w:t>
            </w:r>
          </w:p>
        </w:tc>
        <w:tc>
          <w:tcPr>
            <w:tcW w:w="2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$355</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$361</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2200" w:type="dxa"/>
            <w:vAlign w:val="bottom"/>
          </w:tcPr>
          <w:p>
            <w:pPr>
              <w:jc w:val="right"/>
              <w:ind w:right="819"/>
              <w:spacing w:after="0"/>
              <w:rPr>
                <w:sz w:val="20"/>
                <w:szCs w:val="20"/>
                <w:color w:val="auto"/>
              </w:rPr>
            </w:pPr>
            <w:r>
              <w:rPr>
                <w:rFonts w:ascii="Arial" w:cs="Arial" w:eastAsia="Arial" w:hAnsi="Arial"/>
                <w:sz w:val="16"/>
                <w:szCs w:val="16"/>
                <w:b w:val="1"/>
                <w:bCs w:val="1"/>
                <w:color w:val="auto"/>
              </w:rPr>
              <w:t>90</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93</w:t>
            </w:r>
          </w:p>
        </w:tc>
        <w:tc>
          <w:tcPr>
            <w:tcW w:w="2080" w:type="dxa"/>
            <w:vAlign w:val="bottom"/>
          </w:tcPr>
          <w:p>
            <w:pPr>
              <w:jc w:val="right"/>
              <w:ind w:right="839"/>
              <w:spacing w:after="0"/>
              <w:rPr>
                <w:sz w:val="20"/>
                <w:szCs w:val="20"/>
                <w:color w:val="auto"/>
              </w:rPr>
            </w:pPr>
            <w:r>
              <w:rPr>
                <w:rFonts w:ascii="Arial" w:cs="Arial" w:eastAsia="Arial" w:hAnsi="Arial"/>
                <w:sz w:val="16"/>
                <w:szCs w:val="16"/>
                <w:b w:val="1"/>
                <w:bCs w:val="1"/>
                <w:color w:val="auto"/>
              </w:rPr>
              <w:t>283</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296</w:t>
            </w:r>
          </w:p>
        </w:tc>
      </w:tr>
      <w:tr>
        <w:trPr>
          <w:trHeight w:val="33"/>
        </w:trPr>
        <w:tc>
          <w:tcPr>
            <w:tcW w:w="3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22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76</w:t>
            </w:r>
          </w:p>
        </w:tc>
        <w:tc>
          <w:tcPr>
            <w:tcW w:w="19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79</w:t>
            </w:r>
          </w:p>
        </w:tc>
        <w:tc>
          <w:tcPr>
            <w:tcW w:w="208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247</w:t>
            </w:r>
          </w:p>
        </w:tc>
        <w:tc>
          <w:tcPr>
            <w:tcW w:w="1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264</w:t>
            </w: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2200" w:type="dxa"/>
            <w:vAlign w:val="bottom"/>
          </w:tcPr>
          <w:p>
            <w:pPr>
              <w:jc w:val="right"/>
              <w:ind w:right="819"/>
              <w:spacing w:after="0"/>
              <w:rPr>
                <w:sz w:val="20"/>
                <w:szCs w:val="20"/>
                <w:color w:val="auto"/>
              </w:rPr>
            </w:pPr>
            <w:r>
              <w:rPr>
                <w:rFonts w:ascii="Arial" w:cs="Arial" w:eastAsia="Arial" w:hAnsi="Arial"/>
                <w:sz w:val="16"/>
                <w:szCs w:val="16"/>
                <w:b w:val="1"/>
                <w:bCs w:val="1"/>
                <w:color w:val="auto"/>
              </w:rPr>
              <w:t>127</w:t>
            </w:r>
          </w:p>
        </w:tc>
        <w:tc>
          <w:tcPr>
            <w:tcW w:w="1980" w:type="dxa"/>
            <w:vAlign w:val="bottom"/>
          </w:tcPr>
          <w:p>
            <w:pPr>
              <w:jc w:val="right"/>
              <w:ind w:right="759"/>
              <w:spacing w:after="0"/>
              <w:rPr>
                <w:sz w:val="20"/>
                <w:szCs w:val="20"/>
                <w:color w:val="auto"/>
              </w:rPr>
            </w:pPr>
            <w:r>
              <w:rPr>
                <w:rFonts w:ascii="Arial" w:cs="Arial" w:eastAsia="Arial" w:hAnsi="Arial"/>
                <w:sz w:val="16"/>
                <w:szCs w:val="16"/>
                <w:color w:val="auto"/>
              </w:rPr>
              <w:t>130</w:t>
            </w:r>
          </w:p>
        </w:tc>
        <w:tc>
          <w:tcPr>
            <w:tcW w:w="2080" w:type="dxa"/>
            <w:vAlign w:val="bottom"/>
          </w:tcPr>
          <w:p>
            <w:pPr>
              <w:jc w:val="right"/>
              <w:ind w:right="839"/>
              <w:spacing w:after="0"/>
              <w:rPr>
                <w:sz w:val="20"/>
                <w:szCs w:val="20"/>
                <w:color w:val="auto"/>
              </w:rPr>
            </w:pPr>
            <w:r>
              <w:rPr>
                <w:rFonts w:ascii="Arial" w:cs="Arial" w:eastAsia="Arial" w:hAnsi="Arial"/>
                <w:sz w:val="16"/>
                <w:szCs w:val="16"/>
                <w:b w:val="1"/>
                <w:bCs w:val="1"/>
                <w:color w:val="auto"/>
              </w:rPr>
              <w:t>376</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389</w:t>
            </w:r>
          </w:p>
        </w:tc>
      </w:tr>
    </w:tbl>
    <w:p>
      <w:pPr>
        <w:spacing w:after="0" w:line="28"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Total Company net sales increased 7.2% for the quarter and 3.0% for the nine months ended October 29, 2016, compared with the same periods in 2015, while comparable sales increased 2.4% for the quarter and decreased 0.2% for the nine months ended October 29, 2016. Current period results include a favorable comparison resulting from one week of the Anniversary Sale, historically the Company's largest event of the year, shifting into the third quarter. Combined second and third quarter comparable sales, which removes the impact of the event shift, increased 0.4% compared with the same period last year.</w:t>
      </w:r>
    </w:p>
    <w:p>
      <w:pPr>
        <w:spacing w:after="0" w:line="10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Total sales per square foot improved for the quarter ended October 29, 2016, compared with the same period in 2015, due to an increase in sales from our online channels as well as the shift in the Anniversary Sale. Total sales per square foot decreased for the nine months ended October 29, 2016 compared with the same period in 2015, due to store expansion. To date in fiscal 2016, we opened 26 stores, relocated three stores and closed one store.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29</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Full-price net sales, which consists of U.S. full-line and Nordstrom.com channels, increased 0.8% for the quarter and decreased 2.1% for the nine months ended October 29, 2016, compared with the same periods in 2015, while on a comparable basis, sales increased 0.5% in the third quarter and decreased 2.6% for the nine months ended October 29, 2016. Also on a comparable basis for the quarter, full-price experienced an increase in the number of items sold, partially offset by a decrease in the average selling price per item sold. For the nine months ended October 29, 2016, there was a decrease in the number of items sold, partially offset by an increase in the average selling price per item sold.</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Full-price top-performing merchandise categories for the third quarter were Women's Apparel and Men's Apparel. The top-performing merchandise category for the nine months ended October 29, 2016 was Beauty. The West was the top-performing geographic region for the quarter and nine months ended October 29, 2016.</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Off-price net sales, which consists of Nordstrom Rack and Nordstromrack.com/HauteLook channels, increased 10.1% for the quarter and 11.0% for the nine months ended October 29, 2016, compared with the same periods in 2015, while on a comparable basis, sales increased 3.9% in the third quarter and 4.6% for the nine months ended October 29, 2016. Nordstrom Rack net sales increased 8.2% and 7.9% for the quarter and nine months ended October 29, 2016, compared with the same periods in 2015, attributable to 21 new store openings since the end of the third quarter of 2015. On a comparable basis for the quarter and nine months ended October 29, 2016, the number of items sold increased at Nordstrom Rack, partially offset by a decrease in the average selling price per item sold. Kids was the top-performing merchandise category for the quarter and nine months ended October 29, 2016. The East was the top-performing geographic region for both the quarter and nine months ended October 29,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4000" w:type="dxa"/>
            <w:vAlign w:val="bottom"/>
            <w:gridSpan w:val="3"/>
          </w:tcPr>
          <w:p>
            <w:pPr>
              <w:ind w:left="1440"/>
              <w:spacing w:after="0"/>
              <w:rPr>
                <w:sz w:val="20"/>
                <w:szCs w:val="20"/>
                <w:color w:val="auto"/>
              </w:rPr>
            </w:pPr>
            <w:r>
              <w:rPr>
                <w:rFonts w:ascii="Arial" w:cs="Arial" w:eastAsia="Arial" w:hAnsi="Arial"/>
                <w:sz w:val="16"/>
                <w:szCs w:val="16"/>
                <w:b w:val="1"/>
                <w:bCs w:val="1"/>
                <w:color w:val="auto"/>
              </w:rPr>
              <w:t>Quarter Ended</w:t>
            </w:r>
          </w:p>
        </w:tc>
        <w:tc>
          <w:tcPr>
            <w:tcW w:w="3920" w:type="dxa"/>
            <w:vAlign w:val="bottom"/>
            <w:gridSpan w:val="2"/>
          </w:tcPr>
          <w:p>
            <w:pPr>
              <w:jc w:val="right"/>
              <w:ind w:right="11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5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3500" w:type="dxa"/>
            <w:vAlign w:val="bottom"/>
          </w:tcPr>
          <w:p>
            <w:pPr>
              <w:spacing w:after="0"/>
              <w:rPr>
                <w:sz w:val="20"/>
                <w:szCs w:val="20"/>
                <w:color w:val="auto"/>
              </w:rPr>
            </w:pPr>
          </w:p>
        </w:tc>
        <w:tc>
          <w:tcPr>
            <w:tcW w:w="208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29, 2016</w:t>
            </w:r>
          </w:p>
        </w:tc>
        <w:tc>
          <w:tcPr>
            <w:tcW w:w="1920" w:type="dxa"/>
            <w:vAlign w:val="bottom"/>
            <w:gridSpan w:val="2"/>
          </w:tcPr>
          <w:p>
            <w:pPr>
              <w:ind w:left="340"/>
              <w:spacing w:after="0"/>
              <w:rPr>
                <w:sz w:val="20"/>
                <w:szCs w:val="20"/>
                <w:color w:val="auto"/>
              </w:rPr>
            </w:pPr>
            <w:r>
              <w:rPr>
                <w:rFonts w:ascii="Arial" w:cs="Arial" w:eastAsia="Arial" w:hAnsi="Arial"/>
                <w:sz w:val="16"/>
                <w:szCs w:val="16"/>
                <w:b w:val="1"/>
                <w:bCs w:val="1"/>
                <w:color w:val="auto"/>
              </w:rPr>
              <w:t>October 31, 2015</w:t>
            </w: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29, 2016</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20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$1,210</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$3,537</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$3,490</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34.8%</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2100" w:type="dxa"/>
            <w:vAlign w:val="bottom"/>
          </w:tcPr>
          <w:p>
            <w:pPr>
              <w:jc w:val="right"/>
              <w:ind w:right="259"/>
              <w:spacing w:after="0"/>
              <w:rPr>
                <w:sz w:val="20"/>
                <w:szCs w:val="20"/>
                <w:color w:val="auto"/>
              </w:rPr>
            </w:pPr>
            <w:r>
              <w:rPr>
                <w:rFonts w:ascii="Arial" w:cs="Arial" w:eastAsia="Arial" w:hAnsi="Arial"/>
                <w:sz w:val="16"/>
                <w:szCs w:val="16"/>
                <w:b w:val="1"/>
                <w:bCs w:val="1"/>
                <w:color w:val="auto"/>
              </w:rPr>
              <w:t>34.5%</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35.1%</w:t>
            </w:r>
          </w:p>
        </w:tc>
      </w:tr>
      <w:tr>
        <w:trPr>
          <w:trHeight w:val="33"/>
        </w:trPr>
        <w:tc>
          <w:tcPr>
            <w:tcW w:w="3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5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October 29, 2016</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5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inventory per square foot</w:t>
            </w:r>
          </w:p>
        </w:tc>
        <w:tc>
          <w:tcPr>
            <w:tcW w:w="20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$80.94</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$83.98</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Inventory turnover rate</w:t>
            </w:r>
          </w:p>
        </w:tc>
        <w:tc>
          <w:tcPr>
            <w:tcW w:w="20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4.31</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4.32</w:t>
            </w:r>
          </w:p>
        </w:tc>
      </w:tr>
      <w:tr>
        <w:trPr>
          <w:trHeight w:val="33"/>
        </w:trPr>
        <w:tc>
          <w:tcPr>
            <w:tcW w:w="35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Retail GP rate increased 93 basis points for the quarter ended October 29, 2016, compared with the same period in 2015, reflecting strong inventory execution in addition to leverage of buying and occupancy costs. Our strong inventory execution also led to improvements in ending inventory per square foot as of October 29, 2016. Our Retail GP decreased 57 basis points for the nine months ended October 29, 2016 primarily due to higher markdowns in the first half of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40" w:type="dxa"/>
            <w:vAlign w:val="bottom"/>
          </w:tcPr>
          <w:p>
            <w:pPr>
              <w:spacing w:after="0"/>
              <w:rPr>
                <w:sz w:val="20"/>
                <w:szCs w:val="20"/>
                <w:color w:val="auto"/>
              </w:rPr>
            </w:pPr>
          </w:p>
        </w:tc>
        <w:tc>
          <w:tcPr>
            <w:tcW w:w="2120" w:type="dxa"/>
            <w:vAlign w:val="bottom"/>
          </w:tcPr>
          <w:p>
            <w:pPr>
              <w:jc w:val="right"/>
              <w:ind w:right="439"/>
              <w:spacing w:after="0"/>
              <w:rPr>
                <w:sz w:val="20"/>
                <w:szCs w:val="20"/>
                <w:color w:val="auto"/>
              </w:rPr>
            </w:pPr>
            <w:r>
              <w:rPr>
                <w:rFonts w:ascii="Arial" w:cs="Arial" w:eastAsia="Arial" w:hAnsi="Arial"/>
                <w:sz w:val="16"/>
                <w:szCs w:val="16"/>
                <w:b w:val="1"/>
                <w:bCs w:val="1"/>
                <w:color w:val="auto"/>
              </w:rPr>
              <w:t>October 29, 2016</w:t>
            </w:r>
          </w:p>
        </w:tc>
        <w:tc>
          <w:tcPr>
            <w:tcW w:w="1940" w:type="dxa"/>
            <w:vAlign w:val="bottom"/>
            <w:gridSpan w:val="2"/>
          </w:tcPr>
          <w:p>
            <w:pPr>
              <w:ind w:left="360"/>
              <w:spacing w:after="0"/>
              <w:rPr>
                <w:sz w:val="20"/>
                <w:szCs w:val="20"/>
                <w:color w:val="auto"/>
              </w:rPr>
            </w:pPr>
            <w:r>
              <w:rPr>
                <w:rFonts w:ascii="Arial" w:cs="Arial" w:eastAsia="Arial" w:hAnsi="Arial"/>
                <w:sz w:val="16"/>
                <w:szCs w:val="16"/>
                <w:b w:val="1"/>
                <w:bCs w:val="1"/>
                <w:color w:val="auto"/>
              </w:rPr>
              <w:t>October 31, 2015</w:t>
            </w:r>
          </w:p>
        </w:tc>
        <w:tc>
          <w:tcPr>
            <w:tcW w:w="1960" w:type="dxa"/>
            <w:vAlign w:val="bottom"/>
          </w:tcPr>
          <w:p>
            <w:pPr>
              <w:jc w:val="right"/>
              <w:ind w:right="379"/>
              <w:spacing w:after="0"/>
              <w:rPr>
                <w:sz w:val="20"/>
                <w:szCs w:val="20"/>
                <w:color w:val="auto"/>
              </w:rPr>
            </w:pPr>
            <w:r>
              <w:rPr>
                <w:rFonts w:ascii="Arial" w:cs="Arial" w:eastAsia="Arial" w:hAnsi="Arial"/>
                <w:sz w:val="16"/>
                <w:szCs w:val="16"/>
                <w:b w:val="1"/>
                <w:bCs w:val="1"/>
                <w:color w:val="auto"/>
              </w:rPr>
              <w:t>October 29, 2016</w:t>
            </w: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Retail selling, general and administrative expenses</w:t>
            </w:r>
          </w:p>
        </w:tc>
        <w:tc>
          <w:tcPr>
            <w:tcW w:w="21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$990</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$3,024</w:t>
            </w:r>
          </w:p>
        </w:tc>
        <w:tc>
          <w:tcPr>
            <w:tcW w:w="17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$2,881</w:t>
            </w:r>
          </w:p>
        </w:tc>
        <w:tc>
          <w:tcPr>
            <w:tcW w:w="0" w:type="dxa"/>
            <w:vAlign w:val="bottom"/>
          </w:tcPr>
          <w:p>
            <w:pPr>
              <w:spacing w:after="0"/>
              <w:rPr>
                <w:sz w:val="1"/>
                <w:szCs w:val="1"/>
                <w:color w:val="auto"/>
              </w:rPr>
            </w:pPr>
          </w:p>
        </w:tc>
      </w:tr>
      <w:tr>
        <w:trPr>
          <w:trHeight w:val="220"/>
        </w:trPr>
        <w:tc>
          <w:tcPr>
            <w:tcW w:w="3640" w:type="dxa"/>
            <w:vAlign w:val="bottom"/>
          </w:tcPr>
          <w:p>
            <w:pPr>
              <w:ind w:left="40"/>
              <w:spacing w:after="0"/>
              <w:rPr>
                <w:sz w:val="20"/>
                <w:szCs w:val="20"/>
                <w:color w:val="auto"/>
              </w:rPr>
            </w:pPr>
            <w:r>
              <w:rPr>
                <w:rFonts w:ascii="Arial" w:cs="Arial" w:eastAsia="Arial" w:hAnsi="Arial"/>
                <w:sz w:val="16"/>
                <w:szCs w:val="16"/>
                <w:color w:val="auto"/>
                <w:w w:val="90"/>
              </w:rPr>
              <w:t>Retail selling, general and administrative expenses as a</w:t>
            </w:r>
          </w:p>
        </w:tc>
        <w:tc>
          <w:tcPr>
            <w:tcW w:w="21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28.5%</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29.5%</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280"/>
              <w:spacing w:after="0"/>
              <w:rPr>
                <w:sz w:val="20"/>
                <w:szCs w:val="20"/>
                <w:color w:val="auto"/>
              </w:rPr>
            </w:pPr>
            <w:r>
              <w:rPr>
                <w:rFonts w:ascii="Arial" w:cs="Arial" w:eastAsia="Arial" w:hAnsi="Arial"/>
                <w:sz w:val="16"/>
                <w:szCs w:val="16"/>
                <w:color w:val="auto"/>
              </w:rPr>
              <w:t>% of net sales</w:t>
            </w:r>
          </w:p>
        </w:tc>
        <w:tc>
          <w:tcPr>
            <w:tcW w:w="2120" w:type="dxa"/>
            <w:vAlign w:val="bottom"/>
            <w:vMerge w:val="continue"/>
          </w:tcPr>
          <w:p>
            <w:pPr>
              <w:spacing w:after="0"/>
              <w:rPr>
                <w:sz w:val="17"/>
                <w:szCs w:val="17"/>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the quarter ended October 29, 2016, our Retail SG&amp;A rate decreased 82 basis points primarily due to a shift in sales volume from the Anniversary Sale resulting in expense leverage, while Retail SG&amp;A expenses increased $39 primarily due to increased fulfillment expenses. For the nine months ended October 29, 2016, our Retail SG&amp;A increased 55 basis points and $143 primarily due to increased fulfillment expenses and technology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Goodwill Impairment</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recognized a goodwill impairment charge of $197 for the quarter and nine months ended October 29, 2016 related to Trunk Club (see Note 4: Fair Value Measurements in Item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Segment</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we completed the sale of a substantial majority of our U.S. Visa and private label credit card portfolio to TD on October 1, 2015, and entered into a long-term program agreement under which TD is the exclusive issuer of our U.S. consumer credit cards, our Credit Segment business has changed. With these changes, although we receive a smaller share of available profits under the program agreement, we no longer fund this portfolio alleviating significant working capital requirements (see Note 2: Credit Card Receivable Transaction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detailed view of the operational results of our Credit segment, consistent with Note 9: Segment Reporting in Item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2480" w:type="dxa"/>
            <w:vAlign w:val="bottom"/>
          </w:tcPr>
          <w:p>
            <w:pPr>
              <w:jc w:val="right"/>
              <w:ind w:right="739"/>
              <w:spacing w:after="0"/>
              <w:rPr>
                <w:sz w:val="20"/>
                <w:szCs w:val="20"/>
                <w:color w:val="auto"/>
              </w:rPr>
            </w:pPr>
            <w:r>
              <w:rPr>
                <w:rFonts w:ascii="Arial" w:cs="Arial" w:eastAsia="Arial" w:hAnsi="Arial"/>
                <w:sz w:val="16"/>
                <w:szCs w:val="16"/>
                <w:b w:val="1"/>
                <w:bCs w:val="1"/>
                <w:color w:val="auto"/>
              </w:rPr>
              <w:t>October 29, 2016</w:t>
            </w:r>
          </w:p>
        </w:tc>
        <w:tc>
          <w:tcPr>
            <w:tcW w:w="1500" w:type="dxa"/>
            <w:vAlign w:val="bottom"/>
            <w:gridSpan w:val="2"/>
          </w:tcPr>
          <w:p>
            <w:pPr>
              <w:spacing w:after="0"/>
              <w:rPr>
                <w:sz w:val="20"/>
                <w:szCs w:val="20"/>
                <w:color w:val="auto"/>
              </w:rPr>
            </w:pPr>
            <w:r>
              <w:rPr>
                <w:rFonts w:ascii="Arial" w:cs="Arial" w:eastAsia="Arial" w:hAnsi="Arial"/>
                <w:sz w:val="16"/>
                <w:szCs w:val="16"/>
                <w:b w:val="1"/>
                <w:bCs w:val="1"/>
                <w:color w:val="auto"/>
              </w:rPr>
              <w:t>October 31, 2015</w:t>
            </w:r>
          </w:p>
        </w:tc>
        <w:tc>
          <w:tcPr>
            <w:tcW w:w="2100" w:type="dxa"/>
            <w:vAlign w:val="bottom"/>
          </w:tcPr>
          <w:p>
            <w:pPr>
              <w:jc w:val="right"/>
              <w:ind w:right="359"/>
              <w:spacing w:after="0"/>
              <w:rPr>
                <w:sz w:val="20"/>
                <w:szCs w:val="20"/>
                <w:color w:val="auto"/>
              </w:rPr>
            </w:pPr>
            <w:r>
              <w:rPr>
                <w:rFonts w:ascii="Arial" w:cs="Arial" w:eastAsia="Arial" w:hAnsi="Arial"/>
                <w:sz w:val="16"/>
                <w:szCs w:val="16"/>
                <w:b w:val="1"/>
                <w:bCs w:val="1"/>
                <w:color w:val="auto"/>
              </w:rPr>
              <w:t>October 29, 2016</w:t>
            </w: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24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$70</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$186</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$291</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(38)</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100" w:type="dxa"/>
            <w:vAlign w:val="bottom"/>
          </w:tcPr>
          <w:p>
            <w:pPr>
              <w:jc w:val="right"/>
              <w:ind w:right="299"/>
              <w:spacing w:after="0"/>
              <w:rPr>
                <w:sz w:val="20"/>
                <w:szCs w:val="20"/>
                <w:color w:val="auto"/>
              </w:rPr>
            </w:pPr>
            <w:r>
              <w:rPr>
                <w:rFonts w:ascii="Arial" w:cs="Arial" w:eastAsia="Arial" w:hAnsi="Arial"/>
                <w:sz w:val="16"/>
                <w:szCs w:val="16"/>
                <w:b w:val="1"/>
                <w:bCs w:val="1"/>
                <w:color w:val="auto"/>
              </w:rPr>
              <w:t>(121)</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(152)</w:t>
            </w:r>
          </w:p>
        </w:tc>
      </w:tr>
      <w:tr>
        <w:trPr>
          <w:trHeight w:val="33"/>
        </w:trPr>
        <w:tc>
          <w:tcPr>
            <w:tcW w:w="3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transaction, net</w:t>
            </w:r>
          </w:p>
        </w:tc>
        <w:tc>
          <w:tcPr>
            <w:tcW w:w="24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48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32</w:t>
            </w: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65</w:t>
            </w:r>
          </w:p>
        </w:tc>
        <w:tc>
          <w:tcPr>
            <w:tcW w:w="17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168</w:t>
            </w:r>
          </w:p>
        </w:tc>
      </w:tr>
      <w:tr>
        <w:trPr>
          <w:trHeight w:val="33"/>
        </w:trPr>
        <w:tc>
          <w:tcPr>
            <w:tcW w:w="3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24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31"/>
        </w:trPr>
        <w:tc>
          <w:tcPr>
            <w:tcW w:w="358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2480" w:type="dxa"/>
            <w:vAlign w:val="bottom"/>
          </w:tcPr>
          <w:p>
            <w:pPr>
              <w:jc w:val="right"/>
              <w:ind w:right="739"/>
              <w:spacing w:after="0"/>
              <w:rPr>
                <w:sz w:val="20"/>
                <w:szCs w:val="20"/>
                <w:color w:val="auto"/>
              </w:rPr>
            </w:pPr>
            <w:r>
              <w:rPr>
                <w:rFonts w:ascii="Arial" w:cs="Arial" w:eastAsia="Arial" w:hAnsi="Arial"/>
                <w:sz w:val="16"/>
                <w:szCs w:val="16"/>
                <w:b w:val="1"/>
                <w:bCs w:val="1"/>
                <w:color w:val="auto"/>
              </w:rPr>
              <w:t>$32</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100" w:type="dxa"/>
            <w:vAlign w:val="bottom"/>
          </w:tcPr>
          <w:p>
            <w:pPr>
              <w:jc w:val="right"/>
              <w:ind w:right="359"/>
              <w:spacing w:after="0"/>
              <w:rPr>
                <w:sz w:val="20"/>
                <w:szCs w:val="20"/>
                <w:color w:val="auto"/>
              </w:rPr>
            </w:pPr>
            <w:r>
              <w:rPr>
                <w:rFonts w:ascii="Arial" w:cs="Arial" w:eastAsia="Arial" w:hAnsi="Arial"/>
                <w:sz w:val="16"/>
                <w:szCs w:val="16"/>
                <w:b w:val="1"/>
                <w:bCs w:val="1"/>
                <w:color w:val="auto"/>
              </w:rPr>
              <w:t>$65</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$156</w:t>
            </w:r>
          </w:p>
        </w:tc>
      </w:tr>
      <w:tr>
        <w:trPr>
          <w:trHeight w:val="33"/>
        </w:trPr>
        <w:tc>
          <w:tcPr>
            <w:tcW w:w="3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91"/>
        </w:trPr>
        <w:tc>
          <w:tcPr>
            <w:tcW w:w="35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24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Outside</w:t>
            </w:r>
          </w:p>
        </w:tc>
        <w:tc>
          <w:tcPr>
            <w:tcW w:w="248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$1,023</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$3,106</w:t>
            </w:r>
          </w:p>
        </w:tc>
        <w:tc>
          <w:tcPr>
            <w:tcW w:w="17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$3,209</w:t>
            </w:r>
          </w:p>
        </w:tc>
      </w:tr>
      <w:tr>
        <w:trPr>
          <w:trHeight w:val="237"/>
        </w:trPr>
        <w:tc>
          <w:tcPr>
            <w:tcW w:w="3580" w:type="dxa"/>
            <w:vAlign w:val="bottom"/>
          </w:tcPr>
          <w:p>
            <w:pPr>
              <w:ind w:left="280"/>
              <w:spacing w:after="0"/>
              <w:rPr>
                <w:sz w:val="20"/>
                <w:szCs w:val="20"/>
                <w:color w:val="auto"/>
              </w:rPr>
            </w:pPr>
            <w:r>
              <w:rPr>
                <w:rFonts w:ascii="Arial" w:cs="Arial" w:eastAsia="Arial" w:hAnsi="Arial"/>
                <w:sz w:val="16"/>
                <w:szCs w:val="16"/>
                <w:color w:val="auto"/>
              </w:rPr>
              <w:t>Inside</w:t>
            </w:r>
          </w:p>
        </w:tc>
        <w:tc>
          <w:tcPr>
            <w:tcW w:w="2480" w:type="dxa"/>
            <w:vAlign w:val="bottom"/>
          </w:tcPr>
          <w:p>
            <w:pPr>
              <w:jc w:val="right"/>
              <w:ind w:right="739"/>
              <w:spacing w:after="0"/>
              <w:rPr>
                <w:sz w:val="20"/>
                <w:szCs w:val="20"/>
                <w:color w:val="auto"/>
              </w:rPr>
            </w:pPr>
            <w:r>
              <w:rPr>
                <w:rFonts w:ascii="Arial" w:cs="Arial" w:eastAsia="Arial" w:hAnsi="Arial"/>
                <w:sz w:val="16"/>
                <w:szCs w:val="16"/>
                <w:b w:val="1"/>
                <w:bCs w:val="1"/>
                <w:color w:val="auto"/>
              </w:rPr>
              <w:t>1,239</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0"/>
                <w:szCs w:val="20"/>
                <w:color w:val="auto"/>
              </w:rPr>
            </w:pPr>
          </w:p>
        </w:tc>
        <w:tc>
          <w:tcPr>
            <w:tcW w:w="2100" w:type="dxa"/>
            <w:vAlign w:val="bottom"/>
          </w:tcPr>
          <w:p>
            <w:pPr>
              <w:jc w:val="right"/>
              <w:ind w:right="359"/>
              <w:spacing w:after="0"/>
              <w:rPr>
                <w:sz w:val="20"/>
                <w:szCs w:val="20"/>
                <w:color w:val="auto"/>
              </w:rPr>
            </w:pPr>
            <w:r>
              <w:rPr>
                <w:rFonts w:ascii="Arial" w:cs="Arial" w:eastAsia="Arial" w:hAnsi="Arial"/>
                <w:sz w:val="16"/>
                <w:szCs w:val="16"/>
                <w:b w:val="1"/>
                <w:bCs w:val="1"/>
                <w:color w:val="auto"/>
              </w:rPr>
              <w:t>4,215</w:t>
            </w:r>
          </w:p>
        </w:tc>
        <w:tc>
          <w:tcPr>
            <w:tcW w:w="1760" w:type="dxa"/>
            <w:vAlign w:val="bottom"/>
          </w:tcPr>
          <w:p>
            <w:pPr>
              <w:jc w:val="right"/>
              <w:ind w:right="139"/>
              <w:spacing w:after="0"/>
              <w:rPr>
                <w:sz w:val="20"/>
                <w:szCs w:val="20"/>
                <w:color w:val="auto"/>
              </w:rPr>
            </w:pPr>
            <w:r>
              <w:rPr>
                <w:rFonts w:ascii="Arial" w:cs="Arial" w:eastAsia="Arial" w:hAnsi="Arial"/>
                <w:sz w:val="16"/>
                <w:szCs w:val="16"/>
                <w:color w:val="auto"/>
              </w:rPr>
              <w:t>4,242</w:t>
            </w:r>
          </w:p>
        </w:tc>
      </w:tr>
      <w:tr>
        <w:trPr>
          <w:trHeight w:val="33"/>
        </w:trPr>
        <w:tc>
          <w:tcPr>
            <w:tcW w:w="35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volume</w:t>
            </w:r>
          </w:p>
        </w:tc>
        <w:tc>
          <w:tcPr>
            <w:tcW w:w="248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$2,262</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$2,302</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$7,321</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$7,451</w:t>
            </w:r>
          </w:p>
        </w:tc>
      </w:tr>
      <w:tr>
        <w:trPr>
          <w:trHeight w:val="33"/>
        </w:trPr>
        <w:tc>
          <w:tcPr>
            <w:tcW w:w="35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5"/>
        </w:numPr>
        <w:rPr>
          <w:rFonts w:ascii="Arial" w:cs="Arial" w:eastAsia="Arial" w:hAnsi="Arial"/>
          <w:sz w:val="9"/>
          <w:szCs w:val="9"/>
          <w:color w:val="auto"/>
        </w:rPr>
      </w:pPr>
      <w:r>
        <w:rPr>
          <w:rFonts w:ascii="Arial" w:cs="Arial" w:eastAsia="Arial" w:hAnsi="Arial"/>
          <w:sz w:val="14"/>
          <w:szCs w:val="14"/>
          <w:color w:val="auto"/>
        </w:rPr>
        <w:t>Prior to the credit card receivable transaction, interest expense was allocated to the Credit segment as if it carried debt of up to 80% of the credit card receivables.</w:t>
      </w:r>
    </w:p>
    <w:p>
      <w:pPr>
        <w:spacing w:after="0" w:line="7"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Volume represents sales on the total portfolio plus applicable 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2015</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29, 2016</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charge revenue</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Interchange fees</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1</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4</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Late fees and other</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program revenues, net</w:t>
            </w:r>
          </w:p>
        </w:tc>
        <w:tc>
          <w:tcPr>
            <w:tcW w:w="2480" w:type="dxa"/>
            <w:vAlign w:val="bottom"/>
          </w:tcPr>
          <w:p>
            <w:pPr>
              <w:jc w:val="right"/>
              <w:ind w:right="679"/>
              <w:spacing w:after="0"/>
              <w:rPr>
                <w:sz w:val="20"/>
                <w:szCs w:val="20"/>
                <w:color w:val="auto"/>
              </w:rPr>
            </w:pPr>
            <w:r>
              <w:rPr>
                <w:rFonts w:ascii="Arial" w:cs="Arial" w:eastAsia="Arial" w:hAnsi="Arial"/>
                <w:sz w:val="16"/>
                <w:szCs w:val="16"/>
                <w:b w:val="1"/>
                <w:bCs w:val="1"/>
                <w:color w:val="auto"/>
              </w:rPr>
              <w:t>67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176</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37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24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$70</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$186</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0"/>
        </w:trPr>
        <w:tc>
          <w:tcPr>
            <w:tcW w:w="378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close of the credit card receivable transaction on October 1, 2015, credit card revenues included finance charges, interchange fees, late fees and other revenue, recorded net of estimated uncollectible finance charges and fees. Finance charges represent interest earned on unpaid balances while interchange fees are earned from the use of Nordstrom Visa credit cards at merchants outside of Nordstrom. Late fees are assessed when a credit card account becomes past due. We continue to recognize revenue in this manner for the credit card receivables retained subsequent to the close of the credit card receivable transaction.</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Following the close of the transaction and pursuant to the program agreement with TD, we receive our portion of the ongoing credit card revenue, net of credit losses, from both the sold and newly generated credit card receivables, which is recorded in credit program revenues, net. Revenue earned under the program agreement is impacted by the credit quality of receivables and factors such as deteriorating economic conditions, declining creditworthiness of cardholders and the execution of account management and collection activities may heighten the risk of credit losses. Asset amortization and deferred revenue recognition associated with the assets and liabilities recorded as part of the transaction are also recognized in credit program revenues, net.</w:t>
      </w:r>
    </w:p>
    <w:p>
      <w:pPr>
        <w:spacing w:after="0" w:line="10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Credit card revenues, net decreased $19 and $105 for the quarter and nine months ended October 29, 2016, compared with the same periods in 2015, primarily due to the impact of the program agreement with TD and the amortization of our beneficial interest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Total credit expenses decreased $12 and $31 for the quarter and nine months ended October 29, 2016, compared with the same periods in 2015 due to a decrease in bad debt expense since the sale of our credit card receivables in the third quarter of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Transaction, net</w:t>
      </w:r>
    </w:p>
    <w:p>
      <w:pPr>
        <w:spacing w:after="0" w:line="27"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Credit transaction, net of $(32) for the quarter ended October 31, 2015 represents transaction costs associated with the sale. Credit transaction, net of $29 for the nine months ended October 31, 2015 was primarily due to the reversal of the allowance for credit losses on accounts receivable that were reclassified to “held for sale” during the second quarter of 2015, partially offset by transaction costs related to the sale.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Company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Interest expense, net of $30 for the third quarter and $90 for the nine months ended October 29, 2016 was relatively flat compared with the same periods in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4060" w:type="dxa"/>
            <w:vAlign w:val="bottom"/>
            <w:gridSpan w:val="3"/>
          </w:tcPr>
          <w:p>
            <w:pPr>
              <w:ind w:left="1460"/>
              <w:spacing w:after="0"/>
              <w:rPr>
                <w:sz w:val="20"/>
                <w:szCs w:val="20"/>
                <w:color w:val="auto"/>
              </w:rPr>
            </w:pPr>
            <w:r>
              <w:rPr>
                <w:rFonts w:ascii="Arial" w:cs="Arial" w:eastAsia="Arial" w:hAnsi="Arial"/>
                <w:sz w:val="16"/>
                <w:szCs w:val="16"/>
                <w:b w:val="1"/>
                <w:bCs w:val="1"/>
                <w:color w:val="auto"/>
              </w:rPr>
              <w:t>Quarter Ended</w:t>
            </w:r>
          </w:p>
        </w:tc>
        <w:tc>
          <w:tcPr>
            <w:tcW w:w="398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140" w:type="dxa"/>
            <w:vAlign w:val="bottom"/>
          </w:tcPr>
          <w:p>
            <w:pPr>
              <w:jc w:val="right"/>
              <w:ind w:right="439"/>
              <w:spacing w:after="0"/>
              <w:rPr>
                <w:sz w:val="20"/>
                <w:szCs w:val="20"/>
                <w:color w:val="auto"/>
              </w:rPr>
            </w:pPr>
            <w:r>
              <w:rPr>
                <w:rFonts w:ascii="Arial" w:cs="Arial" w:eastAsia="Arial" w:hAnsi="Arial"/>
                <w:sz w:val="16"/>
                <w:szCs w:val="16"/>
                <w:b w:val="1"/>
                <w:bCs w:val="1"/>
                <w:color w:val="auto"/>
              </w:rPr>
              <w:t>October 29, 2016</w:t>
            </w:r>
          </w:p>
        </w:tc>
        <w:tc>
          <w:tcPr>
            <w:tcW w:w="1920" w:type="dxa"/>
            <w:vAlign w:val="bottom"/>
            <w:gridSpan w:val="2"/>
          </w:tcPr>
          <w:p>
            <w:pPr>
              <w:ind w:left="360"/>
              <w:spacing w:after="0"/>
              <w:rPr>
                <w:sz w:val="20"/>
                <w:szCs w:val="20"/>
                <w:color w:val="auto"/>
              </w:rPr>
            </w:pPr>
            <w:r>
              <w:rPr>
                <w:rFonts w:ascii="Arial" w:cs="Arial" w:eastAsia="Arial" w:hAnsi="Arial"/>
                <w:sz w:val="16"/>
                <w:szCs w:val="16"/>
                <w:b w:val="1"/>
                <w:bCs w:val="1"/>
                <w:color w:val="auto"/>
              </w:rPr>
              <w:t>October 31, 2015</w:t>
            </w:r>
          </w:p>
        </w:tc>
        <w:tc>
          <w:tcPr>
            <w:tcW w:w="2160" w:type="dxa"/>
            <w:vAlign w:val="bottom"/>
          </w:tcPr>
          <w:p>
            <w:pPr>
              <w:jc w:val="right"/>
              <w:ind w:right="439"/>
              <w:spacing w:after="0"/>
              <w:rPr>
                <w:sz w:val="20"/>
                <w:szCs w:val="20"/>
                <w:color w:val="auto"/>
              </w:rPr>
            </w:pPr>
            <w:r>
              <w:rPr>
                <w:rFonts w:ascii="Arial" w:cs="Arial" w:eastAsia="Arial" w:hAnsi="Arial"/>
                <w:sz w:val="16"/>
                <w:szCs w:val="16"/>
                <w:b w:val="1"/>
                <w:bCs w:val="1"/>
                <w:color w:val="auto"/>
              </w:rPr>
              <w:t>October 29, 2016</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1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$35</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$138</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$263</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140" w:type="dxa"/>
            <w:vAlign w:val="bottom"/>
          </w:tcPr>
          <w:p>
            <w:pPr>
              <w:jc w:val="right"/>
              <w:ind w:right="279"/>
              <w:spacing w:after="0"/>
              <w:rPr>
                <w:sz w:val="20"/>
                <w:szCs w:val="20"/>
                <w:color w:val="auto"/>
              </w:rPr>
            </w:pPr>
            <w:r>
              <w:rPr>
                <w:rFonts w:ascii="Arial" w:cs="Arial" w:eastAsia="Arial" w:hAnsi="Arial"/>
                <w:sz w:val="16"/>
                <w:szCs w:val="16"/>
                <w:b w:val="1"/>
                <w:bCs w:val="1"/>
                <w:color w:val="auto"/>
              </w:rPr>
              <w:t>140.3%</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2160" w:type="dxa"/>
            <w:vAlign w:val="bottom"/>
          </w:tcPr>
          <w:p>
            <w:pPr>
              <w:jc w:val="right"/>
              <w:ind w:right="279"/>
              <w:spacing w:after="0"/>
              <w:rPr>
                <w:sz w:val="20"/>
                <w:szCs w:val="20"/>
                <w:color w:val="auto"/>
              </w:rPr>
            </w:pPr>
            <w:r>
              <w:rPr>
                <w:rFonts w:ascii="Arial" w:cs="Arial" w:eastAsia="Arial" w:hAnsi="Arial"/>
                <w:sz w:val="16"/>
                <w:szCs w:val="16"/>
                <w:b w:val="1"/>
                <w:bCs w:val="1"/>
                <w:color w:val="auto"/>
              </w:rPr>
              <w:t>47.4%</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38.5%</w:t>
            </w:r>
          </w:p>
        </w:tc>
      </w:tr>
      <w:tr>
        <w:trPr>
          <w:trHeight w:val="33"/>
        </w:trPr>
        <w:tc>
          <w:tcPr>
            <w:tcW w:w="3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tax rate increased for the quarter and nine months ended October 29, 2016, compared with the same periods in 2015, primarily due to the non-deductible goodwill impairment charge of $197 related to Trunk Club (see Note 4: Fair Value Measurements in Item 1). Excluding the impact of the Trunk Club impairment, our effective tax rate for the quarter and nine months ended October 29, 2016 would have decreased approximately 2% compared with prior year primarily due to the favorable resolution of certain federal income tax issues.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(Loss) Earnings per share (EPS)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2"/>
          </w:tcPr>
          <w:p>
            <w:pPr>
              <w:jc w:val="right"/>
              <w:ind w:right="107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4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520" w:type="dxa"/>
            <w:vAlign w:val="bottom"/>
          </w:tcPr>
          <w:p>
            <w:pPr>
              <w:jc w:val="right"/>
              <w:ind w:right="719"/>
              <w:spacing w:after="0"/>
              <w:rPr>
                <w:sz w:val="20"/>
                <w:szCs w:val="20"/>
                <w:color w:val="auto"/>
              </w:rPr>
            </w:pPr>
            <w:r>
              <w:rPr>
                <w:rFonts w:ascii="Arial" w:cs="Arial" w:eastAsia="Arial" w:hAnsi="Arial"/>
                <w:sz w:val="16"/>
                <w:szCs w:val="16"/>
                <w:b w:val="1"/>
                <w:bCs w:val="1"/>
                <w:color w:val="auto"/>
              </w:rPr>
              <w:t>October 29, 2016</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3"/>
              </w:rPr>
              <w:t>October 31, 2015</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October 29, 2016</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37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52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($0.06)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$0.88</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Diluted:</w:t>
            </w:r>
          </w:p>
        </w:tc>
        <w:tc>
          <w:tcPr>
            <w:tcW w:w="2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3"/>
        </w:trPr>
        <w:tc>
          <w:tcPr>
            <w:tcW w:w="3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Actual</w:t>
            </w:r>
          </w:p>
        </w:tc>
        <w:tc>
          <w:tcPr>
            <w:tcW w:w="252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($0.06)</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$0.87</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85"/>
        </w:trPr>
        <w:tc>
          <w:tcPr>
            <w:tcW w:w="3740" w:type="dxa"/>
            <w:vAlign w:val="bottom"/>
          </w:tcPr>
          <w:p>
            <w:pPr>
              <w:ind w:left="280"/>
              <w:spacing w:after="0"/>
              <w:rPr>
                <w:sz w:val="20"/>
                <w:szCs w:val="20"/>
                <w:color w:val="auto"/>
              </w:rPr>
            </w:pPr>
            <w:r>
              <w:rPr>
                <w:rFonts w:ascii="Arial" w:cs="Arial" w:eastAsia="Arial" w:hAnsi="Arial"/>
                <w:sz w:val="16"/>
                <w:szCs w:val="16"/>
                <w:color w:val="auto"/>
              </w:rPr>
              <w:t>Adjusted</w:t>
            </w:r>
            <w:r>
              <w:rPr>
                <w:rFonts w:ascii="Arial" w:cs="Arial" w:eastAsia="Arial" w:hAnsi="Arial"/>
                <w:sz w:val="21"/>
                <w:szCs w:val="21"/>
                <w:color w:val="auto"/>
                <w:vertAlign w:val="superscript"/>
              </w:rPr>
              <w:t>1</w:t>
            </w:r>
          </w:p>
        </w:tc>
        <w:tc>
          <w:tcPr>
            <w:tcW w:w="2520" w:type="dxa"/>
            <w:vAlign w:val="bottom"/>
          </w:tcPr>
          <w:p>
            <w:pPr>
              <w:jc w:val="right"/>
              <w:ind w:right="719"/>
              <w:spacing w:after="0"/>
              <w:rPr>
                <w:sz w:val="20"/>
                <w:szCs w:val="20"/>
                <w:color w:val="auto"/>
              </w:rPr>
            </w:pPr>
            <w:r>
              <w:rPr>
                <w:rFonts w:ascii="Arial" w:cs="Arial" w:eastAsia="Arial" w:hAnsi="Arial"/>
                <w:sz w:val="16"/>
                <w:szCs w:val="16"/>
                <w:b w:val="1"/>
                <w:bCs w:val="1"/>
                <w:color w:val="auto"/>
              </w:rPr>
              <w:t>$0.84</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2060" w:type="dxa"/>
            <w:vAlign w:val="bottom"/>
          </w:tcPr>
          <w:p>
            <w:pPr>
              <w:jc w:val="right"/>
              <w:ind w:right="279"/>
              <w:spacing w:after="0"/>
              <w:rPr>
                <w:sz w:val="20"/>
                <w:szCs w:val="20"/>
                <w:color w:val="auto"/>
              </w:rPr>
            </w:pPr>
            <w:r>
              <w:rPr>
                <w:rFonts w:ascii="Arial" w:cs="Arial" w:eastAsia="Arial" w:hAnsi="Arial"/>
                <w:sz w:val="16"/>
                <w:szCs w:val="16"/>
                <w:b w:val="1"/>
                <w:bCs w:val="1"/>
                <w:color w:val="auto"/>
              </w:rPr>
              <w:t>$1.77</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line="219" w:lineRule="auto"/>
        <w:tabs>
          <w:tab w:leader="none" w:pos="8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 reconciliation of adjusted earnings per share, a non-GAAP financial measure, to the closest GAAP measure is included below.</w:t>
      </w:r>
    </w:p>
    <w:p>
      <w:pPr>
        <w:spacing w:after="0" w:line="1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(Loss) earnings per diluted share decreased for the quarter and nine months ended October 29, 2016, compared with the same periods in 2015, primarily due to the goodwill impairment charge of $197 related to Trunk Club.</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Excluding the goodwill impairment charge, adjusted earnings per diluted share increased for the quarter ended October 29, 2016 compared with diluted EPS for the quarter ended October 31, 2015, primarily due to increased sales and margin and a reduction of credit expenses from 2015 related to the credit transaction. Adjusted earnings per diluted share decreased for the nine months ended October 29, 2016, compared with diluted EPS for the nine months ended October 31, 2015, primarily due to higher fulfillment expenses and planned technology investments supporting our growth initiatives.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and Adjusted Earnings Per Share (Non-GAAP financial measures)</w:t>
      </w:r>
    </w:p>
    <w:p>
      <w:pPr>
        <w:spacing w:after="0" w:line="2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We believe that Adjusted Earnings and Adjusted Earnings Per Share provide useful information to investors in evaluating our business performance for the quarter and nine months ended October 29, 2016. The effect of excluding certain items from net (loss) earnings provides management and shareholders an alternative measure to use in evaluating our business performance period over period.</w:t>
      </w:r>
    </w:p>
    <w:p>
      <w:pPr>
        <w:spacing w:after="0" w:line="13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Adjusted Earnings and Adjusted Earnings Per Share are not measures of financial performance under generally accepted accounting principles (“GAAP”) and should be considered in addition to, and not as a substitute for, net (loss) earnings, (loss) earnings per share and diluted earnings per share or other financial measures prepared in accordance with GAAP. Our method of determining non-GAAP financial measures may differ from other companies’ financial measures and therefore may not be comparable to methods used by other companies. The financial measures calculated under GAAP which are most directly comparable to Adjusted Earnings and Adjusted Earnings Per Share are net (loss) earnings and diluted earnings per share, which are reconciled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960" w:type="dxa"/>
            <w:vAlign w:val="bottom"/>
            <w:gridSpan w:val="3"/>
          </w:tcPr>
          <w:p>
            <w:pPr>
              <w:ind w:left="800"/>
              <w:spacing w:after="0"/>
              <w:rPr>
                <w:sz w:val="20"/>
                <w:szCs w:val="20"/>
                <w:color w:val="auto"/>
              </w:rPr>
            </w:pPr>
            <w:r>
              <w:rPr>
                <w:rFonts w:ascii="Arial" w:cs="Arial" w:eastAsia="Arial" w:hAnsi="Arial"/>
                <w:sz w:val="16"/>
                <w:szCs w:val="16"/>
                <w:b w:val="1"/>
                <w:bCs w:val="1"/>
                <w:color w:val="auto"/>
              </w:rPr>
              <w:t>Quarter Ended October 29, 2016</w:t>
            </w:r>
          </w:p>
        </w:tc>
        <w:tc>
          <w:tcPr>
            <w:tcW w:w="386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Nine Months Ended October 29, 2016</w:t>
            </w:r>
          </w:p>
        </w:tc>
      </w:tr>
      <w:tr>
        <w:trPr>
          <w:trHeight w:val="33"/>
        </w:trPr>
        <w:tc>
          <w:tcPr>
            <w:tcW w:w="36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202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Amount Per Share</w:t>
            </w:r>
          </w:p>
        </w:tc>
        <w:tc>
          <w:tcPr>
            <w:tcW w:w="2040" w:type="dxa"/>
            <w:vAlign w:val="bottom"/>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82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 Per Share</w:t>
            </w:r>
          </w:p>
        </w:tc>
      </w:tr>
      <w:tr>
        <w:trPr>
          <w:trHeight w:val="33"/>
        </w:trPr>
        <w:tc>
          <w:tcPr>
            <w:tcW w:w="36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earnings</w:t>
            </w:r>
            <w:r>
              <w:rPr>
                <w:rFonts w:ascii="Arial" w:cs="Arial" w:eastAsia="Arial" w:hAnsi="Arial"/>
                <w:sz w:val="21"/>
                <w:szCs w:val="21"/>
                <w:color w:val="auto"/>
                <w:vertAlign w:val="superscript"/>
              </w:rPr>
              <w:t>1</w:t>
            </w:r>
          </w:p>
        </w:tc>
        <w:tc>
          <w:tcPr>
            <w:tcW w:w="20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$153</w:t>
            </w:r>
          </w:p>
        </w:tc>
        <w:tc>
          <w:tcPr>
            <w:tcW w:w="1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$0.87</w:t>
            </w: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Trunk Club goodwill impairment</w:t>
            </w:r>
          </w:p>
        </w:tc>
        <w:tc>
          <w:tcPr>
            <w:tcW w:w="2020" w:type="dxa"/>
            <w:vAlign w:val="bottom"/>
          </w:tcPr>
          <w:p>
            <w:pPr>
              <w:jc w:val="right"/>
              <w:ind w:right="299"/>
              <w:spacing w:after="0"/>
              <w:rPr>
                <w:sz w:val="20"/>
                <w:szCs w:val="20"/>
                <w:color w:val="auto"/>
              </w:rPr>
            </w:pPr>
            <w:r>
              <w:rPr>
                <w:rFonts w:ascii="Arial" w:cs="Arial" w:eastAsia="Arial" w:hAnsi="Arial"/>
                <w:sz w:val="16"/>
                <w:szCs w:val="16"/>
                <w:color w:val="auto"/>
              </w:rPr>
              <w:t>197</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197</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1.12</w:t>
            </w:r>
          </w:p>
        </w:tc>
      </w:tr>
      <w:tr>
        <w:trPr>
          <w:trHeight w:val="33"/>
        </w:trPr>
        <w:tc>
          <w:tcPr>
            <w:tcW w:w="36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0"/>
        </w:trPr>
        <w:tc>
          <w:tcPr>
            <w:tcW w:w="3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effect of non-deductible charges in interim</w:t>
            </w:r>
          </w:p>
        </w:tc>
        <w:tc>
          <w:tcPr>
            <w:tcW w:w="20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9"/>
        </w:trPr>
        <w:tc>
          <w:tcPr>
            <w:tcW w:w="3600" w:type="dxa"/>
            <w:vAlign w:val="bottom"/>
            <w:tcBorders>
              <w:bottom w:val="single" w:sz="8" w:color="auto"/>
            </w:tcBorders>
            <w:shd w:val="clear" w:color="auto" w:fill="CCEEFF"/>
          </w:tcPr>
          <w:p>
            <w:pPr>
              <w:ind w:left="280"/>
              <w:spacing w:after="0" w:line="239" w:lineRule="exact"/>
              <w:rPr>
                <w:sz w:val="20"/>
                <w:szCs w:val="20"/>
                <w:color w:val="auto"/>
              </w:rPr>
            </w:pPr>
            <w:r>
              <w:rPr>
                <w:rFonts w:ascii="Arial" w:cs="Arial" w:eastAsia="Arial" w:hAnsi="Arial"/>
                <w:sz w:val="16"/>
                <w:szCs w:val="16"/>
                <w:color w:val="auto"/>
              </w:rPr>
              <w:t>period</w:t>
            </w:r>
            <w:r>
              <w:rPr>
                <w:rFonts w:ascii="Arial" w:cs="Arial" w:eastAsia="Arial" w:hAnsi="Arial"/>
                <w:sz w:val="21"/>
                <w:szCs w:val="21"/>
                <w:color w:val="auto"/>
                <w:vertAlign w:val="superscript"/>
              </w:rPr>
              <w:t>2</w:t>
            </w:r>
          </w:p>
        </w:tc>
        <w:tc>
          <w:tcPr>
            <w:tcW w:w="20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w:t>
            </w:r>
          </w:p>
        </w:tc>
        <w:tc>
          <w:tcPr>
            <w:tcW w:w="1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w:t>
            </w:r>
          </w:p>
        </w:tc>
        <w:tc>
          <w:tcPr>
            <w:tcW w:w="1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(0.22)</w:t>
            </w:r>
          </w:p>
        </w:tc>
      </w:tr>
      <w:tr>
        <w:trPr>
          <w:trHeight w:val="231"/>
        </w:trPr>
        <w:tc>
          <w:tcPr>
            <w:tcW w:w="3600" w:type="dxa"/>
            <w:vAlign w:val="bottom"/>
          </w:tcPr>
          <w:p>
            <w:pPr>
              <w:ind w:left="40"/>
              <w:spacing w:after="0"/>
              <w:rPr>
                <w:sz w:val="20"/>
                <w:szCs w:val="20"/>
                <w:color w:val="auto"/>
              </w:rPr>
            </w:pPr>
            <w:r>
              <w:rPr>
                <w:rFonts w:ascii="Arial" w:cs="Arial" w:eastAsia="Arial" w:hAnsi="Arial"/>
                <w:sz w:val="16"/>
                <w:szCs w:val="16"/>
                <w:b w:val="1"/>
                <w:bCs w:val="1"/>
                <w:color w:val="auto"/>
              </w:rPr>
              <w:t>Adjusted Earnings</w:t>
            </w:r>
          </w:p>
        </w:tc>
        <w:tc>
          <w:tcPr>
            <w:tcW w:w="2020" w:type="dxa"/>
            <w:vAlign w:val="bottom"/>
          </w:tcPr>
          <w:p>
            <w:pPr>
              <w:jc w:val="right"/>
              <w:ind w:right="299"/>
              <w:spacing w:after="0"/>
              <w:rPr>
                <w:sz w:val="20"/>
                <w:szCs w:val="20"/>
                <w:color w:val="auto"/>
              </w:rPr>
            </w:pPr>
            <w:r>
              <w:rPr>
                <w:rFonts w:ascii="Arial" w:cs="Arial" w:eastAsia="Arial" w:hAnsi="Arial"/>
                <w:sz w:val="16"/>
                <w:szCs w:val="16"/>
                <w:color w:val="auto"/>
              </w:rPr>
              <w:t>$148</w:t>
            </w:r>
          </w:p>
        </w:tc>
        <w:tc>
          <w:tcPr>
            <w:tcW w:w="1820" w:type="dxa"/>
            <w:vAlign w:val="bottom"/>
          </w:tcPr>
          <w:p>
            <w:pPr>
              <w:jc w:val="right"/>
              <w:ind w:right="11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20"/>
                <w:szCs w:val="20"/>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$311</w:t>
            </w:r>
          </w:p>
        </w:tc>
        <w:tc>
          <w:tcPr>
            <w:tcW w:w="1820" w:type="dxa"/>
            <w:vAlign w:val="bottom"/>
          </w:tcPr>
          <w:p>
            <w:pPr>
              <w:jc w:val="right"/>
              <w:ind w:right="139"/>
              <w:spacing w:after="0"/>
              <w:rPr>
                <w:sz w:val="20"/>
                <w:szCs w:val="20"/>
                <w:color w:val="auto"/>
              </w:rPr>
            </w:pPr>
            <w:r>
              <w:rPr>
                <w:rFonts w:ascii="Arial" w:cs="Arial" w:eastAsia="Arial" w:hAnsi="Arial"/>
                <w:sz w:val="16"/>
                <w:szCs w:val="16"/>
                <w:color w:val="auto"/>
              </w:rPr>
              <w:t>$1.77</w:t>
            </w:r>
          </w:p>
        </w:tc>
      </w:tr>
    </w:tbl>
    <w:p>
      <w:pPr>
        <w:spacing w:after="0" w:line="28" w:lineRule="exact"/>
        <w:rPr>
          <w:sz w:val="20"/>
          <w:szCs w:val="20"/>
          <w:color w:val="auto"/>
        </w:rPr>
      </w:pPr>
    </w:p>
    <w:p>
      <w:pPr>
        <w:jc w:val="both"/>
        <w:ind w:left="80" w:right="20" w:hanging="72"/>
        <w:spacing w:after="0" w:line="312" w:lineRule="auto"/>
        <w:tabs>
          <w:tab w:leader="none" w:pos="66" w:val="left"/>
        </w:tabs>
        <w:numPr>
          <w:ilvl w:val="0"/>
          <w:numId w:val="17"/>
        </w:numPr>
        <w:rPr>
          <w:rFonts w:ascii="Arial" w:cs="Arial" w:eastAsia="Arial" w:hAnsi="Arial"/>
          <w:sz w:val="8"/>
          <w:szCs w:val="8"/>
          <w:color w:val="auto"/>
        </w:rPr>
      </w:pPr>
      <w:r>
        <w:rPr>
          <w:rFonts w:ascii="Arial" w:cs="Arial" w:eastAsia="Arial" w:hAnsi="Arial"/>
          <w:sz w:val="13"/>
          <w:szCs w:val="13"/>
          <w:color w:val="auto"/>
        </w:rPr>
        <w:t>Due to the anti-dilutive effect resulting from the reported net loss, the impact of potentially dilutive securities on the per share amounts has been omitted from the quarterly calculation of weighted-average shares for diluted EPS for the quarter ended October 29, 2016. The impact of these potentially dilutive securities has been included in the calculation of weighted-average shares for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80" w:right="120" w:hanging="72"/>
        <w:spacing w:after="0" w:line="273" w:lineRule="auto"/>
        <w:tabs>
          <w:tab w:leader="none" w:pos="66"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effect of taxes on the adjustments used to arrive at Adjusted Earnings is calculated based on applying the estimated annual effective tax rate to Adjusted Earnings plus other tax items for each interim period. The impact of this tax effect will reverse in the fourth quarter of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Outlook</w:t>
      </w:r>
    </w:p>
    <w:p>
      <w:pPr>
        <w:spacing w:after="0" w:line="27"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Excluding the impairment charge, we raised our annual earnings per diluted share expectations to incorporate our third quarter results, which exceeded expectations primarily due to our efforts to realign inventory and improve operational efficiencies. Our expectations for fiscal 2016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20" w:type="dxa"/>
            <w:vAlign w:val="bottom"/>
          </w:tcPr>
          <w:p>
            <w:pPr>
              <w:jc w:val="right"/>
              <w:ind w:right="99"/>
              <w:spacing w:after="0"/>
              <w:rPr>
                <w:sz w:val="20"/>
                <w:szCs w:val="20"/>
                <w:color w:val="auto"/>
              </w:rPr>
            </w:pPr>
            <w:r>
              <w:rPr>
                <w:rFonts w:ascii="Arial" w:cs="Arial" w:eastAsia="Arial" w:hAnsi="Arial"/>
                <w:sz w:val="16"/>
                <w:szCs w:val="16"/>
                <w:b w:val="1"/>
                <w:bCs w:val="1"/>
                <w:color w:val="auto"/>
                <w:w w:val="97"/>
              </w:rPr>
              <w:t>Current Outlook, excluding</w:t>
            </w:r>
          </w:p>
        </w:tc>
        <w:tc>
          <w:tcPr>
            <w:tcW w:w="2000" w:type="dxa"/>
            <w:vAlign w:val="bottom"/>
          </w:tcPr>
          <w:p>
            <w:pPr>
              <w:spacing w:after="0"/>
              <w:rPr>
                <w:sz w:val="17"/>
                <w:szCs w:val="17"/>
                <w:color w:val="auto"/>
              </w:rPr>
            </w:pPr>
          </w:p>
        </w:tc>
      </w:tr>
      <w:tr>
        <w:trPr>
          <w:trHeight w:val="210"/>
        </w:trPr>
        <w:tc>
          <w:tcPr>
            <w:tcW w:w="4980" w:type="dxa"/>
            <w:vAlign w:val="bottom"/>
          </w:tcPr>
          <w:p>
            <w:pPr>
              <w:spacing w:after="0"/>
              <w:rPr>
                <w:sz w:val="18"/>
                <w:szCs w:val="18"/>
                <w:color w:val="auto"/>
              </w:rPr>
            </w:pPr>
          </w:p>
        </w:tc>
        <w:tc>
          <w:tcPr>
            <w:tcW w:w="2220" w:type="dxa"/>
            <w:vAlign w:val="bottom"/>
          </w:tcPr>
          <w:p>
            <w:pPr>
              <w:jc w:val="right"/>
              <w:ind w:right="39"/>
              <w:spacing w:after="0"/>
              <w:rPr>
                <w:sz w:val="20"/>
                <w:szCs w:val="20"/>
                <w:color w:val="auto"/>
              </w:rPr>
            </w:pPr>
            <w:r>
              <w:rPr>
                <w:rFonts w:ascii="Arial" w:cs="Arial" w:eastAsia="Arial" w:hAnsi="Arial"/>
                <w:sz w:val="16"/>
                <w:szCs w:val="16"/>
                <w:b w:val="1"/>
                <w:bCs w:val="1"/>
                <w:color w:val="auto"/>
              </w:rPr>
              <w:t>Prior Outlook</w:t>
            </w:r>
          </w:p>
        </w:tc>
        <w:tc>
          <w:tcPr>
            <w:tcW w:w="2220" w:type="dxa"/>
            <w:vAlign w:val="bottom"/>
          </w:tcPr>
          <w:p>
            <w:pPr>
              <w:jc w:val="right"/>
              <w:ind w:right="99"/>
              <w:spacing w:after="0"/>
              <w:rPr>
                <w:sz w:val="20"/>
                <w:szCs w:val="20"/>
                <w:color w:val="auto"/>
              </w:rPr>
            </w:pPr>
            <w:r>
              <w:rPr>
                <w:rFonts w:ascii="Arial" w:cs="Arial" w:eastAsia="Arial" w:hAnsi="Arial"/>
                <w:sz w:val="16"/>
                <w:szCs w:val="16"/>
                <w:b w:val="1"/>
                <w:bCs w:val="1"/>
                <w:color w:val="auto"/>
              </w:rPr>
              <w:t>impairment charge</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49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(percent)</w:t>
            </w:r>
          </w:p>
        </w:tc>
        <w:tc>
          <w:tcPr>
            <w:tcW w:w="2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 to 4.5 increase</w:t>
            </w:r>
          </w:p>
        </w:tc>
        <w:tc>
          <w:tcPr>
            <w:tcW w:w="2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Approximately 3.5 increase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Approximately 3.5 increase</w:t>
            </w:r>
          </w:p>
        </w:tc>
      </w:tr>
      <w:tr>
        <w:trPr>
          <w:trHeight w:val="224"/>
        </w:trPr>
        <w:tc>
          <w:tcPr>
            <w:tcW w:w="498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2220" w:type="dxa"/>
            <w:vAlign w:val="bottom"/>
          </w:tcPr>
          <w:p>
            <w:pPr>
              <w:jc w:val="right"/>
              <w:ind w:right="39"/>
              <w:spacing w:after="0"/>
              <w:rPr>
                <w:sz w:val="20"/>
                <w:szCs w:val="20"/>
                <w:color w:val="auto"/>
              </w:rPr>
            </w:pPr>
            <w:r>
              <w:rPr>
                <w:rFonts w:ascii="Arial" w:cs="Arial" w:eastAsia="Arial" w:hAnsi="Arial"/>
                <w:sz w:val="16"/>
                <w:szCs w:val="16"/>
                <w:color w:val="auto"/>
              </w:rPr>
              <w:t>1 decrease to 1 increase</w:t>
            </w:r>
          </w:p>
        </w:tc>
        <w:tc>
          <w:tcPr>
            <w:tcW w:w="2220" w:type="dxa"/>
            <w:vAlign w:val="bottom"/>
          </w:tcPr>
          <w:p>
            <w:pPr>
              <w:jc w:val="right"/>
              <w:ind w:right="99"/>
              <w:spacing w:after="0"/>
              <w:rPr>
                <w:sz w:val="20"/>
                <w:szCs w:val="20"/>
                <w:color w:val="auto"/>
              </w:rPr>
            </w:pPr>
            <w:r>
              <w:rPr>
                <w:rFonts w:ascii="Arial" w:cs="Arial" w:eastAsia="Arial" w:hAnsi="Arial"/>
                <w:sz w:val="16"/>
                <w:szCs w:val="16"/>
                <w:color w:val="auto"/>
              </w:rPr>
              <w:t>Approximately flat</w:t>
            </w:r>
          </w:p>
        </w:tc>
        <w:tc>
          <w:tcPr>
            <w:tcW w:w="2000" w:type="dxa"/>
            <w:vAlign w:val="bottom"/>
          </w:tcPr>
          <w:p>
            <w:pPr>
              <w:jc w:val="right"/>
              <w:spacing w:after="0"/>
              <w:rPr>
                <w:sz w:val="20"/>
                <w:szCs w:val="20"/>
                <w:color w:val="auto"/>
              </w:rPr>
            </w:pPr>
            <w:r>
              <w:rPr>
                <w:rFonts w:ascii="Arial" w:cs="Arial" w:eastAsia="Arial" w:hAnsi="Arial"/>
                <w:sz w:val="16"/>
                <w:szCs w:val="16"/>
                <w:color w:val="auto"/>
              </w:rPr>
              <w:t>Approximately flat</w:t>
            </w:r>
          </w:p>
        </w:tc>
      </w:tr>
      <w:tr>
        <w:trPr>
          <w:trHeight w:val="33"/>
        </w:trPr>
        <w:tc>
          <w:tcPr>
            <w:tcW w:w="4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EBIT (percent)</w:t>
            </w:r>
          </w:p>
        </w:tc>
        <w:tc>
          <w:tcPr>
            <w:tcW w:w="2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 to 15 decrease</w:t>
            </w:r>
          </w:p>
        </w:tc>
        <w:tc>
          <w:tcPr>
            <w:tcW w:w="2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 to 10 decrease</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to 35 decrease</w:t>
            </w:r>
          </w:p>
        </w:tc>
      </w:tr>
      <w:tr>
        <w:trPr>
          <w:trHeight w:val="224"/>
        </w:trPr>
        <w:tc>
          <w:tcPr>
            <w:tcW w:w="4980" w:type="dxa"/>
            <w:vAlign w:val="bottom"/>
          </w:tcPr>
          <w:p>
            <w:pPr>
              <w:ind w:left="40"/>
              <w:spacing w:after="0"/>
              <w:rPr>
                <w:sz w:val="20"/>
                <w:szCs w:val="20"/>
                <w:color w:val="auto"/>
              </w:rPr>
            </w:pPr>
            <w:r>
              <w:rPr>
                <w:rFonts w:ascii="Arial" w:cs="Arial" w:eastAsia="Arial" w:hAnsi="Arial"/>
                <w:sz w:val="16"/>
                <w:szCs w:val="16"/>
                <w:color w:val="auto"/>
              </w:rPr>
              <w:t>Credit EBIT</w:t>
            </w:r>
          </w:p>
        </w:tc>
        <w:tc>
          <w:tcPr>
            <w:tcW w:w="2220" w:type="dxa"/>
            <w:vAlign w:val="bottom"/>
          </w:tcPr>
          <w:p>
            <w:pPr>
              <w:jc w:val="right"/>
              <w:ind w:right="39"/>
              <w:spacing w:after="0"/>
              <w:rPr>
                <w:sz w:val="20"/>
                <w:szCs w:val="20"/>
                <w:color w:val="auto"/>
              </w:rPr>
            </w:pPr>
            <w:r>
              <w:rPr>
                <w:rFonts w:ascii="Arial" w:cs="Arial" w:eastAsia="Arial" w:hAnsi="Arial"/>
                <w:sz w:val="16"/>
                <w:szCs w:val="16"/>
                <w:color w:val="auto"/>
              </w:rPr>
              <w:t>Approximately $80</w:t>
            </w:r>
          </w:p>
        </w:tc>
        <w:tc>
          <w:tcPr>
            <w:tcW w:w="2220" w:type="dxa"/>
            <w:vAlign w:val="bottom"/>
          </w:tcPr>
          <w:p>
            <w:pPr>
              <w:jc w:val="right"/>
              <w:ind w:right="99"/>
              <w:spacing w:after="0"/>
              <w:rPr>
                <w:sz w:val="20"/>
                <w:szCs w:val="20"/>
                <w:color w:val="auto"/>
              </w:rPr>
            </w:pPr>
            <w:r>
              <w:rPr>
                <w:rFonts w:ascii="Arial" w:cs="Arial" w:eastAsia="Arial" w:hAnsi="Arial"/>
                <w:sz w:val="16"/>
                <w:szCs w:val="16"/>
                <w:color w:val="auto"/>
              </w:rPr>
              <w:t>Approximately $90</w:t>
            </w:r>
          </w:p>
        </w:tc>
        <w:tc>
          <w:tcPr>
            <w:tcW w:w="2000" w:type="dxa"/>
            <w:vAlign w:val="bottom"/>
          </w:tcPr>
          <w:p>
            <w:pPr>
              <w:jc w:val="right"/>
              <w:spacing w:after="0"/>
              <w:rPr>
                <w:sz w:val="20"/>
                <w:szCs w:val="20"/>
                <w:color w:val="auto"/>
              </w:rPr>
            </w:pPr>
            <w:r>
              <w:rPr>
                <w:rFonts w:ascii="Arial" w:cs="Arial" w:eastAsia="Arial" w:hAnsi="Arial"/>
                <w:sz w:val="16"/>
                <w:szCs w:val="16"/>
                <w:color w:val="auto"/>
              </w:rPr>
              <w:t>Approximately $90</w:t>
            </w:r>
          </w:p>
        </w:tc>
      </w:tr>
      <w:tr>
        <w:trPr>
          <w:trHeight w:val="33"/>
        </w:trPr>
        <w:tc>
          <w:tcPr>
            <w:tcW w:w="4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future share</w:t>
            </w:r>
          </w:p>
        </w:tc>
        <w:tc>
          <w:tcPr>
            <w:tcW w:w="22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19"/>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w:t>
            </w:r>
          </w:p>
        </w:tc>
        <w:tc>
          <w:tcPr>
            <w:tcW w:w="2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 to $2.75</w:t>
            </w:r>
          </w:p>
        </w:tc>
        <w:tc>
          <w:tcPr>
            <w:tcW w:w="2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$2.85 to $2.95</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 to $1.80</w:t>
            </w:r>
          </w:p>
        </w:tc>
      </w:tr>
      <w:tr>
        <w:trPr>
          <w:trHeight w:val="20"/>
        </w:trPr>
        <w:tc>
          <w:tcPr>
            <w:tcW w:w="498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and Adjusted ROIC (Non-GAAP financial measures)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The effect of excluding certain items from ROIC to arrive at an Adjusted ROIC provides management and shareholders an alternative measure to use in evaluating our results period over period. For the 12 fiscal months ended October 29, 2016, our ROIC and Adjusted ROIC decreased compared with the 12 fiscal months ended October 31, 2015, primarily due to reduced earnings.</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define ROIC as our net operating profit after tax divided by our average invested capital using the trailing 12-month average. ROIC and Adjusted ROIC are not measures of financial performance under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and Adjusted ROIC is return on assets. The following is a reconciliation of the components and adjustments to ROIC and return on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6"/>
                <w:szCs w:val="16"/>
                <w:b w:val="1"/>
                <w:bCs w:val="1"/>
                <w:color w:val="auto"/>
              </w:rPr>
              <w:t>12 Fiscal Months Ended</w:t>
            </w:r>
          </w:p>
        </w:tc>
        <w:tc>
          <w:tcPr>
            <w:tcW w:w="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780" w:type="dxa"/>
            <w:vAlign w:val="bottom"/>
          </w:tcPr>
          <w:p>
            <w:pPr>
              <w:jc w:val="right"/>
              <w:ind w:right="1259"/>
              <w:spacing w:after="0"/>
              <w:rPr>
                <w:sz w:val="20"/>
                <w:szCs w:val="20"/>
                <w:color w:val="auto"/>
              </w:rPr>
            </w:pPr>
            <w:r>
              <w:rPr>
                <w:rFonts w:ascii="Arial" w:cs="Arial" w:eastAsia="Arial" w:hAnsi="Arial"/>
                <w:sz w:val="16"/>
                <w:szCs w:val="16"/>
                <w:b w:val="1"/>
                <w:bCs w:val="1"/>
                <w:color w:val="auto"/>
              </w:rPr>
              <w:t>October 29, 2016</w:t>
            </w:r>
          </w:p>
        </w:tc>
        <w:tc>
          <w:tcPr>
            <w:tcW w:w="9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Unadjusted</w:t>
            </w:r>
          </w:p>
        </w:tc>
        <w:tc>
          <w:tcPr>
            <w:tcW w:w="278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Adjustments</w:t>
            </w:r>
            <w:r>
              <w:rPr>
                <w:rFonts w:ascii="Arial" w:cs="Arial" w:eastAsia="Arial" w:hAnsi="Arial"/>
                <w:sz w:val="21"/>
                <w:szCs w:val="21"/>
                <w:color w:val="auto"/>
                <w:vertAlign w:val="superscript"/>
              </w:rPr>
              <w:t>1</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Adjusted</w:t>
            </w:r>
          </w:p>
        </w:tc>
        <w:tc>
          <w:tcPr>
            <w:tcW w:w="2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October 31, 2015</w:t>
            </w: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0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$333</w:t>
            </w:r>
          </w:p>
        </w:tc>
        <w:tc>
          <w:tcPr>
            <w:tcW w:w="278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$197</w:t>
            </w:r>
          </w:p>
        </w:tc>
        <w:tc>
          <w:tcPr>
            <w:tcW w:w="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$530</w:t>
            </w:r>
          </w:p>
        </w:tc>
        <w:tc>
          <w:tcPr>
            <w:tcW w:w="2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080" w:type="dxa"/>
            <w:vAlign w:val="bottom"/>
          </w:tcPr>
          <w:p>
            <w:pPr>
              <w:jc w:val="right"/>
              <w:ind w:right="359"/>
              <w:spacing w:after="0"/>
              <w:rPr>
                <w:sz w:val="20"/>
                <w:szCs w:val="20"/>
                <w:color w:val="auto"/>
              </w:rPr>
            </w:pPr>
            <w:r>
              <w:rPr>
                <w:rFonts w:ascii="Arial" w:cs="Arial" w:eastAsia="Arial" w:hAnsi="Arial"/>
                <w:sz w:val="16"/>
                <w:szCs w:val="16"/>
                <w:b w:val="1"/>
                <w:bCs w:val="1"/>
                <w:color w:val="auto"/>
              </w:rPr>
              <w:t>252</w:t>
            </w:r>
          </w:p>
        </w:tc>
        <w:tc>
          <w:tcPr>
            <w:tcW w:w="278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252</w:t>
            </w:r>
          </w:p>
        </w:tc>
        <w:tc>
          <w:tcPr>
            <w:tcW w:w="2060" w:type="dxa"/>
            <w:vAlign w:val="bottom"/>
          </w:tcPr>
          <w:p>
            <w:pPr>
              <w:jc w:val="right"/>
              <w:ind w:right="2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0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121</w:t>
            </w:r>
          </w:p>
        </w:tc>
        <w:tc>
          <w:tcPr>
            <w:tcW w:w="278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121</w:t>
            </w:r>
          </w:p>
        </w:tc>
        <w:tc>
          <w:tcPr>
            <w:tcW w:w="2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1"/>
        </w:trPr>
        <w:tc>
          <w:tcPr>
            <w:tcW w:w="35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9"/>
              </w:rPr>
              <w:t>Earnings before interest and income tax expense</w:t>
            </w:r>
          </w:p>
        </w:tc>
        <w:tc>
          <w:tcPr>
            <w:tcW w:w="20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706</w:t>
            </w:r>
          </w:p>
        </w:tc>
        <w:tc>
          <w:tcPr>
            <w:tcW w:w="2780" w:type="dxa"/>
            <w:vAlign w:val="bottom"/>
            <w:tcBorders>
              <w:top w:val="single" w:sz="8" w:color="auto"/>
            </w:tcBorders>
          </w:tcPr>
          <w:p>
            <w:pPr>
              <w:jc w:val="right"/>
              <w:ind w:right="1059"/>
              <w:spacing w:after="0"/>
              <w:rPr>
                <w:sz w:val="20"/>
                <w:szCs w:val="20"/>
                <w:color w:val="auto"/>
              </w:rPr>
            </w:pPr>
            <w:r>
              <w:rPr>
                <w:rFonts w:ascii="Arial" w:cs="Arial" w:eastAsia="Arial" w:hAnsi="Arial"/>
                <w:sz w:val="16"/>
                <w:szCs w:val="16"/>
                <w:color w:val="auto"/>
              </w:rPr>
              <w:t>197</w:t>
            </w:r>
          </w:p>
        </w:tc>
        <w:tc>
          <w:tcPr>
            <w:tcW w:w="9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903</w:t>
            </w:r>
          </w:p>
        </w:tc>
        <w:tc>
          <w:tcPr>
            <w:tcW w:w="20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5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2080" w:type="dxa"/>
            <w:vAlign w:val="bottom"/>
          </w:tcPr>
          <w:p>
            <w:pPr>
              <w:jc w:val="right"/>
              <w:ind w:right="359"/>
              <w:spacing w:after="0"/>
              <w:rPr>
                <w:sz w:val="20"/>
                <w:szCs w:val="20"/>
                <w:color w:val="auto"/>
              </w:rPr>
            </w:pPr>
            <w:r>
              <w:rPr>
                <w:rFonts w:ascii="Arial" w:cs="Arial" w:eastAsia="Arial" w:hAnsi="Arial"/>
                <w:sz w:val="16"/>
                <w:szCs w:val="16"/>
                <w:b w:val="1"/>
                <w:bCs w:val="1"/>
                <w:color w:val="auto"/>
              </w:rPr>
              <w:t>195</w:t>
            </w:r>
          </w:p>
        </w:tc>
        <w:tc>
          <w:tcPr>
            <w:tcW w:w="278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195</w:t>
            </w:r>
          </w:p>
        </w:tc>
        <w:tc>
          <w:tcPr>
            <w:tcW w:w="2060" w:type="dxa"/>
            <w:vAlign w:val="bottom"/>
          </w:tcPr>
          <w:p>
            <w:pPr>
              <w:jc w:val="right"/>
              <w:ind w:right="2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Less: estimated depreciation on capitalized operating</w:t>
            </w:r>
          </w:p>
        </w:tc>
        <w:tc>
          <w:tcPr>
            <w:tcW w:w="208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(103)</w:t>
            </w:r>
          </w:p>
        </w:tc>
        <w:tc>
          <w:tcPr>
            <w:tcW w:w="2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tcBorders>
              <w:bottom w:val="single" w:sz="8" w:color="auto"/>
            </w:tcBorders>
            <w:shd w:val="clear" w:color="auto" w:fill="CCEEFF"/>
          </w:tcPr>
          <w:p>
            <w:pPr>
              <w:ind w:left="280"/>
              <w:spacing w:after="0" w:line="239" w:lineRule="exact"/>
              <w:rPr>
                <w:sz w:val="20"/>
                <w:szCs w:val="20"/>
                <w:color w:val="auto"/>
              </w:rPr>
            </w:pPr>
            <w:r>
              <w:rPr>
                <w:rFonts w:ascii="Arial" w:cs="Arial" w:eastAsia="Arial" w:hAnsi="Arial"/>
                <w:sz w:val="16"/>
                <w:szCs w:val="16"/>
                <w:color w:val="auto"/>
              </w:rPr>
              <w:t>leases</w:t>
            </w:r>
            <w:r>
              <w:rPr>
                <w:rFonts w:ascii="Arial" w:cs="Arial" w:eastAsia="Arial" w:hAnsi="Arial"/>
                <w:sz w:val="21"/>
                <w:szCs w:val="21"/>
                <w:color w:val="auto"/>
                <w:vertAlign w:val="superscript"/>
              </w:rPr>
              <w:t>2</w:t>
            </w:r>
          </w:p>
        </w:tc>
        <w:tc>
          <w:tcPr>
            <w:tcW w:w="2080" w:type="dxa"/>
            <w:vAlign w:val="bottom"/>
            <w:tcBorders>
              <w:bottom w:val="single" w:sz="8" w:color="auto"/>
            </w:tcBorders>
            <w:vMerge w:val="continue"/>
            <w:shd w:val="clear" w:color="auto" w:fill="CCEEFF"/>
          </w:tcPr>
          <w:p>
            <w:pPr>
              <w:spacing w:after="0"/>
              <w:rPr>
                <w:sz w:val="20"/>
                <w:szCs w:val="20"/>
                <w:color w:val="auto"/>
              </w:rPr>
            </w:pPr>
          </w:p>
        </w:tc>
        <w:tc>
          <w:tcPr>
            <w:tcW w:w="278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(103)</w:t>
            </w:r>
          </w:p>
        </w:tc>
        <w:tc>
          <w:tcPr>
            <w:tcW w:w="2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1"/>
        </w:trPr>
        <w:tc>
          <w:tcPr>
            <w:tcW w:w="3520" w:type="dxa"/>
            <w:vAlign w:val="bottom"/>
          </w:tcPr>
          <w:p>
            <w:pPr>
              <w:ind w:left="40"/>
              <w:spacing w:after="0"/>
              <w:rPr>
                <w:sz w:val="20"/>
                <w:szCs w:val="20"/>
                <w:color w:val="auto"/>
              </w:rPr>
            </w:pPr>
            <w:r>
              <w:rPr>
                <w:rFonts w:ascii="Arial" w:cs="Arial" w:eastAsia="Arial" w:hAnsi="Arial"/>
                <w:sz w:val="16"/>
                <w:szCs w:val="16"/>
                <w:color w:val="auto"/>
              </w:rPr>
              <w:t>Net operating profit</w:t>
            </w:r>
          </w:p>
        </w:tc>
        <w:tc>
          <w:tcPr>
            <w:tcW w:w="2080" w:type="dxa"/>
            <w:vAlign w:val="bottom"/>
          </w:tcPr>
          <w:p>
            <w:pPr>
              <w:jc w:val="right"/>
              <w:ind w:right="359"/>
              <w:spacing w:after="0"/>
              <w:rPr>
                <w:sz w:val="20"/>
                <w:szCs w:val="20"/>
                <w:color w:val="auto"/>
              </w:rPr>
            </w:pPr>
            <w:r>
              <w:rPr>
                <w:rFonts w:ascii="Arial" w:cs="Arial" w:eastAsia="Arial" w:hAnsi="Arial"/>
                <w:sz w:val="16"/>
                <w:szCs w:val="16"/>
                <w:b w:val="1"/>
                <w:bCs w:val="1"/>
                <w:color w:val="auto"/>
              </w:rPr>
              <w:t>798</w:t>
            </w:r>
          </w:p>
        </w:tc>
        <w:tc>
          <w:tcPr>
            <w:tcW w:w="2780" w:type="dxa"/>
            <w:vAlign w:val="bottom"/>
          </w:tcPr>
          <w:p>
            <w:pPr>
              <w:jc w:val="right"/>
              <w:ind w:right="1059"/>
              <w:spacing w:after="0"/>
              <w:rPr>
                <w:sz w:val="20"/>
                <w:szCs w:val="20"/>
                <w:color w:val="auto"/>
              </w:rPr>
            </w:pPr>
            <w:r>
              <w:rPr>
                <w:rFonts w:ascii="Arial" w:cs="Arial" w:eastAsia="Arial" w:hAnsi="Arial"/>
                <w:sz w:val="16"/>
                <w:szCs w:val="16"/>
                <w:color w:val="auto"/>
              </w:rPr>
              <w:t>197</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995</w:t>
            </w:r>
          </w:p>
        </w:tc>
        <w:tc>
          <w:tcPr>
            <w:tcW w:w="2060" w:type="dxa"/>
            <w:vAlign w:val="bottom"/>
          </w:tcPr>
          <w:p>
            <w:pPr>
              <w:jc w:val="right"/>
              <w:ind w:right="219"/>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5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080" w:type="dxa"/>
            <w:vAlign w:val="bottom"/>
          </w:tcPr>
          <w:p>
            <w:pPr>
              <w:jc w:val="right"/>
              <w:ind w:right="319"/>
              <w:spacing w:after="0"/>
              <w:rPr>
                <w:sz w:val="20"/>
                <w:szCs w:val="20"/>
                <w:color w:val="auto"/>
              </w:rPr>
            </w:pPr>
            <w:r>
              <w:rPr>
                <w:rFonts w:ascii="Arial" w:cs="Arial" w:eastAsia="Arial" w:hAnsi="Arial"/>
                <w:sz w:val="16"/>
                <w:szCs w:val="16"/>
                <w:b w:val="1"/>
                <w:bCs w:val="1"/>
                <w:color w:val="auto"/>
              </w:rPr>
              <w:t>(383)</w:t>
            </w:r>
          </w:p>
        </w:tc>
        <w:tc>
          <w:tcPr>
            <w:tcW w:w="278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(383)</w:t>
            </w:r>
          </w:p>
        </w:tc>
        <w:tc>
          <w:tcPr>
            <w:tcW w:w="2060" w:type="dxa"/>
            <w:vAlign w:val="bottom"/>
          </w:tcPr>
          <w:p>
            <w:pPr>
              <w:jc w:val="right"/>
              <w:ind w:right="15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33"/>
        </w:trPr>
        <w:tc>
          <w:tcPr>
            <w:tcW w:w="3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20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$415</w:t>
            </w:r>
          </w:p>
        </w:tc>
        <w:tc>
          <w:tcPr>
            <w:tcW w:w="278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$197</w:t>
            </w:r>
          </w:p>
        </w:tc>
        <w:tc>
          <w:tcPr>
            <w:tcW w:w="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$612</w:t>
            </w:r>
          </w:p>
        </w:tc>
        <w:tc>
          <w:tcPr>
            <w:tcW w:w="2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91"/>
        </w:trPr>
        <w:tc>
          <w:tcPr>
            <w:tcW w:w="35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0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$7,987</w:t>
            </w:r>
          </w:p>
        </w:tc>
        <w:tc>
          <w:tcPr>
            <w:tcW w:w="278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$7,987</w:t>
            </w:r>
          </w:p>
        </w:tc>
        <w:tc>
          <w:tcPr>
            <w:tcW w:w="2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$9,362</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w w:val="94"/>
              </w:rPr>
              <w:t>Less: average non-interest-bearing current liabilities</w:t>
            </w:r>
          </w:p>
        </w:tc>
        <w:tc>
          <w:tcPr>
            <w:tcW w:w="2080" w:type="dxa"/>
            <w:vAlign w:val="bottom"/>
          </w:tcPr>
          <w:p>
            <w:pPr>
              <w:jc w:val="right"/>
              <w:ind w:right="319"/>
              <w:spacing w:after="0"/>
              <w:rPr>
                <w:sz w:val="20"/>
                <w:szCs w:val="20"/>
                <w:color w:val="auto"/>
              </w:rPr>
            </w:pPr>
            <w:r>
              <w:rPr>
                <w:rFonts w:ascii="Arial" w:cs="Arial" w:eastAsia="Arial" w:hAnsi="Arial"/>
                <w:sz w:val="16"/>
                <w:szCs w:val="16"/>
                <w:b w:val="1"/>
                <w:bCs w:val="1"/>
                <w:color w:val="auto"/>
              </w:rPr>
              <w:t>(3,105)</w:t>
            </w:r>
          </w:p>
        </w:tc>
        <w:tc>
          <w:tcPr>
            <w:tcW w:w="278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(3,105)</w:t>
            </w:r>
          </w:p>
        </w:tc>
        <w:tc>
          <w:tcPr>
            <w:tcW w:w="2060" w:type="dxa"/>
            <w:vAlign w:val="bottom"/>
          </w:tcPr>
          <w:p>
            <w:pPr>
              <w:jc w:val="right"/>
              <w:ind w:right="159"/>
              <w:spacing w:after="0"/>
              <w:rPr>
                <w:sz w:val="20"/>
                <w:szCs w:val="20"/>
                <w:color w:val="auto"/>
              </w:rPr>
            </w:pPr>
            <w:r>
              <w:rPr>
                <w:rFonts w:ascii="Arial" w:cs="Arial" w:eastAsia="Arial" w:hAnsi="Arial"/>
                <w:sz w:val="16"/>
                <w:szCs w:val="16"/>
                <w:color w:val="auto"/>
              </w:rPr>
              <w:t>(2,965)</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w:t>
            </w:r>
          </w:p>
        </w:tc>
        <w:tc>
          <w:tcPr>
            <w:tcW w:w="20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(541)</w:t>
            </w:r>
          </w:p>
        </w:tc>
        <w:tc>
          <w:tcPr>
            <w:tcW w:w="278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(541)</w:t>
            </w:r>
          </w:p>
        </w:tc>
        <w:tc>
          <w:tcPr>
            <w:tcW w:w="2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20"/>
        </w:trPr>
        <w:tc>
          <w:tcPr>
            <w:tcW w:w="3520" w:type="dxa"/>
            <w:vAlign w:val="bottom"/>
          </w:tcPr>
          <w:p>
            <w:pPr>
              <w:ind w:left="40"/>
              <w:spacing w:after="0"/>
              <w:rPr>
                <w:sz w:val="20"/>
                <w:szCs w:val="20"/>
                <w:color w:val="auto"/>
              </w:rPr>
            </w:pPr>
            <w:r>
              <w:rPr>
                <w:rFonts w:ascii="Arial" w:cs="Arial" w:eastAsia="Arial" w:hAnsi="Arial"/>
                <w:sz w:val="16"/>
                <w:szCs w:val="16"/>
                <w:color w:val="auto"/>
                <w:w w:val="99"/>
              </w:rPr>
              <w:t>Add: average estimated asset base of capitalized</w:t>
            </w:r>
          </w:p>
        </w:tc>
        <w:tc>
          <w:tcPr>
            <w:tcW w:w="20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1,452</w:t>
            </w:r>
          </w:p>
        </w:tc>
        <w:tc>
          <w:tcPr>
            <w:tcW w:w="2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tcBorders>
              <w:bottom w:val="single" w:sz="8" w:color="auto"/>
            </w:tcBorders>
          </w:tcPr>
          <w:p>
            <w:pPr>
              <w:ind w:left="280"/>
              <w:spacing w:after="0" w:line="239" w:lineRule="exact"/>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3</w:t>
            </w:r>
          </w:p>
        </w:tc>
        <w:tc>
          <w:tcPr>
            <w:tcW w:w="2080" w:type="dxa"/>
            <w:vAlign w:val="bottom"/>
            <w:tcBorders>
              <w:bottom w:val="single" w:sz="8" w:color="auto"/>
            </w:tcBorders>
            <w:vMerge w:val="continue"/>
          </w:tcPr>
          <w:p>
            <w:pPr>
              <w:spacing w:after="0"/>
              <w:rPr>
                <w:sz w:val="20"/>
                <w:szCs w:val="20"/>
                <w:color w:val="auto"/>
              </w:rPr>
            </w:pPr>
          </w:p>
        </w:tc>
        <w:tc>
          <w:tcPr>
            <w:tcW w:w="278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1,452</w:t>
            </w:r>
          </w:p>
        </w:tc>
        <w:tc>
          <w:tcPr>
            <w:tcW w:w="2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0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$5,793</w:t>
            </w:r>
          </w:p>
        </w:tc>
        <w:tc>
          <w:tcPr>
            <w:tcW w:w="278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$5,793</w:t>
            </w:r>
          </w:p>
        </w:tc>
        <w:tc>
          <w:tcPr>
            <w:tcW w:w="20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r>
        <w:trPr>
          <w:trHeight w:val="291"/>
        </w:trPr>
        <w:tc>
          <w:tcPr>
            <w:tcW w:w="35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p>
        </w:tc>
        <w:tc>
          <w:tcPr>
            <w:tcW w:w="2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4.2%</w:t>
            </w:r>
          </w:p>
        </w:tc>
        <w:tc>
          <w:tcPr>
            <w:tcW w:w="2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b w:val="1"/>
                <w:bCs w:val="1"/>
                <w:color w:val="auto"/>
              </w:rPr>
              <w:t>ROIC/Adjusted ROIC</w:t>
            </w:r>
          </w:p>
        </w:tc>
        <w:tc>
          <w:tcPr>
            <w:tcW w:w="2080" w:type="dxa"/>
            <w:vAlign w:val="bottom"/>
          </w:tcPr>
          <w:p>
            <w:pPr>
              <w:jc w:val="right"/>
              <w:ind w:right="199"/>
              <w:spacing w:after="0"/>
              <w:rPr>
                <w:sz w:val="20"/>
                <w:szCs w:val="20"/>
                <w:color w:val="auto"/>
              </w:rPr>
            </w:pPr>
            <w:r>
              <w:rPr>
                <w:rFonts w:ascii="Arial" w:cs="Arial" w:eastAsia="Arial" w:hAnsi="Arial"/>
                <w:sz w:val="16"/>
                <w:szCs w:val="16"/>
                <w:b w:val="1"/>
                <w:bCs w:val="1"/>
                <w:color w:val="auto"/>
              </w:rPr>
              <w:t>7.2%</w:t>
            </w:r>
          </w:p>
        </w:tc>
        <w:tc>
          <w:tcPr>
            <w:tcW w:w="27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80" w:hanging="72"/>
        <w:spacing w:after="0"/>
        <w:tabs>
          <w:tab w:leader="none" w:pos="80" w:val="left"/>
        </w:tabs>
        <w:numPr>
          <w:ilvl w:val="0"/>
          <w:numId w:val="19"/>
        </w:numPr>
        <w:rPr>
          <w:rFonts w:ascii="Arial" w:cs="Arial" w:eastAsia="Arial" w:hAnsi="Arial"/>
          <w:sz w:val="8"/>
          <w:szCs w:val="8"/>
          <w:color w:val="auto"/>
        </w:rPr>
      </w:pPr>
      <w:r>
        <w:rPr>
          <w:rFonts w:ascii="Arial" w:cs="Arial" w:eastAsia="Arial" w:hAnsi="Arial"/>
          <w:sz w:val="13"/>
          <w:szCs w:val="13"/>
          <w:color w:val="auto"/>
        </w:rPr>
        <w:t>The adjustment for the 12 fiscal months ended October 29, 2016 includes the goodwill impairment charge of $197 related to Trunk Club (see Note 4: Fair Value Measurements in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80" w:right="200" w:hanging="72"/>
        <w:spacing w:after="0" w:line="241" w:lineRule="auto"/>
        <w:tabs>
          <w:tab w:leader="none" w:pos="66" w:val="left"/>
        </w:tabs>
        <w:numPr>
          <w:ilvl w:val="0"/>
          <w:numId w:val="20"/>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if they had met the criteria for a capital lease or we had purchased the property. Asset base is calculated as described in footnote 3 below.</w:t>
      </w:r>
    </w:p>
    <w:p>
      <w:pPr>
        <w:spacing w:after="0" w:line="1" w:lineRule="exact"/>
        <w:rPr>
          <w:sz w:val="20"/>
          <w:szCs w:val="20"/>
          <w:color w:val="auto"/>
        </w:rPr>
      </w:pPr>
    </w:p>
    <w:p>
      <w:pPr>
        <w:ind w:left="80" w:right="80" w:hanging="72"/>
        <w:spacing w:after="0" w:line="255" w:lineRule="auto"/>
        <w:tabs>
          <w:tab w:leader="none" w:pos="66" w:val="left"/>
        </w:tabs>
        <w:numPr>
          <w:ilvl w:val="0"/>
          <w:numId w:val="21"/>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29</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October 29, 2016, our existing cash and cash equivalents on-hand of $531, available credit facilities of $800 and potential future operating cash flows and borrowings will be sufficient to fund these scheduled future payments and potential long-term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Net cash provided by operating activities decreased $873 for the nine months ended October 29, 2016, compared with the same period in 2015, primarily due to $1,297 of proceeds received in 2015 related to the sale of credit card receivables originated at Nordstrom, partially offset by favorable changes in working capital, which includes our efforts to align inventory levels with sales trends.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investing activities was $578 for the nine months ended October 29, 2016, compared with net cash provided by investing activities of $69 for the same period in 2015, primarily due to proceeds of $890 received in 2015 related to the sale of the credit card receivables originated at third parties. This was partially offset by a decrease in capital expenditures related to lower spend on full-line store openings and relocations and our East Coast Fulfillment Center, which was completed in the third quarter of 2015.</w:t>
      </w:r>
    </w:p>
    <w:p>
      <w:pPr>
        <w:spacing w:after="0" w:line="13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the beginning of our second quarter, we completed a review of our five-year capital plan, resulting in reduced spend of approximately $400, or 10%, primarily related to new stores and remodels over the next few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Net cash used in financing activities was $358 for the nine months ended October 29, 2016, compared with $1,820 for the same period in 2015. This decrease was largely attributed to the $1.8 billion we returned to shareholders in 2015 through a special cash dividend and repurchases of common stock as a result of the sale of our credit card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nine months ended October 29, 2016, we had Free Cash Flow of ($72) compared with $702 for the nine months ended October 31, 2015.</w:t>
      </w:r>
    </w:p>
    <w:p>
      <w:pPr>
        <w:spacing w:after="0" w:line="13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760" w:type="dxa"/>
            <w:vAlign w:val="bottom"/>
            <w:gridSpan w:val="2"/>
          </w:tcPr>
          <w:p>
            <w:pPr>
              <w:jc w:val="right"/>
              <w:ind w:right="109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4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120" w:type="dxa"/>
            <w:vAlign w:val="bottom"/>
          </w:tcPr>
          <w:p>
            <w:pPr>
              <w:jc w:val="right"/>
              <w:ind w:right="319"/>
              <w:spacing w:after="0"/>
              <w:rPr>
                <w:sz w:val="20"/>
                <w:szCs w:val="20"/>
                <w:color w:val="auto"/>
              </w:rPr>
            </w:pPr>
            <w:r>
              <w:rPr>
                <w:rFonts w:ascii="Arial" w:cs="Arial" w:eastAsia="Arial" w:hAnsi="Arial"/>
                <w:sz w:val="16"/>
                <w:szCs w:val="16"/>
                <w:b w:val="1"/>
                <w:bCs w:val="1"/>
                <w:color w:val="auto"/>
              </w:rPr>
              <w:t>October 29, 2016</w:t>
            </w: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auto"/>
              </w:rPr>
              <w:t>October 31, 2015</w:t>
            </w:r>
          </w:p>
        </w:tc>
      </w:tr>
      <w:tr>
        <w:trPr>
          <w:trHeight w:val="33"/>
        </w:trPr>
        <w:tc>
          <w:tcPr>
            <w:tcW w:w="7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1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$872</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$1,745</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(625)</w:t>
            </w:r>
          </w:p>
        </w:tc>
        <w:tc>
          <w:tcPr>
            <w:tcW w:w="164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33"/>
        </w:trPr>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(192)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proceeds from sale of accounts receivable originated at third parties</w:t>
            </w:r>
          </w:p>
        </w:tc>
        <w:tc>
          <w:tcPr>
            <w:tcW w:w="21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890</w:t>
            </w:r>
          </w:p>
        </w:tc>
      </w:tr>
      <w:tr>
        <w:trPr>
          <w:trHeight w:val="33"/>
        </w:trPr>
        <w:tc>
          <w:tcPr>
            <w:tcW w:w="7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 in credit card receivables originated at third parties</w:t>
            </w:r>
          </w:p>
        </w:tc>
        <w:tc>
          <w:tcPr>
            <w:tcW w:w="21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(Less) Add: change in cash book overdrafts</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(127)</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33"/>
        </w:trPr>
        <w:tc>
          <w:tcPr>
            <w:tcW w:w="76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Free Cash Flow</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($72)</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w:t>
            </w:r>
          </w:p>
        </w:tc>
      </w:tr>
      <w:tr>
        <w:trPr>
          <w:trHeight w:val="20"/>
        </w:trPr>
        <w:tc>
          <w:tcPr>
            <w:tcW w:w="76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provided by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jc w:val="right"/>
              <w:ind w:right="639"/>
              <w:spacing w:after="0"/>
              <w:rPr>
                <w:sz w:val="20"/>
                <w:szCs w:val="20"/>
                <w:color w:val="auto"/>
              </w:rPr>
            </w:pPr>
            <w:r>
              <w:rPr>
                <w:rFonts w:ascii="Arial" w:cs="Arial" w:eastAsia="Arial" w:hAnsi="Arial"/>
                <w:sz w:val="16"/>
                <w:szCs w:val="16"/>
                <w:b w:val="1"/>
                <w:bCs w:val="1"/>
                <w:color w:val="auto"/>
                <w:w w:val="90"/>
              </w:rPr>
              <w:t>($578)</w:t>
            </w: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1160" w:type="dxa"/>
            <w:vAlign w:val="bottom"/>
          </w:tcPr>
          <w:p>
            <w:pPr>
              <w:jc w:val="right"/>
              <w:ind w:right="639"/>
              <w:spacing w:after="0"/>
              <w:rPr>
                <w:sz w:val="20"/>
                <w:szCs w:val="20"/>
                <w:color w:val="auto"/>
              </w:rPr>
            </w:pPr>
            <w:r>
              <w:rPr>
                <w:rFonts w:ascii="Arial" w:cs="Arial" w:eastAsia="Arial" w:hAnsi="Arial"/>
                <w:sz w:val="16"/>
                <w:szCs w:val="16"/>
                <w:b w:val="1"/>
                <w:bCs w:val="1"/>
                <w:color w:val="auto"/>
              </w:rPr>
              <w:t>(358)</w:t>
            </w:r>
          </w:p>
        </w:tc>
        <w:tc>
          <w:tcPr>
            <w:tcW w:w="1200" w:type="dxa"/>
            <w:vAlign w:val="bottom"/>
          </w:tcPr>
          <w:p>
            <w:pPr>
              <w:jc w:val="right"/>
              <w:spacing w:after="0"/>
              <w:rPr>
                <w:sz w:val="20"/>
                <w:szCs w:val="20"/>
                <w:color w:val="auto"/>
              </w:rPr>
            </w:pPr>
            <w:r>
              <w:rPr>
                <w:rFonts w:ascii="Arial" w:cs="Arial" w:eastAsia="Arial" w:hAnsi="Arial"/>
                <w:sz w:val="16"/>
                <w:szCs w:val="16"/>
                <w:color w:val="auto"/>
              </w:rPr>
              <w:t>(1,820)</w:t>
            </w:r>
          </w:p>
        </w:tc>
      </w:tr>
    </w:tbl>
    <w:p>
      <w:pPr>
        <w:spacing w:after="0" w:line="200" w:lineRule="exact"/>
        <w:rPr>
          <w:sz w:val="20"/>
          <w:szCs w:val="20"/>
          <w:color w:val="auto"/>
        </w:rPr>
      </w:pPr>
    </w:p>
    <w:p>
      <w:pPr>
        <w:sectPr>
          <w:pgSz w:w="11900" w:h="16838" w:orient="portrait"/>
          <w:cols w:equalWidth="0" w:num="2">
            <w:col w:w="8260" w:space="720"/>
            <w:col w:w="2440"/>
          </w:cols>
          <w:pgMar w:left="240" w:top="118" w:right="239" w:bottom="1440" w:gutter="0" w:footer="0" w:header="0"/>
          <w:type w:val="continuous"/>
        </w:sectPr>
      </w:pP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 of 29</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As of October 29, 2016, we had total short-term borrowing capacity of $800 under our senior unsecured revolving credit facility (“revolver”) that expires in April 2020, with an option to extend for an additional year.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our available liquidity under the revolver until repaid.</w:t>
      </w:r>
    </w:p>
    <w:p>
      <w:pPr>
        <w:spacing w:after="0" w:line="109" w:lineRule="exact"/>
        <w:rPr>
          <w:sz w:val="20"/>
          <w:szCs w:val="20"/>
          <w:color w:val="auto"/>
        </w:rPr>
      </w:pPr>
    </w:p>
    <w:p>
      <w:pPr>
        <w:ind w:right="840"/>
        <w:spacing w:after="0" w:line="352" w:lineRule="auto"/>
        <w:rPr>
          <w:sz w:val="20"/>
          <w:szCs w:val="20"/>
          <w:color w:val="auto"/>
        </w:rPr>
      </w:pPr>
      <w:r>
        <w:rPr>
          <w:rFonts w:ascii="Arial" w:cs="Arial" w:eastAsia="Arial" w:hAnsi="Arial"/>
          <w:sz w:val="18"/>
          <w:szCs w:val="18"/>
          <w:color w:val="auto"/>
        </w:rPr>
        <w:t xml:space="preserve">As of October 29, 2016,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less than four times (see the following additional discussion of Adjusted Debt to EBITDAR). As of October 29, 2016, we were in compliance with this covenant.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29</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less than four times. As of October 29, 2016, our Adjusted Debt to EBITDAR was 2.5, compared with 2.1 as of October 31, 2015. This increase was primarily driven by reduced earnings.</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color w:val="auto"/>
                <w:vertAlign w:val="superscript"/>
              </w:rPr>
              <w:t>1</w:t>
            </w: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$2,778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$2,809</w:t>
            </w:r>
          </w:p>
        </w:tc>
      </w:tr>
      <w:tr>
        <w:trPr>
          <w:trHeight w:val="270"/>
        </w:trPr>
        <w:tc>
          <w:tcPr>
            <w:tcW w:w="644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1,561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1,320</w:t>
            </w: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7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7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$4,325</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$4,103</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$333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$675</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252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121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129</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706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1,242</w:t>
            </w:r>
          </w:p>
        </w:tc>
      </w:tr>
      <w:tr>
        <w:trPr>
          <w:trHeight w:val="297"/>
        </w:trPr>
        <w:tc>
          <w:tcPr>
            <w:tcW w:w="6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631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195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165</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r>
              <w:rPr>
                <w:rFonts w:ascii="Arial" w:cs="Arial" w:eastAsia="Arial" w:hAnsi="Arial"/>
                <w:sz w:val="21"/>
                <w:szCs w:val="21"/>
                <w:color w:val="auto"/>
                <w:vertAlign w:val="superscript"/>
              </w:rPr>
              <w:t>3</w:t>
            </w:r>
          </w:p>
        </w:tc>
        <w:tc>
          <w:tcPr>
            <w:tcW w:w="37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197</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r>
      <w:tr>
        <w:trPr>
          <w:trHeight w:val="231"/>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EBITDAR</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$1,729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$1,977</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8.3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64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22"/>
        </w:numPr>
        <w:rPr>
          <w:rFonts w:ascii="Arial" w:cs="Arial" w:eastAsia="Arial" w:hAnsi="Arial"/>
          <w:sz w:val="8"/>
          <w:szCs w:val="8"/>
          <w:color w:val="auto"/>
        </w:rPr>
      </w:pPr>
      <w:r>
        <w:rPr>
          <w:rFonts w:ascii="Arial" w:cs="Arial" w:eastAsia="Arial" w:hAnsi="Arial"/>
          <w:sz w:val="13"/>
          <w:szCs w:val="13"/>
          <w:color w:val="auto"/>
        </w:rPr>
        <w:t>The components of Adjusted Debt are as of October 29, 2016 and October 31, 2015, while the components of EBITDAR are for the 12 months ended October 29, 2016 and October 31, 2015.</w:t>
      </w:r>
    </w:p>
    <w:p>
      <w:pPr>
        <w:spacing w:after="0" w:line="19" w:lineRule="exact"/>
        <w:rPr>
          <w:sz w:val="20"/>
          <w:szCs w:val="20"/>
          <w:color w:val="auto"/>
        </w:rPr>
      </w:pPr>
    </w:p>
    <w:p>
      <w:pPr>
        <w:ind w:left="80" w:right="60" w:hanging="72"/>
        <w:spacing w:after="0" w:line="260" w:lineRule="auto"/>
        <w:tabs>
          <w:tab w:leader="none" w:pos="66" w:val="left"/>
        </w:tabs>
        <w:numPr>
          <w:ilvl w:val="0"/>
          <w:numId w:val="23"/>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ind w:left="80" w:right="240" w:hanging="72"/>
        <w:spacing w:after="0" w:line="255" w:lineRule="auto"/>
        <w:tabs>
          <w:tab w:leader="none" w:pos="80" w:val="left"/>
        </w:tabs>
        <w:numPr>
          <w:ilvl w:val="0"/>
          <w:numId w:val="24"/>
        </w:numPr>
        <w:rPr>
          <w:rFonts w:ascii="Arial" w:cs="Arial" w:eastAsia="Arial" w:hAnsi="Arial"/>
          <w:sz w:val="9"/>
          <w:szCs w:val="9"/>
          <w:color w:val="auto"/>
        </w:rPr>
      </w:pPr>
      <w:r>
        <w:rPr>
          <w:rFonts w:ascii="Arial" w:cs="Arial" w:eastAsia="Arial" w:hAnsi="Arial"/>
          <w:sz w:val="14"/>
          <w:szCs w:val="14"/>
          <w:color w:val="auto"/>
        </w:rPr>
        <w:t>Non-cash acquisition-related charges for the 12 months ended October 29, 2016 include the goodwill impairment charge of $197 related to Trunk Club (see Note 4: Fair Value Measurements in Item 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 of 29</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discussed our interest rate risk and our foreign currency exchange risk in Part II, “Item 7A. Quantitative and Qualitative Disclosures About Market Risk” in our 2015 Annual Report on Form 10-K filed with the SEC on March 14, 2016. There have been no material changes to these risks since that time.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 of 29</w:t>
      </w:r>
    </w:p>
    <w:p>
      <w:pPr>
        <w:sectPr>
          <w:pgSz w:w="11900" w:h="16838" w:orient="portrait"/>
          <w:cols w:equalWidth="0" w:num="1">
            <w:col w:w="11360"/>
          </w:cols>
          <w:pgMar w:left="240" w:top="118" w:right="2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third quarter share repurchases: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Total Number of Shares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3640" w:type="dxa"/>
            <w:vAlign w:val="bottom"/>
          </w:tcPr>
          <w:p>
            <w:pPr>
              <w:spacing w:after="0"/>
              <w:rPr>
                <w:sz w:val="17"/>
                <w:szCs w:val="17"/>
                <w:color w:val="auto"/>
              </w:rPr>
            </w:pPr>
          </w:p>
        </w:tc>
        <w:tc>
          <w:tcPr>
            <w:tcW w:w="232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Purchased as Part of</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 that May</w:t>
            </w:r>
          </w:p>
        </w:tc>
      </w:tr>
      <w:tr>
        <w:trPr>
          <w:trHeight w:val="203"/>
        </w:trPr>
        <w:tc>
          <w:tcPr>
            <w:tcW w:w="3640" w:type="dxa"/>
            <w:vAlign w:val="bottom"/>
          </w:tcPr>
          <w:p>
            <w:pPr>
              <w:spacing w:after="0"/>
              <w:rPr>
                <w:sz w:val="17"/>
                <w:szCs w:val="17"/>
                <w:color w:val="auto"/>
              </w:rPr>
            </w:pPr>
          </w:p>
        </w:tc>
        <w:tc>
          <w:tcPr>
            <w:tcW w:w="2320" w:type="dxa"/>
            <w:vAlign w:val="bottom"/>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 Paid</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Publicly Announced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Yet Be Purchased Under</w:t>
            </w:r>
          </w:p>
        </w:tc>
      </w:tr>
      <w:tr>
        <w:trPr>
          <w:trHeight w:val="243"/>
        </w:trPr>
        <w:tc>
          <w:tcPr>
            <w:tcW w:w="36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Per Share</w:t>
            </w:r>
          </w:p>
        </w:tc>
        <w:tc>
          <w:tcPr>
            <w:tcW w:w="2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Plans or Programs</w:t>
            </w: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the Plans or Programs</w:t>
            </w:r>
            <w:r>
              <w:rPr>
                <w:rFonts w:ascii="Arial" w:cs="Arial" w:eastAsia="Arial" w:hAnsi="Arial"/>
                <w:sz w:val="21"/>
                <w:szCs w:val="21"/>
                <w:color w:val="auto"/>
                <w:vertAlign w:val="superscript"/>
              </w:rPr>
              <w:t>1</w:t>
            </w:r>
          </w:p>
        </w:tc>
      </w:tr>
      <w:tr>
        <w:trPr>
          <w:trHeight w:val="213"/>
        </w:trPr>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August 2016</w:t>
            </w:r>
          </w:p>
        </w:tc>
        <w:tc>
          <w:tcPr>
            <w:tcW w:w="2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39"/>
        </w:trPr>
        <w:tc>
          <w:tcPr>
            <w:tcW w:w="364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(July 31, 2016 to August 27, 2016)</w:t>
            </w:r>
            <w:r>
              <w:rPr>
                <w:rFonts w:ascii="Arial" w:cs="Arial" w:eastAsia="Arial" w:hAnsi="Arial"/>
                <w:sz w:val="21"/>
                <w:szCs w:val="21"/>
                <w:color w:val="auto"/>
                <w:vertAlign w:val="superscript"/>
              </w:rPr>
              <w:t>2</w:t>
            </w:r>
          </w:p>
        </w:tc>
        <w:tc>
          <w:tcPr>
            <w:tcW w:w="2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$41.54</w:t>
            </w:r>
          </w:p>
        </w:tc>
        <w:tc>
          <w:tcPr>
            <w:tcW w:w="21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r>
      <w:tr>
        <w:trPr>
          <w:trHeight w:val="220"/>
        </w:trPr>
        <w:tc>
          <w:tcPr>
            <w:tcW w:w="3640" w:type="dxa"/>
            <w:vAlign w:val="bottom"/>
          </w:tcPr>
          <w:p>
            <w:pPr>
              <w:ind w:left="40"/>
              <w:spacing w:after="0"/>
              <w:rPr>
                <w:sz w:val="20"/>
                <w:szCs w:val="20"/>
                <w:color w:val="auto"/>
              </w:rPr>
            </w:pPr>
            <w:r>
              <w:rPr>
                <w:rFonts w:ascii="Arial" w:cs="Arial" w:eastAsia="Arial" w:hAnsi="Arial"/>
                <w:sz w:val="16"/>
                <w:szCs w:val="16"/>
                <w:color w:val="auto"/>
              </w:rPr>
              <w:t>September 2016</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6"/>
        </w:trPr>
        <w:tc>
          <w:tcPr>
            <w:tcW w:w="3640" w:type="dxa"/>
            <w:vAlign w:val="bottom"/>
          </w:tcPr>
          <w:p>
            <w:pPr>
              <w:ind w:left="40"/>
              <w:spacing w:after="0"/>
              <w:rPr>
                <w:sz w:val="20"/>
                <w:szCs w:val="20"/>
                <w:color w:val="auto"/>
              </w:rPr>
            </w:pPr>
            <w:r>
              <w:rPr>
                <w:rFonts w:ascii="Arial" w:cs="Arial" w:eastAsia="Arial" w:hAnsi="Arial"/>
                <w:sz w:val="16"/>
                <w:szCs w:val="16"/>
                <w:color w:val="auto"/>
              </w:rPr>
              <w:t>(August 28, 2016 to October 1, 2016)</w:t>
            </w:r>
          </w:p>
        </w:tc>
        <w:tc>
          <w:tcPr>
            <w:tcW w:w="2320" w:type="dxa"/>
            <w:vAlign w:val="bottom"/>
          </w:tcPr>
          <w:p>
            <w:pPr>
              <w:jc w:val="right"/>
              <w:ind w:right="159"/>
              <w:spacing w:after="0"/>
              <w:rPr>
                <w:sz w:val="20"/>
                <w:szCs w:val="20"/>
                <w:color w:val="auto"/>
              </w:rPr>
            </w:pPr>
            <w:r>
              <w:rPr>
                <w:rFonts w:ascii="Arial" w:cs="Arial" w:eastAsia="Arial" w:hAnsi="Arial"/>
                <w:sz w:val="16"/>
                <w:szCs w:val="16"/>
                <w:color w:val="auto"/>
              </w:rPr>
              <w:t>0.4</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50.32</w:t>
            </w:r>
          </w:p>
        </w:tc>
        <w:tc>
          <w:tcPr>
            <w:tcW w:w="2120" w:type="dxa"/>
            <w:vAlign w:val="bottom"/>
          </w:tcPr>
          <w:p>
            <w:pPr>
              <w:jc w:val="right"/>
              <w:ind w:right="259"/>
              <w:spacing w:after="0"/>
              <w:rPr>
                <w:sz w:val="20"/>
                <w:szCs w:val="20"/>
                <w:color w:val="auto"/>
              </w:rPr>
            </w:pPr>
            <w:r>
              <w:rPr>
                <w:rFonts w:ascii="Arial" w:cs="Arial" w:eastAsia="Arial" w:hAnsi="Arial"/>
                <w:sz w:val="16"/>
                <w:szCs w:val="16"/>
                <w:color w:val="auto"/>
              </w:rPr>
              <w:t>0.4</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730</w:t>
            </w:r>
          </w:p>
        </w:tc>
      </w:tr>
      <w:tr>
        <w:trPr>
          <w:trHeight w:val="33"/>
        </w:trPr>
        <w:tc>
          <w:tcPr>
            <w:tcW w:w="36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0"/>
        </w:trPr>
        <w:tc>
          <w:tcPr>
            <w:tcW w:w="3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2016</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2, 2016 to October 29, 2016)</w:t>
            </w:r>
          </w:p>
        </w:tc>
        <w:tc>
          <w:tcPr>
            <w:tcW w:w="23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53.29</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0.2</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r>
      <w:tr>
        <w:trPr>
          <w:trHeight w:val="231"/>
        </w:trPr>
        <w:tc>
          <w:tcPr>
            <w:tcW w:w="3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0.6</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$50.89</w:t>
            </w:r>
          </w:p>
        </w:tc>
        <w:tc>
          <w:tcPr>
            <w:tcW w:w="21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0.6</w:t>
            </w:r>
          </w:p>
        </w:tc>
        <w:tc>
          <w:tcPr>
            <w:tcW w:w="2260" w:type="dxa"/>
            <w:vAlign w:val="bottom"/>
            <w:tcBorders>
              <w:top w:val="single" w:sz="8" w:color="auto"/>
            </w:tcBorders>
          </w:tcPr>
          <w:p>
            <w:pPr>
              <w:spacing w:after="0"/>
              <w:rPr>
                <w:sz w:val="20"/>
                <w:szCs w:val="20"/>
                <w:color w:val="auto"/>
              </w:rPr>
            </w:pPr>
          </w:p>
        </w:tc>
      </w:tr>
    </w:tbl>
    <w:p>
      <w:pPr>
        <w:spacing w:after="0" w:line="28" w:lineRule="exact"/>
        <w:rPr>
          <w:sz w:val="20"/>
          <w:szCs w:val="20"/>
          <w:color w:val="auto"/>
        </w:rPr>
      </w:pPr>
    </w:p>
    <w:p>
      <w:pPr>
        <w:ind w:left="80" w:hanging="72"/>
        <w:spacing w:after="0"/>
        <w:tabs>
          <w:tab w:leader="none" w:pos="80" w:val="left"/>
        </w:tabs>
        <w:numPr>
          <w:ilvl w:val="0"/>
          <w:numId w:val="25"/>
        </w:numPr>
        <w:rPr>
          <w:rFonts w:ascii="Arial" w:cs="Arial" w:eastAsia="Arial" w:hAnsi="Arial"/>
          <w:sz w:val="8"/>
          <w:szCs w:val="8"/>
          <w:color w:val="auto"/>
        </w:rPr>
      </w:pPr>
      <w:r>
        <w:rPr>
          <w:rFonts w:ascii="Arial" w:cs="Arial" w:eastAsia="Arial" w:hAnsi="Arial"/>
          <w:sz w:val="13"/>
          <w:szCs w:val="13"/>
          <w:color w:val="auto"/>
        </w:rPr>
        <w:t>On October 1, 2015, our Board of Directors authorized a program to repurchase up to $1,000 of our outstanding common stock through March 1, 2017. The actual number, price, manner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80"/>
        <w:spacing w:after="0"/>
        <w:rPr>
          <w:sz w:val="20"/>
          <w:szCs w:val="20"/>
          <w:color w:val="auto"/>
        </w:rPr>
      </w:pPr>
      <w:r>
        <w:rPr>
          <w:rFonts w:ascii="Arial" w:cs="Arial" w:eastAsia="Arial" w:hAnsi="Arial"/>
          <w:sz w:val="14"/>
          <w:szCs w:val="14"/>
          <w:color w:val="auto"/>
        </w:rPr>
        <w:t>timing of future share repurchases, if any, will be subject to market and economic conditions and applicable SEC rules.</w:t>
      </w:r>
    </w:p>
    <w:p>
      <w:pPr>
        <w:spacing w:after="0" w:line="1" w:lineRule="exact"/>
        <w:rPr>
          <w:sz w:val="20"/>
          <w:szCs w:val="20"/>
          <w:color w:val="auto"/>
        </w:rPr>
      </w:pPr>
    </w:p>
    <w:p>
      <w:pPr>
        <w:ind w:left="80" w:hanging="72"/>
        <w:spacing w:after="0"/>
        <w:tabs>
          <w:tab w:leader="none" w:pos="80" w:val="left"/>
        </w:tabs>
        <w:numPr>
          <w:ilvl w:val="0"/>
          <w:numId w:val="26"/>
        </w:numPr>
        <w:rPr>
          <w:rFonts w:ascii="Arial" w:cs="Arial" w:eastAsia="Arial" w:hAnsi="Arial"/>
          <w:sz w:val="9"/>
          <w:szCs w:val="9"/>
          <w:color w:val="auto"/>
        </w:rPr>
      </w:pPr>
      <w:r>
        <w:rPr>
          <w:rFonts w:ascii="Arial" w:cs="Arial" w:eastAsia="Arial" w:hAnsi="Arial"/>
          <w:sz w:val="14"/>
          <w:szCs w:val="14"/>
          <w:color w:val="auto"/>
        </w:rPr>
        <w:t>In August 2016, the total number of shares repurchased was less than 0.1 shares.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29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 of 29</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29, 2016</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 of 29</w:t>
      </w:r>
    </w:p>
    <w:p>
      <w:pPr>
        <w:sectPr>
          <w:pgSz w:w="11900" w:h="16838" w:orient="portrait"/>
          <w:cols w:equalWidth="0" w:num="1">
            <w:col w:w="11220"/>
          </w:cols>
          <w:pgMar w:left="240" w:top="118" w:right="4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5300" w:type="dxa"/>
            <w:vAlign w:val="bottom"/>
          </w:tcPr>
          <w:p>
            <w:pPr>
              <w:ind w:left="190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9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5300" w:type="dxa"/>
            <w:vAlign w:val="bottom"/>
          </w:tcPr>
          <w:p>
            <w:pPr>
              <w:ind w:left="180"/>
              <w:spacing w:after="0"/>
              <w:rPr>
                <w:sz w:val="20"/>
                <w:szCs w:val="20"/>
                <w:color w:val="auto"/>
              </w:rPr>
            </w:pPr>
            <w:r>
              <w:rPr>
                <w:rFonts w:ascii="Arial" w:cs="Arial" w:eastAsia="Arial" w:hAnsi="Arial"/>
                <w:sz w:val="18"/>
                <w:szCs w:val="18"/>
                <w:color w:val="auto"/>
              </w:rPr>
              <w:t>Certification of Co-President required by Section 302(a) of the</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5300" w:type="dxa"/>
            <w:vAlign w:val="bottom"/>
          </w:tcPr>
          <w:p>
            <w:pPr>
              <w:ind w:left="180"/>
              <w:spacing w:after="0"/>
              <w:rPr>
                <w:sz w:val="20"/>
                <w:szCs w:val="20"/>
                <w:color w:val="auto"/>
              </w:rPr>
            </w:pPr>
            <w:r>
              <w:rPr>
                <w:rFonts w:ascii="Arial" w:cs="Arial" w:eastAsia="Arial" w:hAnsi="Arial"/>
                <w:sz w:val="18"/>
                <w:szCs w:val="18"/>
                <w:color w:val="auto"/>
                <w:w w:val="95"/>
              </w:rPr>
              <w:t>Certification of Chief Financial Officer required by Section 302(a) of</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the Sarbanes-Oxley Act of 2002</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5300" w:type="dxa"/>
            <w:vAlign w:val="bottom"/>
          </w:tcPr>
          <w:p>
            <w:pPr>
              <w:ind w:left="180"/>
              <w:spacing w:after="0"/>
              <w:rPr>
                <w:sz w:val="20"/>
                <w:szCs w:val="20"/>
                <w:color w:val="auto"/>
              </w:rPr>
            </w:pPr>
            <w:r>
              <w:rPr>
                <w:rFonts w:ascii="Arial" w:cs="Arial" w:eastAsia="Arial" w:hAnsi="Arial"/>
                <w:sz w:val="18"/>
                <w:szCs w:val="18"/>
                <w:color w:val="auto"/>
                <w:w w:val="94"/>
              </w:rPr>
              <w:t>Certification of Co-President and Chief Financial Officer pursuant to</w:t>
            </w:r>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216"/>
        </w:trPr>
        <w:tc>
          <w:tcPr>
            <w:tcW w:w="90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1"/>
              </w:rPr>
              <w:t>18 U.S.C. 1350, as adopted pursuant to Section 906 of the Sarbanes-</w:t>
            </w:r>
          </w:p>
        </w:tc>
        <w:tc>
          <w:tcPr>
            <w:tcW w:w="52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Oxley Act of 2002</w:t>
            </w:r>
          </w:p>
        </w:tc>
        <w:tc>
          <w:tcPr>
            <w:tcW w:w="5220" w:type="dxa"/>
            <w:vAlign w:val="bottom"/>
          </w:tcPr>
          <w:p>
            <w:pPr>
              <w:spacing w:after="0"/>
              <w:rPr>
                <w:sz w:val="20"/>
                <w:szCs w:val="20"/>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53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90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90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Arial" w:cs="Arial" w:eastAsia="Arial" w:hAnsi="Arial"/>
                <w:sz w:val="18"/>
                <w:szCs w:val="18"/>
                <w:color w:val="auto"/>
              </w:rPr>
              <w:t>29 of 29</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pacing w:after="0" w:line="332"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29, 2016</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 Koppel,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G. Koppel</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pacing w:after="0" w:line="319"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November 29, 2016</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October 29, 2016, as filed with the Securities and Exchange Commission on the date hereof (the “Report”), we, Blake W. Nordstrom, Co-President (Principal Executive Officer), and Michael G. Koppel, Executive Vice President and Chief Financial Officer (Principal Financial Officer), of the Company,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of Nordstrom, Inc.</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November 29, 2016</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bullet"/>
      <w:start w:val="1"/>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1"/>
      <w:numFmt w:val="bullet"/>
      <w:start w:val="1"/>
    </w:lvl>
  </w:abstractNum>
  <w:abstractNum w:abstractNumId="6">
    <w:nsid w:val="431BD7B7"/>
    <w:multiLevelType w:val="hybridMultilevel"/>
    <w:lvl w:ilvl="0">
      <w:lvlJc w:val="left"/>
      <w:lvlText w:val="1"/>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bullet"/>
      <w:start w:val="1"/>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1"/>
      <w:numFmt w:val="bullet"/>
      <w:start w:val="1"/>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2"/>
      <w:numFmt w:val="bullet"/>
      <w:start w:val="1"/>
    </w:lvl>
  </w:abstractNum>
  <w:abstractNum w:abstractNumId="20">
    <w:nsid w:val="79838CB2"/>
    <w:multiLevelType w:val="hybridMultilevel"/>
    <w:lvl w:ilvl="0">
      <w:lvlJc w:val="left"/>
      <w:lvlText w:val="3"/>
      <w:numFmt w:val="bullet"/>
      <w:start w:val="1"/>
    </w:lvl>
  </w:abstractNum>
  <w:abstractNum w:abstractNumId="21">
    <w:nsid w:val="4353D0CD"/>
    <w:multiLevelType w:val="hybridMultilevel"/>
    <w:lvl w:ilvl="0">
      <w:lvlJc w:val="left"/>
      <w:lvlText w:val="1"/>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1"/>
      <w:numFmt w:val="bullet"/>
      <w:start w:val="1"/>
    </w:lvl>
  </w:abstractNum>
  <w:abstractNum w:abstractNumId="25">
    <w:nsid w:val="71F32454"/>
    <w:multiLevelType w:val="hybridMultilevel"/>
    <w:lvl w:ilvl="0">
      <w:lvlJc w:val="left"/>
      <w:lvlText w:val="2"/>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2019-12-29T08:07:24Z</dcterms:created>
  <dcterms:modified xsi:type="dcterms:W3CDTF">2019-12-29T08:07:24Z</dcterms:modified>
</cp:coreProperties>
</file>