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January 28, 2023</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2" w:lineRule="exact"/>
        <w:rPr>
          <w:sz w:val="24"/>
          <w:szCs w:val="24"/>
          <w:color w:val="auto"/>
        </w:rPr>
      </w:pPr>
    </w:p>
    <w:p>
      <w:pPr>
        <w:ind w:left="500" w:hanging="461"/>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3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For the transition period from ___________ to___________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83820</wp:posOffset>
            </wp:positionV>
            <wp:extent cx="362585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25850"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Nordstrom,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520" w:type="dxa"/>
            <w:vAlign w:val="bottom"/>
          </w:tcPr>
          <w:p>
            <w:pPr>
              <w:jc w:val="center"/>
              <w:ind w:left="1773"/>
              <w:spacing w:after="0"/>
              <w:rPr>
                <w:sz w:val="20"/>
                <w:szCs w:val="20"/>
                <w:color w:val="auto"/>
              </w:rPr>
            </w:pPr>
            <w:r>
              <w:rPr>
                <w:rFonts w:ascii="Arial" w:cs="Arial" w:eastAsia="Arial" w:hAnsi="Arial"/>
                <w:sz w:val="18"/>
                <w:szCs w:val="18"/>
                <w:b w:val="1"/>
                <w:bCs w:val="1"/>
                <w:color w:val="auto"/>
                <w:w w:val="98"/>
              </w:rPr>
              <w:t>Washington</w:t>
            </w:r>
          </w:p>
        </w:tc>
        <w:tc>
          <w:tcPr>
            <w:tcW w:w="9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0" w:type="dxa"/>
            <w:vAlign w:val="bottom"/>
          </w:tcPr>
          <w:p>
            <w:pPr>
              <w:jc w:val="right"/>
              <w:ind w:right="2155"/>
              <w:spacing w:after="0"/>
              <w:rPr>
                <w:sz w:val="20"/>
                <w:szCs w:val="20"/>
                <w:color w:val="auto"/>
              </w:rPr>
            </w:pPr>
            <w:r>
              <w:rPr>
                <w:rFonts w:ascii="Arial" w:cs="Arial" w:eastAsia="Arial" w:hAnsi="Arial"/>
                <w:sz w:val="18"/>
                <w:szCs w:val="18"/>
                <w:b w:val="1"/>
                <w:bCs w:val="1"/>
                <w:color w:val="auto"/>
              </w:rPr>
              <w:t>91-0515058</w:t>
            </w:r>
          </w:p>
        </w:tc>
      </w:tr>
      <w:tr>
        <w:trPr>
          <w:trHeight w:val="239"/>
        </w:trPr>
        <w:tc>
          <w:tcPr>
            <w:tcW w:w="6840" w:type="dxa"/>
            <w:vAlign w:val="bottom"/>
            <w:gridSpan w:val="3"/>
          </w:tcPr>
          <w:p>
            <w:pPr>
              <w:jc w:val="center"/>
              <w:ind w:right="1359"/>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400" w:type="dxa"/>
            <w:vAlign w:val="bottom"/>
          </w:tcPr>
          <w:p>
            <w:pPr>
              <w:jc w:val="center"/>
              <w:ind w:right="955"/>
              <w:spacing w:after="0"/>
              <w:rPr>
                <w:sz w:val="20"/>
                <w:szCs w:val="20"/>
                <w:color w:val="auto"/>
              </w:rPr>
            </w:pPr>
            <w:r>
              <w:rPr>
                <w:rFonts w:ascii="Arial" w:cs="Arial" w:eastAsia="Arial" w:hAnsi="Arial"/>
                <w:sz w:val="18"/>
                <w:szCs w:val="18"/>
                <w:color w:val="auto"/>
                <w:w w:val="99"/>
              </w:rPr>
              <w:t>(I.R.S. Employer Identification No.)</w:t>
            </w:r>
          </w:p>
        </w:tc>
      </w:tr>
      <w:tr>
        <w:trPr>
          <w:trHeight w:val="328"/>
        </w:trPr>
        <w:tc>
          <w:tcPr>
            <w:tcW w:w="3520" w:type="dxa"/>
            <w:vAlign w:val="bottom"/>
          </w:tcPr>
          <w:p>
            <w:pPr>
              <w:spacing w:after="0"/>
              <w:rPr>
                <w:sz w:val="24"/>
                <w:szCs w:val="24"/>
                <w:color w:val="auto"/>
              </w:rPr>
            </w:pPr>
          </w:p>
        </w:tc>
        <w:tc>
          <w:tcPr>
            <w:tcW w:w="7720" w:type="dxa"/>
            <w:vAlign w:val="bottom"/>
            <w:gridSpan w:val="3"/>
          </w:tcPr>
          <w:p>
            <w:pPr>
              <w:jc w:val="center"/>
              <w:ind w:right="3415"/>
              <w:spacing w:after="0"/>
              <w:rPr>
                <w:sz w:val="20"/>
                <w:szCs w:val="20"/>
                <w:color w:val="auto"/>
              </w:rPr>
            </w:pPr>
            <w:r>
              <w:rPr>
                <w:rFonts w:ascii="Arial" w:cs="Arial" w:eastAsia="Arial" w:hAnsi="Arial"/>
                <w:sz w:val="18"/>
                <w:szCs w:val="18"/>
                <w:b w:val="1"/>
                <w:bCs w:val="1"/>
                <w:color w:val="auto"/>
                <w:w w:val="99"/>
              </w:rPr>
              <w:t>1617 Sixth Avenue, Seattle, Washington 98101</w:t>
            </w:r>
          </w:p>
        </w:tc>
      </w:tr>
      <w:tr>
        <w:trPr>
          <w:trHeight w:val="239"/>
        </w:trPr>
        <w:tc>
          <w:tcPr>
            <w:tcW w:w="3520" w:type="dxa"/>
            <w:vAlign w:val="bottom"/>
          </w:tcPr>
          <w:p>
            <w:pPr>
              <w:spacing w:after="0"/>
              <w:rPr>
                <w:sz w:val="20"/>
                <w:szCs w:val="20"/>
                <w:color w:val="auto"/>
              </w:rPr>
            </w:pPr>
          </w:p>
        </w:tc>
        <w:tc>
          <w:tcPr>
            <w:tcW w:w="7720" w:type="dxa"/>
            <w:vAlign w:val="bottom"/>
            <w:gridSpan w:val="3"/>
          </w:tcPr>
          <w:p>
            <w:pPr>
              <w:jc w:val="center"/>
              <w:ind w:right="3435"/>
              <w:spacing w:after="0"/>
              <w:rPr>
                <w:sz w:val="20"/>
                <w:szCs w:val="20"/>
                <w:color w:val="auto"/>
              </w:rPr>
            </w:pPr>
            <w:r>
              <w:rPr>
                <w:rFonts w:ascii="Arial" w:cs="Arial" w:eastAsia="Arial" w:hAnsi="Arial"/>
                <w:sz w:val="18"/>
                <w:szCs w:val="18"/>
                <w:color w:val="auto"/>
                <w:w w:val="99"/>
              </w:rPr>
              <w:t>(Address of principal executive offices)</w:t>
            </w:r>
          </w:p>
        </w:tc>
      </w:tr>
      <w:tr>
        <w:trPr>
          <w:trHeight w:val="247"/>
        </w:trPr>
        <w:tc>
          <w:tcPr>
            <w:tcW w:w="11240" w:type="dxa"/>
            <w:vAlign w:val="bottom"/>
            <w:gridSpan w:val="4"/>
          </w:tcPr>
          <w:p>
            <w:pPr>
              <w:jc w:val="center"/>
              <w:spacing w:after="0"/>
              <w:rPr>
                <w:sz w:val="20"/>
                <w:szCs w:val="20"/>
                <w:color w:val="auto"/>
              </w:rPr>
            </w:pPr>
            <w:r>
              <w:rPr>
                <w:rFonts w:ascii="Arial" w:cs="Arial" w:eastAsia="Arial" w:hAnsi="Arial"/>
                <w:sz w:val="18"/>
                <w:szCs w:val="18"/>
                <w:color w:val="auto"/>
                <w:w w:val="99"/>
              </w:rPr>
              <w:t>Registrant’s telephone number, including area code (</w:t>
            </w:r>
            <w:r>
              <w:rPr>
                <w:rFonts w:ascii="Arial" w:cs="Arial" w:eastAsia="Arial" w:hAnsi="Arial"/>
                <w:sz w:val="18"/>
                <w:szCs w:val="18"/>
                <w:b w:val="1"/>
                <w:bCs w:val="1"/>
                <w:color w:val="auto"/>
                <w:w w:val="99"/>
              </w:rPr>
              <w:t>206) 628-2111</w:t>
            </w:r>
          </w:p>
        </w:tc>
      </w:tr>
      <w:tr>
        <w:trPr>
          <w:trHeight w:val="239"/>
        </w:trPr>
        <w:tc>
          <w:tcPr>
            <w:tcW w:w="68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400" w:type="dxa"/>
            <w:vAlign w:val="bottom"/>
          </w:tcPr>
          <w:p>
            <w:pPr>
              <w:spacing w:after="0"/>
              <w:rPr>
                <w:sz w:val="20"/>
                <w:szCs w:val="20"/>
                <w:color w:val="auto"/>
              </w:rPr>
            </w:pPr>
          </w:p>
        </w:tc>
      </w:tr>
      <w:tr>
        <w:trPr>
          <w:trHeight w:val="23"/>
        </w:trPr>
        <w:tc>
          <w:tcPr>
            <w:tcW w:w="3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10"/>
        </w:trPr>
        <w:tc>
          <w:tcPr>
            <w:tcW w:w="3520" w:type="dxa"/>
            <w:vAlign w:val="bottom"/>
            <w:tcBorders>
              <w:left w:val="single" w:sz="8" w:color="auto"/>
              <w:bottom w:val="single" w:sz="8" w:color="auto"/>
            </w:tcBorders>
          </w:tcPr>
          <w:p>
            <w:pPr>
              <w:jc w:val="center"/>
              <w:ind w:left="813"/>
              <w:spacing w:after="0"/>
              <w:rPr>
                <w:sz w:val="20"/>
                <w:szCs w:val="20"/>
                <w:color w:val="auto"/>
              </w:rPr>
            </w:pPr>
            <w:r>
              <w:rPr>
                <w:rFonts w:ascii="Arial" w:cs="Arial" w:eastAsia="Arial" w:hAnsi="Arial"/>
                <w:sz w:val="16"/>
                <w:szCs w:val="16"/>
                <w:b w:val="1"/>
                <w:bCs w:val="1"/>
                <w:color w:val="auto"/>
              </w:rPr>
              <w:t>Title of each class</w:t>
            </w:r>
          </w:p>
        </w:tc>
        <w:tc>
          <w:tcPr>
            <w:tcW w:w="90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3520" w:type="dxa"/>
            <w:vAlign w:val="bottom"/>
            <w:tcBorders>
              <w:left w:val="single" w:sz="8" w:color="auto"/>
              <w:bottom w:val="single" w:sz="8" w:color="auto"/>
            </w:tcBorders>
          </w:tcPr>
          <w:p>
            <w:pPr>
              <w:jc w:val="center"/>
              <w:ind w:left="813"/>
              <w:spacing w:after="0"/>
              <w:rPr>
                <w:sz w:val="20"/>
                <w:szCs w:val="20"/>
                <w:color w:val="auto"/>
              </w:rPr>
            </w:pPr>
            <w:r>
              <w:rPr>
                <w:rFonts w:ascii="Arial" w:cs="Arial" w:eastAsia="Arial" w:hAnsi="Arial"/>
                <w:sz w:val="16"/>
                <w:szCs w:val="16"/>
                <w:color w:val="auto"/>
              </w:rPr>
              <w:t>Common stock, without par value</w:t>
            </w:r>
          </w:p>
        </w:tc>
        <w:tc>
          <w:tcPr>
            <w:tcW w:w="900" w:type="dxa"/>
            <w:vAlign w:val="bottom"/>
            <w:tcBorders>
              <w:bottom w:val="single" w:sz="8" w:color="auto"/>
              <w:right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JWN</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40" w:lineRule="exact"/>
        <w:rPr>
          <w:sz w:val="24"/>
          <w:szCs w:val="24"/>
          <w:color w:val="auto"/>
        </w:rPr>
      </w:pPr>
    </w:p>
    <w:p>
      <w:pPr>
        <w:ind w:right="780"/>
        <w:spacing w:after="0" w:line="247"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right="2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p>
    <w:p>
      <w:pPr>
        <w:spacing w:after="0" w:line="54" w:lineRule="exact"/>
        <w:rPr>
          <w:sz w:val="24"/>
          <w:szCs w:val="24"/>
          <w:color w:val="auto"/>
        </w:rPr>
      </w:pPr>
    </w:p>
    <w:p>
      <w:pPr>
        <w:ind w:left="160"/>
        <w:spacing w:after="0" w:line="207" w:lineRule="exact"/>
        <w:tabs>
          <w:tab w:leader="none" w:pos="57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Smaller reporting company</w:t>
      </w:r>
    </w:p>
    <w:p>
      <w:pPr>
        <w:spacing w:after="0" w:line="23" w:lineRule="exact"/>
        <w:rPr>
          <w:sz w:val="24"/>
          <w:szCs w:val="24"/>
          <w:color w:val="auto"/>
        </w:rPr>
      </w:pPr>
    </w:p>
    <w:p>
      <w:pPr>
        <w:ind w:left="57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117" w:lineRule="exact"/>
        <w:rPr>
          <w:sz w:val="24"/>
          <w:szCs w:val="24"/>
          <w:color w:val="auto"/>
        </w:rPr>
      </w:pPr>
    </w:p>
    <w:p>
      <w:pPr>
        <w:ind w:right="200"/>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40"/>
        <w:spacing w:after="0" w:line="225"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color w:val="auto"/>
        </w:rPr>
        <w:t>As of July 29, 2022, the aggregate market value of the Registrant’s voting and non-voting stock held by non-affiliates of the Registrant was approximately $3.0 billion using the closing sales price on that day of $23.51. On March 6, 2023, 160,151,038 shares of common stock were outstanding.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right="160"/>
        <w:spacing w:after="0" w:line="282" w:lineRule="auto"/>
        <w:rPr>
          <w:sz w:val="20"/>
          <w:szCs w:val="20"/>
          <w:color w:val="auto"/>
        </w:rPr>
      </w:pPr>
      <w:r>
        <w:rPr>
          <w:rFonts w:ascii="Arial" w:cs="Arial" w:eastAsia="Arial" w:hAnsi="Arial"/>
          <w:sz w:val="18"/>
          <w:szCs w:val="18"/>
          <w:color w:val="auto"/>
        </w:rPr>
        <w:t>Portions of the Proxy Statement for the 2023 Annual Meeting of Shareholders, scheduled to be held on May 17, 2023, are incorporated into Part III.</w:t>
      </w:r>
    </w:p>
    <w:p>
      <w:pPr>
        <w:sectPr>
          <w:pgSz w:w="11900" w:h="16838" w:orient="portrait"/>
          <w:cols w:equalWidth="0" w:num="1">
            <w:col w:w="11240"/>
          </w:cols>
          <w:pgMar w:left="320" w:top="220" w:right="3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TABLE OF CONTENTS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194"/>
        </w:trPr>
        <w:tc>
          <w:tcPr>
            <w:tcW w:w="232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Forward-Looking Statements</w:t>
            </w:r>
          </w:p>
        </w:tc>
        <w:tc>
          <w:tcPr>
            <w:tcW w:w="7960" w:type="dxa"/>
            <w:vAlign w:val="bottom"/>
            <w:gridSpan w:val="19"/>
          </w:tcPr>
          <w:p>
            <w:pPr>
              <w:spacing w:after="0"/>
              <w:rPr>
                <w:sz w:val="16"/>
                <w:szCs w:val="16"/>
                <w:color w:val="auto"/>
              </w:rPr>
            </w:pPr>
          </w:p>
        </w:tc>
        <w:tc>
          <w:tcPr>
            <w:tcW w:w="780" w:type="dxa"/>
            <w:vAlign w:val="bottom"/>
            <w:gridSpan w:val="3"/>
          </w:tcPr>
          <w:p>
            <w:pPr>
              <w:jc w:val="right"/>
              <w:spacing w:after="0" w:line="195" w:lineRule="exact"/>
              <w:rPr>
                <w:sz w:val="20"/>
                <w:szCs w:val="20"/>
                <w:color w:val="auto"/>
              </w:rPr>
            </w:pPr>
            <w:r>
              <w:rPr>
                <w:rFonts w:ascii="Arial" w:cs="Arial" w:eastAsia="Arial" w:hAnsi="Arial"/>
                <w:sz w:val="18"/>
                <w:szCs w:val="18"/>
                <w:color w:val="0000FF"/>
              </w:rPr>
              <w:t>4</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0280" w:type="dxa"/>
            <w:vAlign w:val="bottom"/>
            <w:gridSpan w:val="30"/>
          </w:tcPr>
          <w:p>
            <w:pPr>
              <w:spacing w:after="0"/>
              <w:rPr>
                <w:sz w:val="20"/>
                <w:szCs w:val="20"/>
                <w:color w:val="auto"/>
              </w:rPr>
            </w:pPr>
            <w:r>
              <w:rPr>
                <w:rFonts w:ascii="Arial" w:cs="Arial" w:eastAsia="Arial" w:hAnsi="Arial"/>
                <w:sz w:val="18"/>
                <w:szCs w:val="18"/>
                <w:color w:val="0000FF"/>
              </w:rPr>
              <w:t>Definitions of Commonly Used Terms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466"/>
        </w:trPr>
        <w:tc>
          <w:tcPr>
            <w:tcW w:w="96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0000FF"/>
              </w:rPr>
              <w:t>PART I</w:t>
            </w: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w:t>
            </w:r>
          </w:p>
        </w:tc>
        <w:tc>
          <w:tcPr>
            <w:tcW w:w="9320" w:type="dxa"/>
            <w:vAlign w:val="bottom"/>
            <w:gridSpan w:val="24"/>
          </w:tcPr>
          <w:p>
            <w:pPr>
              <w:spacing w:after="0"/>
              <w:rPr>
                <w:sz w:val="20"/>
                <w:szCs w:val="20"/>
                <w:color w:val="auto"/>
              </w:rPr>
            </w:pPr>
            <w:r>
              <w:rPr>
                <w:rFonts w:ascii="Arial" w:cs="Arial" w:eastAsia="Arial" w:hAnsi="Arial"/>
                <w:sz w:val="18"/>
                <w:szCs w:val="18"/>
                <w:color w:val="0000FF"/>
              </w:rPr>
              <w:t>Business.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8</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1A.</w:t>
            </w:r>
          </w:p>
        </w:tc>
        <w:tc>
          <w:tcPr>
            <w:tcW w:w="1060" w:type="dxa"/>
            <w:vAlign w:val="bottom"/>
            <w:gridSpan w:val="4"/>
          </w:tcPr>
          <w:p>
            <w:pPr>
              <w:spacing w:after="0"/>
              <w:rPr>
                <w:sz w:val="20"/>
                <w:szCs w:val="20"/>
                <w:color w:val="auto"/>
              </w:rPr>
            </w:pPr>
            <w:r>
              <w:rPr>
                <w:rFonts w:ascii="Arial" w:cs="Arial" w:eastAsia="Arial" w:hAnsi="Arial"/>
                <w:sz w:val="18"/>
                <w:szCs w:val="18"/>
                <w:color w:val="0000FF"/>
                <w:w w:val="98"/>
              </w:rPr>
              <w:t>Risk Factors.</w:t>
            </w:r>
          </w:p>
        </w:tc>
        <w:tc>
          <w:tcPr>
            <w:tcW w:w="8260" w:type="dxa"/>
            <w:vAlign w:val="bottom"/>
            <w:gridSpan w:val="20"/>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12</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1B.</w:t>
            </w:r>
          </w:p>
        </w:tc>
        <w:tc>
          <w:tcPr>
            <w:tcW w:w="9320" w:type="dxa"/>
            <w:vAlign w:val="bottom"/>
            <w:gridSpan w:val="24"/>
          </w:tcPr>
          <w:p>
            <w:pPr>
              <w:spacing w:after="0"/>
              <w:rPr>
                <w:sz w:val="20"/>
                <w:szCs w:val="20"/>
                <w:color w:val="auto"/>
              </w:rPr>
            </w:pPr>
            <w:r>
              <w:rPr>
                <w:rFonts w:ascii="Arial" w:cs="Arial" w:eastAsia="Arial" w:hAnsi="Arial"/>
                <w:sz w:val="18"/>
                <w:szCs w:val="18"/>
                <w:color w:val="0000FF"/>
              </w:rPr>
              <w:t>Unresolved Staff Comments.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20</w:t>
            </w:r>
          </w:p>
        </w:tc>
      </w:tr>
      <w:tr>
        <w:trPr>
          <w:trHeight w:val="20"/>
        </w:trPr>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2.</w:t>
            </w: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Properties.</w:t>
            </w:r>
          </w:p>
        </w:tc>
        <w:tc>
          <w:tcPr>
            <w:tcW w:w="1420" w:type="dxa"/>
            <w:vAlign w:val="bottom"/>
            <w:gridSpan w:val="8"/>
          </w:tcPr>
          <w:p>
            <w:pPr>
              <w:spacing w:after="0"/>
              <w:rPr>
                <w:sz w:val="18"/>
                <w:szCs w:val="18"/>
                <w:color w:val="auto"/>
              </w:rPr>
            </w:pPr>
          </w:p>
        </w:tc>
        <w:tc>
          <w:tcPr>
            <w:tcW w:w="7020" w:type="dxa"/>
            <w:vAlign w:val="bottom"/>
            <w:gridSpan w:val="13"/>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20</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3.</w:t>
            </w:r>
          </w:p>
        </w:tc>
        <w:tc>
          <w:tcPr>
            <w:tcW w:w="9320" w:type="dxa"/>
            <w:vAlign w:val="bottom"/>
            <w:gridSpan w:val="24"/>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4.</w:t>
            </w:r>
          </w:p>
        </w:tc>
        <w:tc>
          <w:tcPr>
            <w:tcW w:w="932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22</w:t>
            </w:r>
          </w:p>
        </w:tc>
      </w:tr>
      <w:tr>
        <w:trPr>
          <w:trHeight w:val="466"/>
        </w:trPr>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6"/>
              </w:rPr>
              <w:t>PART II</w:t>
            </w:r>
          </w:p>
        </w:tc>
        <w:tc>
          <w:tcPr>
            <w:tcW w:w="320" w:type="dxa"/>
            <w:vAlign w:val="bottom"/>
            <w:gridSpan w:val="4"/>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5.</w:t>
            </w:r>
          </w:p>
        </w:tc>
        <w:tc>
          <w:tcPr>
            <w:tcW w:w="8960" w:type="dxa"/>
            <w:vAlign w:val="bottom"/>
            <w:gridSpan w:val="23"/>
          </w:tcPr>
          <w:p>
            <w:pPr>
              <w:spacing w:after="0"/>
              <w:rPr>
                <w:sz w:val="20"/>
                <w:szCs w:val="20"/>
                <w:color w:val="auto"/>
              </w:rPr>
            </w:pPr>
            <w:r>
              <w:rPr>
                <w:rFonts w:ascii="Arial" w:cs="Arial" w:eastAsia="Arial" w:hAnsi="Arial"/>
                <w:sz w:val="18"/>
                <w:szCs w:val="18"/>
                <w:color w:val="0000FF"/>
                <w:w w:val="99"/>
              </w:rPr>
              <w:t>Market for Registrant’s Common Equity, Related Shareholder Matters and Issuer Purchases of Equity Securities.</w:t>
            </w: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23</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6.</w:t>
            </w:r>
          </w:p>
        </w:tc>
        <w:tc>
          <w:tcPr>
            <w:tcW w:w="880" w:type="dxa"/>
            <w:vAlign w:val="bottom"/>
            <w:gridSpan w:val="3"/>
          </w:tcPr>
          <w:p>
            <w:pPr>
              <w:spacing w:after="0"/>
              <w:rPr>
                <w:sz w:val="20"/>
                <w:szCs w:val="20"/>
                <w:color w:val="auto"/>
              </w:rPr>
            </w:pPr>
            <w:r>
              <w:rPr>
                <w:rFonts w:ascii="Arial" w:cs="Arial" w:eastAsia="Arial" w:hAnsi="Arial"/>
                <w:sz w:val="18"/>
                <w:szCs w:val="18"/>
                <w:color w:val="0000FF"/>
                <w:w w:val="98"/>
              </w:rPr>
              <w:t>[Reserved]</w:t>
            </w:r>
          </w:p>
        </w:tc>
        <w:tc>
          <w:tcPr>
            <w:tcW w:w="8080" w:type="dxa"/>
            <w:vAlign w:val="bottom"/>
            <w:gridSpan w:val="20"/>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7.</w:t>
            </w:r>
          </w:p>
        </w:tc>
        <w:tc>
          <w:tcPr>
            <w:tcW w:w="714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80" w:type="dxa"/>
            <w:vAlign w:val="bottom"/>
            <w:gridSpan w:val="4"/>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25</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7A.</w:t>
            </w:r>
          </w:p>
        </w:tc>
        <w:tc>
          <w:tcPr>
            <w:tcW w:w="714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180" w:type="dxa"/>
            <w:vAlign w:val="bottom"/>
            <w:gridSpan w:val="4"/>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38</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8.</w:t>
            </w:r>
          </w:p>
        </w:tc>
        <w:tc>
          <w:tcPr>
            <w:tcW w:w="3780" w:type="dxa"/>
            <w:vAlign w:val="bottom"/>
            <w:gridSpan w:val="14"/>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gridSpan w:val="3"/>
          </w:tcPr>
          <w:p>
            <w:pPr>
              <w:spacing w:after="0"/>
              <w:rPr>
                <w:sz w:val="18"/>
                <w:szCs w:val="18"/>
                <w:color w:val="auto"/>
              </w:rPr>
            </w:pPr>
          </w:p>
        </w:tc>
        <w:tc>
          <w:tcPr>
            <w:tcW w:w="4560" w:type="dxa"/>
            <w:vAlign w:val="bottom"/>
            <w:gridSpan w:val="7"/>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39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w:t>
            </w:r>
          </w:p>
        </w:tc>
        <w:tc>
          <w:tcPr>
            <w:tcW w:w="9320" w:type="dxa"/>
            <w:vAlign w:val="bottom"/>
            <w:gridSpan w:val="24"/>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67</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9A.</w:t>
            </w:r>
          </w:p>
        </w:tc>
        <w:tc>
          <w:tcPr>
            <w:tcW w:w="722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2100" w:type="dxa"/>
            <w:vAlign w:val="bottom"/>
            <w:gridSpan w:val="3"/>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67</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9B.</w:t>
            </w:r>
          </w:p>
        </w:tc>
        <w:tc>
          <w:tcPr>
            <w:tcW w:w="1460" w:type="dxa"/>
            <w:vAlign w:val="bottom"/>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gridSpan w:val="4"/>
          </w:tcPr>
          <w:p>
            <w:pPr>
              <w:spacing w:after="0"/>
              <w:rPr>
                <w:sz w:val="18"/>
                <w:szCs w:val="18"/>
                <w:color w:val="auto"/>
              </w:rPr>
            </w:pPr>
          </w:p>
        </w:tc>
        <w:tc>
          <w:tcPr>
            <w:tcW w:w="7280" w:type="dxa"/>
            <w:vAlign w:val="bottom"/>
            <w:gridSpan w:val="14"/>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9C.</w:t>
            </w:r>
          </w:p>
        </w:tc>
        <w:tc>
          <w:tcPr>
            <w:tcW w:w="9320" w:type="dxa"/>
            <w:vAlign w:val="bottom"/>
            <w:gridSpan w:val="24"/>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466"/>
        </w:trPr>
        <w:tc>
          <w:tcPr>
            <w:tcW w:w="96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6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10.</w:t>
            </w:r>
          </w:p>
        </w:tc>
        <w:tc>
          <w:tcPr>
            <w:tcW w:w="4560" w:type="dxa"/>
            <w:vAlign w:val="bottom"/>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760" w:type="dxa"/>
            <w:vAlign w:val="bottom"/>
            <w:gridSpan w:val="8"/>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11.</w:t>
            </w:r>
          </w:p>
        </w:tc>
        <w:tc>
          <w:tcPr>
            <w:tcW w:w="4560" w:type="dxa"/>
            <w:vAlign w:val="bottom"/>
            <w:gridSpan w:val="16"/>
          </w:tcPr>
          <w:p>
            <w:pPr>
              <w:spacing w:after="0"/>
              <w:rPr>
                <w:sz w:val="20"/>
                <w:szCs w:val="20"/>
                <w:color w:val="auto"/>
              </w:rPr>
            </w:pPr>
            <w:r>
              <w:rPr>
                <w:rFonts w:ascii="Arial" w:cs="Arial" w:eastAsia="Arial" w:hAnsi="Arial"/>
                <w:sz w:val="18"/>
                <w:szCs w:val="18"/>
                <w:color w:val="0000FF"/>
              </w:rPr>
              <w:t>Executive Compensation.</w:t>
            </w:r>
          </w:p>
        </w:tc>
        <w:tc>
          <w:tcPr>
            <w:tcW w:w="4760" w:type="dxa"/>
            <w:vAlign w:val="bottom"/>
            <w:gridSpan w:val="8"/>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80" w:type="dxa"/>
            <w:vAlign w:val="bottom"/>
            <w:gridSpan w:val="9"/>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12.</w:t>
            </w:r>
          </w:p>
        </w:tc>
        <w:tc>
          <w:tcPr>
            <w:tcW w:w="8100" w:type="dxa"/>
            <w:vAlign w:val="bottom"/>
            <w:gridSpan w:val="22"/>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Shareholder Matters.</w:t>
            </w:r>
          </w:p>
        </w:tc>
        <w:tc>
          <w:tcPr>
            <w:tcW w:w="1220" w:type="dxa"/>
            <w:vAlign w:val="bottom"/>
            <w:gridSpan w:val="2"/>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80" w:type="dxa"/>
            <w:vAlign w:val="bottom"/>
            <w:gridSpan w:val="11"/>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13.</w:t>
            </w:r>
          </w:p>
        </w:tc>
        <w:tc>
          <w:tcPr>
            <w:tcW w:w="8100" w:type="dxa"/>
            <w:vAlign w:val="bottom"/>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220" w:type="dxa"/>
            <w:vAlign w:val="bottom"/>
            <w:gridSpan w:val="2"/>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14.</w:t>
            </w:r>
          </w:p>
        </w:tc>
        <w:tc>
          <w:tcPr>
            <w:tcW w:w="6120" w:type="dxa"/>
            <w:vAlign w:val="bottom"/>
            <w:gridSpan w:val="19"/>
          </w:tcPr>
          <w:p>
            <w:pPr>
              <w:spacing w:after="0"/>
              <w:rPr>
                <w:sz w:val="20"/>
                <w:szCs w:val="20"/>
                <w:color w:val="auto"/>
              </w:rPr>
            </w:pPr>
            <w:r>
              <w:rPr>
                <w:rFonts w:ascii="Arial" w:cs="Arial" w:eastAsia="Arial" w:hAnsi="Arial"/>
                <w:sz w:val="18"/>
                <w:szCs w:val="18"/>
                <w:color w:val="0000FF"/>
              </w:rPr>
              <w:t>Principal Accountant Fees and Services.</w:t>
            </w:r>
          </w:p>
        </w:tc>
        <w:tc>
          <w:tcPr>
            <w:tcW w:w="3200" w:type="dxa"/>
            <w:vAlign w:val="bottom"/>
            <w:gridSpan w:val="5"/>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69</w:t>
            </w:r>
          </w:p>
        </w:tc>
      </w:tr>
      <w:tr>
        <w:trPr>
          <w:trHeight w:val="466"/>
        </w:trPr>
        <w:tc>
          <w:tcPr>
            <w:tcW w:w="96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1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0"/>
        </w:trPr>
        <w:tc>
          <w:tcPr>
            <w:tcW w:w="70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gridSpan w:val="1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r>
      <w:tr>
        <w:trPr>
          <w:trHeight w:val="209"/>
        </w:trPr>
        <w:tc>
          <w:tcPr>
            <w:tcW w:w="960" w:type="dxa"/>
            <w:vAlign w:val="bottom"/>
            <w:gridSpan w:val="6"/>
          </w:tcPr>
          <w:p>
            <w:pPr>
              <w:ind w:left="120"/>
              <w:spacing w:after="0"/>
              <w:rPr>
                <w:sz w:val="20"/>
                <w:szCs w:val="20"/>
                <w:color w:val="auto"/>
              </w:rPr>
            </w:pPr>
            <w:r>
              <w:rPr>
                <w:rFonts w:ascii="Arial" w:cs="Arial" w:eastAsia="Arial" w:hAnsi="Arial"/>
                <w:sz w:val="18"/>
                <w:szCs w:val="18"/>
                <w:color w:val="auto"/>
              </w:rPr>
              <w:t>Item 15.</w:t>
            </w:r>
          </w:p>
        </w:tc>
        <w:tc>
          <w:tcPr>
            <w:tcW w:w="3480" w:type="dxa"/>
            <w:vAlign w:val="bottom"/>
            <w:gridSpan w:val="13"/>
          </w:tcPr>
          <w:p>
            <w:pPr>
              <w:spacing w:after="0"/>
              <w:rPr>
                <w:sz w:val="20"/>
                <w:szCs w:val="20"/>
                <w:color w:val="auto"/>
              </w:rPr>
            </w:pPr>
            <w:r>
              <w:rPr>
                <w:rFonts w:ascii="Arial" w:cs="Arial" w:eastAsia="Arial" w:hAnsi="Arial"/>
                <w:sz w:val="18"/>
                <w:szCs w:val="18"/>
                <w:color w:val="0000FF"/>
                <w:w w:val="99"/>
              </w:rPr>
              <w:t>Exhibit and Financial Statement Schedules.</w:t>
            </w:r>
          </w:p>
        </w:tc>
        <w:tc>
          <w:tcPr>
            <w:tcW w:w="5840" w:type="dxa"/>
            <w:vAlign w:val="bottom"/>
            <w:gridSpan w:val="11"/>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70</w:t>
            </w:r>
          </w:p>
        </w:tc>
      </w:tr>
      <w:tr>
        <w:trPr>
          <w:trHeight w:val="20"/>
        </w:trPr>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320" w:type="dxa"/>
            <w:vAlign w:val="bottom"/>
            <w:gridSpan w:val="1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66"/>
        </w:trPr>
        <w:tc>
          <w:tcPr>
            <w:tcW w:w="10280" w:type="dxa"/>
            <w:vAlign w:val="bottom"/>
            <w:gridSpan w:val="30"/>
          </w:tcPr>
          <w:p>
            <w:pPr>
              <w:spacing w:after="0"/>
              <w:rPr>
                <w:sz w:val="20"/>
                <w:szCs w:val="20"/>
                <w:color w:val="auto"/>
              </w:rPr>
            </w:pPr>
            <w:r>
              <w:rPr>
                <w:rFonts w:ascii="Arial" w:cs="Arial" w:eastAsia="Arial" w:hAnsi="Arial"/>
                <w:sz w:val="18"/>
                <w:szCs w:val="18"/>
                <w:b w:val="1"/>
                <w:bCs w:val="1"/>
                <w:color w:val="0000FF"/>
              </w:rPr>
              <w:t>Exhibit Index</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71</w:t>
            </w:r>
          </w:p>
        </w:tc>
      </w:tr>
      <w:tr>
        <w:trPr>
          <w:trHeight w:val="20"/>
        </w:trPr>
        <w:tc>
          <w:tcPr>
            <w:tcW w:w="9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940" w:type="dxa"/>
            <w:vAlign w:val="bottom"/>
            <w:gridSpan w:val="5"/>
          </w:tcPr>
          <w:p>
            <w:pPr>
              <w:spacing w:after="0"/>
              <w:rPr>
                <w:sz w:val="20"/>
                <w:szCs w:val="20"/>
                <w:color w:val="auto"/>
              </w:rPr>
            </w:pPr>
            <w:r>
              <w:rPr>
                <w:rFonts w:ascii="Arial" w:cs="Arial" w:eastAsia="Arial" w:hAnsi="Arial"/>
                <w:sz w:val="18"/>
                <w:szCs w:val="18"/>
                <w:b w:val="1"/>
                <w:bCs w:val="1"/>
                <w:color w:val="0000FF"/>
                <w:w w:val="98"/>
              </w:rPr>
              <w:t>Signatures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73</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5120" w:type="dxa"/>
            <w:vAlign w:val="bottom"/>
            <w:gridSpan w:val="21"/>
          </w:tcPr>
          <w:p>
            <w:pPr>
              <w:spacing w:after="0"/>
              <w:rPr>
                <w:sz w:val="20"/>
                <w:szCs w:val="20"/>
                <w:color w:val="auto"/>
              </w:rPr>
            </w:pPr>
            <w:r>
              <w:rPr>
                <w:rFonts w:ascii="Arial" w:cs="Arial" w:eastAsia="Arial" w:hAnsi="Arial"/>
                <w:sz w:val="18"/>
                <w:szCs w:val="18"/>
                <w:b w:val="1"/>
                <w:bCs w:val="1"/>
                <w:color w:val="0000FF"/>
                <w:w w:val="99"/>
              </w:rPr>
              <w:t>Consent of Independent Registered Public Accounting Firm</w:t>
            </w:r>
          </w:p>
        </w:tc>
        <w:tc>
          <w:tcPr>
            <w:tcW w:w="5160" w:type="dxa"/>
            <w:vAlign w:val="bottom"/>
            <w:gridSpan w:val="9"/>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74</w:t>
            </w: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Annual Report on Form 10-K contains forward-looking statements within the meaning of the Private Securities Litigation Reform Act of 1995. Forward-looking statements are statements regarding matters that are not historical facts, and are based on our management’s beliefs and assumptions and on information currently available to our management. A forward-looking statement is neither a prediction nor a guarantee of future events or circumstances, and those future events or circumstances may not occur. In some cases, forward-looking statements can be identified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February 3, 2024, trends in our operations and the following: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63" w:lineRule="exact"/>
        <w:rPr>
          <w:sz w:val="20"/>
          <w:szCs w:val="20"/>
          <w:color w:val="auto"/>
        </w:rPr>
      </w:pPr>
    </w:p>
    <w:p>
      <w:pPr>
        <w:ind w:left="340" w:right="44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customers superior service, products and experiences, online, through our fulfillment capabilities and in stores,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and effective implementation and execution of our evolving business model, including:</w:t>
      </w:r>
    </w:p>
    <w:p>
      <w:pPr>
        <w:spacing w:after="0" w:line="63" w:lineRule="exact"/>
        <w:rPr>
          <w:rFonts w:ascii="Arial" w:cs="Arial" w:eastAsia="Arial" w:hAnsi="Arial"/>
          <w:sz w:val="18"/>
          <w:szCs w:val="18"/>
          <w:color w:val="auto"/>
        </w:rPr>
      </w:pPr>
    </w:p>
    <w:p>
      <w:pPr>
        <w:ind w:left="660" w:right="140" w:hanging="166"/>
        <w:spacing w:after="0" w:line="281"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winning at our market strategy by providing a differentiated and seamless experience, which consists of the integration of our digital and physical assets, development of new supply chain capabilities and timely delivery of products,</w:t>
      </w:r>
    </w:p>
    <w:p>
      <w:pPr>
        <w:spacing w:after="0" w:line="1" w:lineRule="exact"/>
        <w:rPr>
          <w:rFonts w:ascii="Arial" w:cs="Arial" w:eastAsia="Arial" w:hAnsi="Arial"/>
          <w:sz w:val="18"/>
          <w:szCs w:val="18"/>
          <w:color w:val="auto"/>
        </w:rPr>
      </w:pPr>
    </w:p>
    <w:p>
      <w:pPr>
        <w:ind w:left="660" w:right="340" w:hanging="166"/>
        <w:spacing w:after="0" w:line="281"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broadening the reach of Nordstrom Rack, including delivering great brands at great prices and leveraging our digital and physical assets,</w:t>
      </w:r>
    </w:p>
    <w:p>
      <w:pPr>
        <w:spacing w:after="0" w:line="1" w:lineRule="exact"/>
        <w:rPr>
          <w:rFonts w:ascii="Arial" w:cs="Arial" w:eastAsia="Arial" w:hAnsi="Arial"/>
          <w:sz w:val="18"/>
          <w:szCs w:val="18"/>
          <w:color w:val="auto"/>
        </w:rPr>
      </w:pPr>
    </w:p>
    <w:p>
      <w:pPr>
        <w:ind w:left="660" w:right="620" w:hanging="166"/>
        <w:spacing w:after="0" w:line="281" w:lineRule="auto"/>
        <w:tabs>
          <w:tab w:leader="none" w:pos="656" w:val="left"/>
        </w:tabs>
        <w:numPr>
          <w:ilvl w:val="1"/>
          <w:numId w:val="3"/>
        </w:numPr>
        <w:rPr>
          <w:rFonts w:ascii="Arial" w:cs="Arial" w:eastAsia="Arial" w:hAnsi="Arial"/>
          <w:sz w:val="18"/>
          <w:szCs w:val="18"/>
          <w:color w:val="auto"/>
        </w:rPr>
      </w:pPr>
      <w:r>
        <w:rPr>
          <w:rFonts w:ascii="Arial" w:cs="Arial" w:eastAsia="Arial" w:hAnsi="Arial"/>
          <w:sz w:val="18"/>
          <w:szCs w:val="18"/>
          <w:color w:val="auto"/>
        </w:rPr>
        <w:t>enhancing our platforms and processes to deliver core capabilities to drive customer, employee and partner experiences both digitally and in stores,</w:t>
      </w:r>
    </w:p>
    <w:p>
      <w:pPr>
        <w:spacing w:after="0" w:line="1" w:lineRule="exact"/>
        <w:rPr>
          <w:rFonts w:ascii="Arial" w:cs="Arial" w:eastAsia="Arial" w:hAnsi="Arial"/>
          <w:sz w:val="18"/>
          <w:szCs w:val="18"/>
          <w:color w:val="auto"/>
        </w:rPr>
      </w:pPr>
    </w:p>
    <w:p>
      <w:pPr>
        <w:ind w:left="340" w:right="40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merchandise strategy, including our ability to offer compelling assortments and optimize our inventory to ensure we have the right product mix and quantity in each of our channels and locations, allowing us to get closer to our customers,</w:t>
      </w:r>
    </w:p>
    <w:p>
      <w:pPr>
        <w:spacing w:after="0" w:line="8" w:lineRule="exact"/>
        <w:rPr>
          <w:rFonts w:ascii="Arial" w:cs="Arial" w:eastAsia="Arial" w:hAnsi="Arial"/>
          <w:sz w:val="18"/>
          <w:szCs w:val="18"/>
          <w:color w:val="auto"/>
        </w:rPr>
      </w:pPr>
    </w:p>
    <w:p>
      <w:pPr>
        <w:ind w:left="340" w:right="58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allocate and scale our marketing strategies and resources, including Nordstrom Media Network, as well as realize the expected benefits between The Nordy Club, advertising and promotional campaigns,</w:t>
      </w:r>
    </w:p>
    <w:p>
      <w:pPr>
        <w:spacing w:after="0" w:line="1" w:lineRule="exact"/>
        <w:rPr>
          <w:rFonts w:ascii="Arial" w:cs="Arial" w:eastAsia="Arial" w:hAnsi="Arial"/>
          <w:sz w:val="18"/>
          <w:szCs w:val="18"/>
          <w:color w:val="auto"/>
        </w:rPr>
      </w:pPr>
    </w:p>
    <w:p>
      <w:pPr>
        <w:jc w:val="both"/>
        <w:ind w:left="340" w:right="14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respond to the evolving retail environment, including new fashion trends, environmental considerations and our customers’ changing expectations of service and experience in stores and online, and our development and outcome of new market strategies and customer offerings,</w:t>
      </w:r>
    </w:p>
    <w:p>
      <w:pPr>
        <w:spacing w:after="0" w:line="8" w:lineRule="exact"/>
        <w:rPr>
          <w:rFonts w:ascii="Arial" w:cs="Arial" w:eastAsia="Arial" w:hAnsi="Arial"/>
          <w:sz w:val="18"/>
          <w:szCs w:val="18"/>
          <w:color w:val="auto"/>
        </w:rPr>
      </w:pPr>
    </w:p>
    <w:p>
      <w:pPr>
        <w:ind w:left="340" w:right="74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effects of disruptions in the global supply chain, including factory closures, transportation challenges or stoppages of certain imports, and rising prices of raw materials and freight expenses,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control costs through effective inventory management and supply chain processes and systems,</w:t>
      </w:r>
    </w:p>
    <w:p>
      <w:pPr>
        <w:spacing w:after="0" w:line="63" w:lineRule="exact"/>
        <w:rPr>
          <w:rFonts w:ascii="Arial" w:cs="Arial" w:eastAsia="Arial" w:hAnsi="Arial"/>
          <w:sz w:val="18"/>
          <w:szCs w:val="18"/>
          <w:color w:val="auto"/>
        </w:rPr>
      </w:pPr>
    </w:p>
    <w:p>
      <w:pPr>
        <w:ind w:left="340" w:right="20" w:hanging="170"/>
        <w:spacing w:after="0" w:line="268"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develop and retain qualified and diverse talent by providing appropriate training, compelling work environments and competitive compensation and benefits, especially in areas with increased market compensation, all in the context of any labor shortage and competition for talent,</w:t>
      </w:r>
    </w:p>
    <w:p>
      <w:pPr>
        <w:spacing w:after="0" w:line="8" w:lineRule="exact"/>
        <w:rPr>
          <w:rFonts w:ascii="Arial" w:cs="Arial" w:eastAsia="Arial" w:hAnsi="Arial"/>
          <w:sz w:val="18"/>
          <w:szCs w:val="18"/>
          <w:color w:val="auto"/>
        </w:rPr>
      </w:pPr>
    </w:p>
    <w:p>
      <w:pPr>
        <w:ind w:left="340" w:right="42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benefits, anticipate and respond to potential risks and appropriately manage costs associated with our credit card revenue sharing program,</w:t>
      </w:r>
    </w:p>
    <w:p>
      <w:pPr>
        <w:spacing w:after="0" w:line="1" w:lineRule="exact"/>
        <w:rPr>
          <w:rFonts w:ascii="Arial" w:cs="Arial" w:eastAsia="Arial" w:hAnsi="Arial"/>
          <w:sz w:val="18"/>
          <w:szCs w:val="18"/>
          <w:color w:val="auto"/>
        </w:rPr>
      </w:pPr>
    </w:p>
    <w:p>
      <w:pPr>
        <w:ind w:left="340" w:right="460" w:hanging="170"/>
        <w:spacing w:after="0" w:line="281" w:lineRule="auto"/>
        <w:tabs>
          <w:tab w:leader="none" w:pos="349"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fluctuations in the fair values of reporting units or of assets in the event projected financial results are not achieved within expected time frames or if our strategic direction changes,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which may have a negative impact on our business and results and may exacerbate any risks noted,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Cybersecurity and Information Technology</w:t>
      </w:r>
    </w:p>
    <w:p>
      <w:pPr>
        <w:spacing w:after="0" w:line="63" w:lineRule="exact"/>
        <w:rPr>
          <w:sz w:val="20"/>
          <w:szCs w:val="20"/>
          <w:color w:val="auto"/>
        </w:rPr>
      </w:pPr>
    </w:p>
    <w:p>
      <w:pPr>
        <w:ind w:left="340" w:hanging="170"/>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63" w:lineRule="exact"/>
        <w:rPr>
          <w:rFonts w:ascii="Arial" w:cs="Arial" w:eastAsia="Arial" w:hAnsi="Arial"/>
          <w:sz w:val="18"/>
          <w:szCs w:val="18"/>
          <w:color w:val="auto"/>
        </w:rPr>
      </w:pPr>
    </w:p>
    <w:p>
      <w:pPr>
        <w:ind w:left="340" w:right="360" w:hanging="170"/>
        <w:spacing w:after="0" w:line="262" w:lineRule="auto"/>
        <w:tabs>
          <w:tab w:leader="none" w:pos="34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system or network failures, cybersecurity and/or security breaches, including any security breach of our systems or those of a third-party provider that results in the theft, transfer or unauthorized disclosure of customer, employee or Company information, or that results in the interruption of business processes or causes financial loss, and our compliance with information security and privacy laws and regulations, as well as third-party contractual obligations in the event of such an incident,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Reputation and Relationships</w:t>
      </w:r>
    </w:p>
    <w:p>
      <w:pPr>
        <w:spacing w:after="0" w:line="63" w:lineRule="exact"/>
        <w:rPr>
          <w:sz w:val="20"/>
          <w:szCs w:val="20"/>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our reputation and relationships with our customers, employees, vendors and third-party partners and landlords,</w:t>
      </w:r>
    </w:p>
    <w:p>
      <w:pPr>
        <w:spacing w:after="0" w:line="63" w:lineRule="exact"/>
        <w:rPr>
          <w:rFonts w:ascii="Arial" w:cs="Arial" w:eastAsia="Arial" w:hAnsi="Arial"/>
          <w:sz w:val="18"/>
          <w:szCs w:val="18"/>
          <w:color w:val="auto"/>
        </w:rPr>
      </w:pPr>
    </w:p>
    <w:p>
      <w:pPr>
        <w:ind w:left="340" w:right="180" w:hanging="170"/>
        <w:spacing w:after="0" w:line="281"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act responsibly and with transparency with respect to our corporate social responsibility practices and initiatives, meet any communicated targets, goals or milestones and adapt to evolving reporting requirements,</w:t>
      </w:r>
    </w:p>
    <w:p>
      <w:pPr>
        <w:spacing w:after="0" w:line="1" w:lineRule="exact"/>
        <w:rPr>
          <w:rFonts w:ascii="Arial" w:cs="Arial" w:eastAsia="Arial" w:hAnsi="Arial"/>
          <w:sz w:val="18"/>
          <w:szCs w:val="18"/>
          <w:color w:val="auto"/>
        </w:rPr>
      </w:pPr>
    </w:p>
    <w:p>
      <w:pPr>
        <w:ind w:left="340" w:right="520" w:hanging="170"/>
        <w:spacing w:after="0" w:line="281" w:lineRule="auto"/>
        <w:tabs>
          <w:tab w:leader="none" w:pos="34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our brand and distribute our products through a variety of third-party publisher or platform channels, as well as access mobile operating system and website identifiers for personalized delivery of targeted advertising,</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concentration of stock ownership on our shareholders’ ability to influence corporate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Capital</w:t>
      </w:r>
    </w:p>
    <w:p>
      <w:pPr>
        <w:spacing w:after="0" w:line="63" w:lineRule="exact"/>
        <w:rPr>
          <w:sz w:val="20"/>
          <w:szCs w:val="20"/>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63" w:lineRule="exact"/>
        <w:rPr>
          <w:rFonts w:ascii="Arial" w:cs="Arial" w:eastAsia="Arial" w:hAnsi="Arial"/>
          <w:sz w:val="18"/>
          <w:szCs w:val="18"/>
          <w:color w:val="auto"/>
        </w:rPr>
      </w:pPr>
    </w:p>
    <w:p>
      <w:pPr>
        <w:ind w:left="340" w:right="560" w:hanging="170"/>
        <w:spacing w:after="0" w:line="281"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technology, Supply Chain Network facilities and existing and new store locations, including the expansion of our market strategy,</w:t>
      </w:r>
    </w:p>
    <w:p>
      <w:pPr>
        <w:spacing w:after="0" w:line="1" w:lineRule="exact"/>
        <w:rPr>
          <w:rFonts w:ascii="Arial" w:cs="Arial" w:eastAsia="Arial" w:hAnsi="Arial"/>
          <w:sz w:val="18"/>
          <w:szCs w:val="18"/>
          <w:color w:val="auto"/>
        </w:rPr>
      </w:pPr>
    </w:p>
    <w:p>
      <w:pPr>
        <w:ind w:left="340" w:right="100" w:hanging="170"/>
        <w:spacing w:after="0" w:line="268"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or expand our presence, including timely completion of construction associated with Supply Chain Network facilities and new, relocated and remodeled stores, as well as any potential store closures, all of which may be impacted by third parties, consumer demand and other natural or man-made disruptions, and government responses to any such disruptions,</w:t>
      </w:r>
    </w:p>
    <w:p>
      <w:pPr>
        <w:spacing w:after="0" w:line="8" w:lineRule="exact"/>
        <w:rPr>
          <w:rFonts w:ascii="Arial" w:cs="Arial" w:eastAsia="Arial" w:hAnsi="Arial"/>
          <w:sz w:val="18"/>
          <w:szCs w:val="18"/>
          <w:color w:val="auto"/>
        </w:rPr>
      </w:pPr>
    </w:p>
    <w:p>
      <w:pPr>
        <w:ind w:left="340" w:right="420" w:hanging="170"/>
        <w:spacing w:after="0" w:line="281"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63" w:lineRule="exact"/>
        <w:rPr>
          <w:rFonts w:ascii="Arial" w:cs="Arial" w:eastAsia="Arial" w:hAnsi="Arial"/>
          <w:sz w:val="18"/>
          <w:szCs w:val="18"/>
          <w:color w:val="auto"/>
        </w:rPr>
      </w:pPr>
    </w:p>
    <w:p>
      <w:pPr>
        <w:ind w:left="340" w:right="200" w:hanging="170"/>
        <w:spacing w:after="0" w:line="287" w:lineRule="auto"/>
        <w:tabs>
          <w:tab w:leader="none" w:pos="34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actual timing, price, manner and amounts of future share repurchases, dividend payments or share issuances, if any, subject to the discretion of our Board of Directors, contractual commitments, market and economic conditions and applicable SEC rules,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63" w:lineRule="exact"/>
        <w:rPr>
          <w:sz w:val="20"/>
          <w:szCs w:val="20"/>
          <w:color w:val="auto"/>
        </w:rPr>
      </w:pPr>
    </w:p>
    <w:p>
      <w:pPr>
        <w:ind w:left="340" w:right="80" w:hanging="170"/>
        <w:spacing w:after="0" w:line="298" w:lineRule="auto"/>
        <w:tabs>
          <w:tab w:leader="none" w:pos="34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length and severity of epidemics or pandemics, or other catastrophic events, and the related impact on customer behavior, store and online operations and supply chain functions, as well as our future consolidated financial position, results of operations and cash flows,</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63" w:lineRule="exact"/>
        <w:rPr>
          <w:rFonts w:ascii="Arial" w:cs="Arial" w:eastAsia="Arial" w:hAnsi="Arial"/>
          <w:sz w:val="18"/>
          <w:szCs w:val="18"/>
          <w:color w:val="auto"/>
        </w:rPr>
      </w:pPr>
    </w:p>
    <w:p>
      <w:pPr>
        <w:ind w:left="340" w:right="60" w:hanging="170"/>
        <w:spacing w:after="0" w:line="268"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and market conditions in the U.S. and Canada, including inflation and measures to control inflation, and resulting changes to customer purchasing behavior, unemployment and bankruptcy rates, as well as any fiscal stimulus, or the cessation of any fiscal stimulus and the resulting impact on consumer spending and credit patterns,</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changing traffic patterns at shopping centers and malls,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insecurity or potential insolvency experienced by our vendors, suppliers, developers, landlords, competitors or customers,</w:t>
      </w:r>
    </w:p>
    <w:p>
      <w:pPr>
        <w:spacing w:after="0" w:line="63" w:lineRule="exact"/>
        <w:rPr>
          <w:rFonts w:ascii="Arial" w:cs="Arial" w:eastAsia="Arial" w:hAnsi="Arial"/>
          <w:sz w:val="18"/>
          <w:szCs w:val="18"/>
          <w:color w:val="auto"/>
        </w:rPr>
      </w:pPr>
    </w:p>
    <w:p>
      <w:pPr>
        <w:ind w:left="340" w:right="220" w:hanging="170"/>
        <w:spacing w:after="0" w:line="268" w:lineRule="auto"/>
        <w:tabs>
          <w:tab w:leader="none" w:pos="3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 natural disasters, climate change, national security concerns, global conflicts, civil unrest, other market and supply chain disruptions, the effects of tariffs, or the prospects of these events and the resulting impact on consumer spending patterns or information technology systems and communications,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63" w:lineRule="exact"/>
        <w:rPr>
          <w:sz w:val="20"/>
          <w:szCs w:val="20"/>
          <w:color w:val="auto"/>
        </w:rPr>
      </w:pPr>
    </w:p>
    <w:p>
      <w:pPr>
        <w:ind w:left="340" w:right="360" w:hanging="170"/>
        <w:spacing w:after="0" w:line="268"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and our vendors’, compliance with applicable domestic and international laws, regulations and ethical standards, including those related to COVID-19, minimum wage, employment and tax, information security and privacy, consumer credit and environmental regulations and the outcome of any claims, litigation and regulatory investigations and resolution of such matters,</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current regulatory environment, financial system and tax reforms,</w:t>
      </w:r>
    </w:p>
    <w:p>
      <w:pPr>
        <w:spacing w:after="0" w:line="63" w:lineRule="exact"/>
        <w:rPr>
          <w:rFonts w:ascii="Arial" w:cs="Arial" w:eastAsia="Arial" w:hAnsi="Arial"/>
          <w:sz w:val="18"/>
          <w:szCs w:val="18"/>
          <w:color w:val="auto"/>
        </w:rPr>
      </w:pPr>
    </w:p>
    <w:p>
      <w:pPr>
        <w:ind w:left="340" w:right="660" w:hanging="170"/>
        <w:spacing w:after="0" w:line="281" w:lineRule="auto"/>
        <w:tabs>
          <w:tab w:leader="none" w:pos="3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events or occurrences related to the wind-down of business operations in Canada.</w:t>
      </w: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These and other factors, including those factors we discuss in Part I, </w:t>
      </w:r>
      <w:r>
        <w:rPr>
          <w:rFonts w:ascii="Arial" w:cs="Arial" w:eastAsia="Arial" w:hAnsi="Arial"/>
          <w:sz w:val="18"/>
          <w:szCs w:val="18"/>
          <w:u w:val="single" w:color="auto"/>
          <w:color w:val="0000FF"/>
        </w:rPr>
        <w:t>Item 1A. Risk Factors</w:t>
      </w:r>
      <w:r>
        <w:rPr>
          <w:rFonts w:ascii="Arial" w:cs="Arial" w:eastAsia="Arial" w:hAnsi="Arial"/>
          <w:sz w:val="18"/>
          <w:szCs w:val="18"/>
          <w:color w:val="auto"/>
        </w:rPr>
        <w:t>, could affect our financial results and cause our actual results to differ materially from any forward-looking information we may provide. Given these risks, uncertainties and other factors, undue reliance should not be placed on these forward-looking statements. Also, these forward-looking statements represent our estimates and assumptions only as of the date of this filing, and these estimates and assumptions may prove to be incorrect. This Annual Report on Form 10-K should be read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“we,” “us,” “our,” or the “Company” mean Nordstrom, Inc. and its subsidiaries.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In addition, forward-looking statements may be impacted by the actual outcome of events or occurrences related to the wind-down of business operations in Canada.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 OF COMMONLY USED TERMS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Term</w:t>
            </w:r>
          </w:p>
        </w:tc>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Definition</w:t>
            </w:r>
          </w:p>
        </w:tc>
      </w:tr>
      <w:tr>
        <w:trPr>
          <w:trHeight w:val="211"/>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Plan</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2019 Equity Incentive Plan</w:t>
            </w: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rPr>
              <w:t>2022 Annual Report</w:t>
            </w:r>
          </w:p>
        </w:tc>
        <w:tc>
          <w:tcPr>
            <w:tcW w:w="3620" w:type="dxa"/>
            <w:vAlign w:val="bottom"/>
          </w:tcPr>
          <w:p>
            <w:pPr>
              <w:ind w:left="140"/>
              <w:spacing w:after="0" w:line="162" w:lineRule="exact"/>
              <w:rPr>
                <w:sz w:val="20"/>
                <w:szCs w:val="20"/>
                <w:color w:val="auto"/>
              </w:rPr>
            </w:pPr>
            <w:r>
              <w:rPr>
                <w:rFonts w:ascii="Arial" w:cs="Arial" w:eastAsia="Arial" w:hAnsi="Arial"/>
                <w:sz w:val="16"/>
                <w:szCs w:val="16"/>
                <w:color w:val="auto"/>
              </w:rPr>
              <w:t>Annual Report on Form 10-K filed on March 10,</w:t>
            </w:r>
          </w:p>
        </w:tc>
      </w:tr>
      <w:tr>
        <w:trPr>
          <w:trHeight w:val="215"/>
        </w:trPr>
        <w:tc>
          <w:tcPr>
            <w:tcW w:w="160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2023</w:t>
            </w:r>
          </w:p>
        </w:tc>
      </w:tr>
      <w:tr>
        <w:trPr>
          <w:trHeight w:val="163"/>
        </w:trPr>
        <w:tc>
          <w:tcPr>
            <w:tcW w:w="1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Adjusted EPS</w:t>
            </w:r>
          </w:p>
        </w:tc>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Adjusted earnings (loss) per diluted share (a</w:t>
            </w:r>
          </w:p>
        </w:tc>
      </w:tr>
      <w:tr>
        <w:trPr>
          <w:trHeight w:val="216"/>
        </w:trPr>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non-GAAP financial measure)</w:t>
            </w: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rPr>
              <w:t>Adjusted ROIC</w:t>
            </w:r>
          </w:p>
        </w:tc>
        <w:tc>
          <w:tcPr>
            <w:tcW w:w="3620" w:type="dxa"/>
            <w:vAlign w:val="bottom"/>
          </w:tcPr>
          <w:p>
            <w:pPr>
              <w:ind w:left="140"/>
              <w:spacing w:after="0" w:line="162" w:lineRule="exact"/>
              <w:rPr>
                <w:sz w:val="20"/>
                <w:szCs w:val="20"/>
                <w:color w:val="auto"/>
              </w:rPr>
            </w:pPr>
            <w:r>
              <w:rPr>
                <w:rFonts w:ascii="Arial" w:cs="Arial" w:eastAsia="Arial" w:hAnsi="Arial"/>
                <w:sz w:val="16"/>
                <w:szCs w:val="16"/>
                <w:color w:val="auto"/>
              </w:rPr>
              <w:t>Adjusted return on invested capital (a non-</w:t>
            </w:r>
          </w:p>
        </w:tc>
      </w:tr>
      <w:tr>
        <w:trPr>
          <w:trHeight w:val="215"/>
        </w:trPr>
        <w:tc>
          <w:tcPr>
            <w:tcW w:w="160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GAAP financial measure)</w:t>
            </w:r>
          </w:p>
        </w:tc>
      </w:tr>
      <w:tr>
        <w:trPr>
          <w:trHeight w:val="21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Accounting Standards Codification</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ASU</w:t>
            </w:r>
          </w:p>
        </w:tc>
        <w:tc>
          <w:tcPr>
            <w:tcW w:w="3620" w:type="dxa"/>
            <w:vAlign w:val="bottom"/>
          </w:tcPr>
          <w:p>
            <w:pPr>
              <w:ind w:left="140"/>
              <w:spacing w:after="0"/>
              <w:rPr>
                <w:sz w:val="20"/>
                <w:szCs w:val="20"/>
                <w:color w:val="auto"/>
              </w:rPr>
            </w:pPr>
            <w:r>
              <w:rPr>
                <w:rFonts w:ascii="Arial" w:cs="Arial" w:eastAsia="Arial" w:hAnsi="Arial"/>
                <w:sz w:val="16"/>
                <w:szCs w:val="16"/>
                <w:color w:val="auto"/>
              </w:rPr>
              <w:t>Accounting Standards Update</w:t>
            </w:r>
          </w:p>
        </w:tc>
      </w:tr>
      <w:tr>
        <w:trPr>
          <w:trHeight w:val="163"/>
        </w:trPr>
        <w:tc>
          <w:tcPr>
            <w:tcW w:w="1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CARES Act</w:t>
            </w:r>
          </w:p>
        </w:tc>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Coronavirus Aid, Relief and Economic Security</w:t>
            </w:r>
          </w:p>
        </w:tc>
      </w:tr>
      <w:tr>
        <w:trPr>
          <w:trHeight w:val="216"/>
        </w:trPr>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Act</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CCAA</w:t>
            </w:r>
          </w:p>
        </w:tc>
        <w:tc>
          <w:tcPr>
            <w:tcW w:w="3620" w:type="dxa"/>
            <w:vAlign w:val="bottom"/>
          </w:tcPr>
          <w:p>
            <w:pPr>
              <w:ind w:left="140"/>
              <w:spacing w:after="0"/>
              <w:rPr>
                <w:sz w:val="20"/>
                <w:szCs w:val="20"/>
                <w:color w:val="auto"/>
              </w:rPr>
            </w:pPr>
            <w:r>
              <w:rPr>
                <w:rFonts w:ascii="Arial" w:cs="Arial" w:eastAsia="Arial" w:hAnsi="Arial"/>
                <w:sz w:val="16"/>
                <w:szCs w:val="16"/>
                <w:color w:val="auto"/>
              </w:rPr>
              <w:t>Companies’ Creditors Arrangement Act</w:t>
            </w:r>
          </w:p>
        </w:tc>
      </w:tr>
      <w:tr>
        <w:trPr>
          <w:trHeight w:val="163"/>
        </w:trPr>
        <w:tc>
          <w:tcPr>
            <w:tcW w:w="1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Digital sales</w:t>
            </w:r>
          </w:p>
        </w:tc>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Sales conducted through a digital platform such</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as our websites or mobile apps. Digital sales</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may be self-guided by the customer, as in a</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traditional online order, or facilitated by a</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salesperson using a virtual styling or selling</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tool. Digital sales may be delivered to the</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customer or picked up in our Nordstrom stores,</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Nordstrom Rack stores or Nordstrom Local</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service hubs. Digital sales also includes a</w:t>
            </w:r>
          </w:p>
        </w:tc>
      </w:tr>
      <w:tr>
        <w:trPr>
          <w:trHeight w:val="216"/>
        </w:trPr>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reserve for estimated returns.</w:t>
            </w: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rPr>
              <w:t>EBIT</w:t>
            </w:r>
          </w:p>
        </w:tc>
        <w:tc>
          <w:tcPr>
            <w:tcW w:w="3620" w:type="dxa"/>
            <w:vAlign w:val="bottom"/>
          </w:tcPr>
          <w:p>
            <w:pPr>
              <w:ind w:left="140"/>
              <w:spacing w:after="0" w:line="162" w:lineRule="exact"/>
              <w:rPr>
                <w:sz w:val="20"/>
                <w:szCs w:val="20"/>
                <w:color w:val="auto"/>
              </w:rPr>
            </w:pPr>
            <w:r>
              <w:rPr>
                <w:rFonts w:ascii="Arial" w:cs="Arial" w:eastAsia="Arial" w:hAnsi="Arial"/>
                <w:sz w:val="16"/>
                <w:szCs w:val="16"/>
                <w:color w:val="auto"/>
              </w:rPr>
              <w:t>Earnings (loss) before interest and income</w:t>
            </w:r>
          </w:p>
        </w:tc>
      </w:tr>
      <w:tr>
        <w:trPr>
          <w:trHeight w:val="215"/>
        </w:trPr>
        <w:tc>
          <w:tcPr>
            <w:tcW w:w="160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taxes</w:t>
            </w:r>
          </w:p>
        </w:tc>
      </w:tr>
      <w:tr>
        <w:trPr>
          <w:trHeight w:val="163"/>
        </w:trPr>
        <w:tc>
          <w:tcPr>
            <w:tcW w:w="1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EBIT Margin</w:t>
            </w:r>
          </w:p>
        </w:tc>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Earnings (loss) before interest and income</w:t>
            </w:r>
          </w:p>
        </w:tc>
      </w:tr>
      <w:tr>
        <w:trPr>
          <w:trHeight w:val="216"/>
        </w:trPr>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as a percent of net sales</w:t>
            </w: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rPr>
              <w:t>EBITDA</w:t>
            </w:r>
          </w:p>
        </w:tc>
        <w:tc>
          <w:tcPr>
            <w:tcW w:w="3620" w:type="dxa"/>
            <w:vAlign w:val="bottom"/>
          </w:tcPr>
          <w:p>
            <w:pPr>
              <w:ind w:left="140"/>
              <w:spacing w:after="0" w:line="162" w:lineRule="exact"/>
              <w:rPr>
                <w:sz w:val="20"/>
                <w:szCs w:val="20"/>
                <w:color w:val="auto"/>
              </w:rPr>
            </w:pPr>
            <w:r>
              <w:rPr>
                <w:rFonts w:ascii="Arial" w:cs="Arial" w:eastAsia="Arial" w:hAnsi="Arial"/>
                <w:sz w:val="16"/>
                <w:szCs w:val="16"/>
                <w:color w:val="auto"/>
              </w:rPr>
              <w:t>Earnings (loss) before interest, income taxes,</w:t>
            </w:r>
          </w:p>
        </w:tc>
      </w:tr>
      <w:tr>
        <w:trPr>
          <w:trHeight w:val="215"/>
        </w:trPr>
        <w:tc>
          <w:tcPr>
            <w:tcW w:w="160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r>
      <w:tr>
        <w:trPr>
          <w:trHeight w:val="163"/>
        </w:trPr>
        <w:tc>
          <w:tcPr>
            <w:tcW w:w="1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EBITDAR</w:t>
            </w:r>
          </w:p>
        </w:tc>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Earnings (loss) before interest, income taxes,</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depreciation, amortization and rent, as defined</w:t>
            </w:r>
          </w:p>
        </w:tc>
      </w:tr>
      <w:tr>
        <w:trPr>
          <w:trHeight w:val="216"/>
        </w:trPr>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by our Revolver covenant</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EPS</w:t>
            </w:r>
          </w:p>
        </w:tc>
        <w:tc>
          <w:tcPr>
            <w:tcW w:w="3620" w:type="dxa"/>
            <w:vAlign w:val="bottom"/>
          </w:tcPr>
          <w:p>
            <w:pPr>
              <w:ind w:left="140"/>
              <w:spacing w:after="0"/>
              <w:rPr>
                <w:sz w:val="20"/>
                <w:szCs w:val="20"/>
                <w:color w:val="auto"/>
              </w:rPr>
            </w:pPr>
            <w:r>
              <w:rPr>
                <w:rFonts w:ascii="Arial" w:cs="Arial" w:eastAsia="Arial" w:hAnsi="Arial"/>
                <w:sz w:val="16"/>
                <w:szCs w:val="16"/>
                <w:color w:val="auto"/>
              </w:rPr>
              <w:t>Earnings (loss) per share</w:t>
            </w:r>
          </w:p>
        </w:tc>
      </w:tr>
      <w:tr>
        <w:trPr>
          <w:trHeight w:val="21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Stock Purchase Plan</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Exchange Act</w:t>
            </w:r>
          </w:p>
        </w:tc>
        <w:tc>
          <w:tcPr>
            <w:tcW w:w="3620" w:type="dxa"/>
            <w:vAlign w:val="bottom"/>
          </w:tcPr>
          <w:p>
            <w:pPr>
              <w:ind w:left="140"/>
              <w:spacing w:after="0"/>
              <w:rPr>
                <w:sz w:val="20"/>
                <w:szCs w:val="20"/>
                <w:color w:val="auto"/>
              </w:rPr>
            </w:pPr>
            <w:r>
              <w:rPr>
                <w:rFonts w:ascii="Arial" w:cs="Arial" w:eastAsia="Arial" w:hAnsi="Arial"/>
                <w:sz w:val="16"/>
                <w:szCs w:val="16"/>
                <w:color w:val="auto"/>
              </w:rPr>
              <w:t>Securities Exchange Act of 1934, as amended</w:t>
            </w:r>
          </w:p>
        </w:tc>
      </w:tr>
      <w:tr>
        <w:trPr>
          <w:trHeight w:val="21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FASB</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Financial Accounting Standards Board</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Fiscal year 2023</w:t>
            </w:r>
          </w:p>
        </w:tc>
        <w:tc>
          <w:tcPr>
            <w:tcW w:w="3620" w:type="dxa"/>
            <w:vAlign w:val="bottom"/>
          </w:tcPr>
          <w:p>
            <w:pPr>
              <w:ind w:left="140"/>
              <w:spacing w:after="0"/>
              <w:rPr>
                <w:sz w:val="20"/>
                <w:szCs w:val="20"/>
                <w:color w:val="auto"/>
              </w:rPr>
            </w:pPr>
            <w:r>
              <w:rPr>
                <w:rFonts w:ascii="Arial" w:cs="Arial" w:eastAsia="Arial" w:hAnsi="Arial"/>
                <w:sz w:val="16"/>
                <w:szCs w:val="16"/>
                <w:color w:val="auto"/>
              </w:rPr>
              <w:t>53 fiscal weeks ending February 3, 2024</w:t>
            </w:r>
          </w:p>
        </w:tc>
      </w:tr>
      <w:tr>
        <w:trPr>
          <w:trHeight w:val="21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2022</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52 fiscal weeks ending January 28, 2023</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Fiscal year 2021</w:t>
            </w:r>
          </w:p>
        </w:tc>
        <w:tc>
          <w:tcPr>
            <w:tcW w:w="3620" w:type="dxa"/>
            <w:vAlign w:val="bottom"/>
          </w:tcPr>
          <w:p>
            <w:pPr>
              <w:ind w:left="140"/>
              <w:spacing w:after="0"/>
              <w:rPr>
                <w:sz w:val="20"/>
                <w:szCs w:val="20"/>
                <w:color w:val="auto"/>
              </w:rPr>
            </w:pPr>
            <w:r>
              <w:rPr>
                <w:rFonts w:ascii="Arial" w:cs="Arial" w:eastAsia="Arial" w:hAnsi="Arial"/>
                <w:sz w:val="16"/>
                <w:szCs w:val="16"/>
                <w:color w:val="auto"/>
              </w:rPr>
              <w:t>52 fiscal weeks ending January 29, 2022</w:t>
            </w:r>
          </w:p>
        </w:tc>
      </w:tr>
      <w:tr>
        <w:trPr>
          <w:trHeight w:val="21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2020</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52 fiscal weeks ending January 30, 2021</w:t>
            </w:r>
          </w:p>
        </w:tc>
      </w:tr>
      <w:tr>
        <w:trPr>
          <w:trHeight w:val="215"/>
        </w:trPr>
        <w:tc>
          <w:tcPr>
            <w:tcW w:w="1600" w:type="dxa"/>
            <w:vAlign w:val="bottom"/>
          </w:tcPr>
          <w:p>
            <w:pPr>
              <w:ind w:left="20"/>
              <w:spacing w:after="0"/>
              <w:rPr>
                <w:sz w:val="20"/>
                <w:szCs w:val="20"/>
                <w:color w:val="auto"/>
              </w:rPr>
            </w:pPr>
            <w:r>
              <w:rPr>
                <w:rFonts w:ascii="Arial" w:cs="Arial" w:eastAsia="Arial" w:hAnsi="Arial"/>
                <w:sz w:val="16"/>
                <w:szCs w:val="16"/>
                <w:color w:val="auto"/>
              </w:rPr>
              <w:t>GAAP</w:t>
            </w:r>
          </w:p>
        </w:tc>
        <w:tc>
          <w:tcPr>
            <w:tcW w:w="3620" w:type="dxa"/>
            <w:vAlign w:val="bottom"/>
          </w:tcPr>
          <w:p>
            <w:pPr>
              <w:ind w:left="140"/>
              <w:spacing w:after="0"/>
              <w:rPr>
                <w:sz w:val="20"/>
                <w:szCs w:val="20"/>
                <w:color w:val="auto"/>
              </w:rPr>
            </w:pPr>
            <w:r>
              <w:rPr>
                <w:rFonts w:ascii="Arial" w:cs="Arial" w:eastAsia="Arial" w:hAnsi="Arial"/>
                <w:sz w:val="16"/>
                <w:szCs w:val="16"/>
                <w:color w:val="auto"/>
              </w:rPr>
              <w:t>U.S. generally accepted accounting principles</w:t>
            </w:r>
          </w:p>
        </w:tc>
      </w:tr>
      <w:tr>
        <w:trPr>
          <w:trHeight w:val="21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GMV</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merchandise value</w:t>
            </w: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rPr>
              <w:t>Gross profit</w:t>
            </w:r>
          </w:p>
        </w:tc>
        <w:tc>
          <w:tcPr>
            <w:tcW w:w="3620" w:type="dxa"/>
            <w:vAlign w:val="bottom"/>
          </w:tcPr>
          <w:p>
            <w:pPr>
              <w:ind w:left="140"/>
              <w:spacing w:after="0" w:line="162" w:lineRule="exact"/>
              <w:rPr>
                <w:sz w:val="20"/>
                <w:szCs w:val="20"/>
                <w:color w:val="auto"/>
              </w:rPr>
            </w:pPr>
            <w:r>
              <w:rPr>
                <w:rFonts w:ascii="Arial" w:cs="Arial" w:eastAsia="Arial" w:hAnsi="Arial"/>
                <w:sz w:val="16"/>
                <w:szCs w:val="16"/>
                <w:color w:val="auto"/>
              </w:rPr>
              <w:t>Net sales less cost of sales and related buying</w:t>
            </w:r>
          </w:p>
        </w:tc>
      </w:tr>
      <w:tr>
        <w:trPr>
          <w:trHeight w:val="215"/>
        </w:trPr>
        <w:tc>
          <w:tcPr>
            <w:tcW w:w="160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6"/>
                <w:szCs w:val="16"/>
                <w:color w:val="auto"/>
              </w:rPr>
              <w:t>and occupancy costs</w:t>
            </w:r>
          </w:p>
        </w:tc>
      </w:tr>
      <w:tr>
        <w:trPr>
          <w:trHeight w:val="163"/>
        </w:trPr>
        <w:tc>
          <w:tcPr>
            <w:tcW w:w="16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Leverage Ratio</w:t>
            </w:r>
          </w:p>
        </w:tc>
        <w:tc>
          <w:tcPr>
            <w:tcW w:w="3620" w:type="dxa"/>
            <w:vAlign w:val="bottom"/>
            <w:shd w:val="clear" w:color="auto" w:fill="CCEEFF"/>
          </w:tcPr>
          <w:p>
            <w:pPr>
              <w:ind w:left="140"/>
              <w:spacing w:after="0" w:line="163" w:lineRule="exact"/>
              <w:rPr>
                <w:sz w:val="20"/>
                <w:szCs w:val="20"/>
                <w:color w:val="auto"/>
              </w:rPr>
            </w:pPr>
            <w:r>
              <w:rPr>
                <w:rFonts w:ascii="Arial" w:cs="Arial" w:eastAsia="Arial" w:hAnsi="Arial"/>
                <w:sz w:val="16"/>
                <w:szCs w:val="16"/>
                <w:color w:val="auto"/>
              </w:rPr>
              <w:t>The sum of our funded debt and operating lease</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liabilities divided by the preceding twelve</w:t>
            </w:r>
          </w:p>
        </w:tc>
      </w:tr>
      <w:tr>
        <w:trPr>
          <w:trHeight w:val="162"/>
        </w:trPr>
        <w:tc>
          <w:tcPr>
            <w:tcW w:w="1600" w:type="dxa"/>
            <w:vAlign w:val="bottom"/>
            <w:shd w:val="clear" w:color="auto" w:fill="CCEEFF"/>
          </w:tcPr>
          <w:p>
            <w:pPr>
              <w:spacing w:after="0"/>
              <w:rPr>
                <w:sz w:val="14"/>
                <w:szCs w:val="14"/>
                <w:color w:val="auto"/>
              </w:rPr>
            </w:pPr>
          </w:p>
        </w:tc>
        <w:tc>
          <w:tcPr>
            <w:tcW w:w="36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months of Adjusted EBITDAR as defined by our</w:t>
            </w:r>
          </w:p>
        </w:tc>
      </w:tr>
      <w:tr>
        <w:trPr>
          <w:trHeight w:val="216"/>
        </w:trPr>
        <w:tc>
          <w:tcPr>
            <w:tcW w:w="1600" w:type="dxa"/>
            <w:vAlign w:val="bottom"/>
            <w:shd w:val="clear" w:color="auto" w:fill="CCEEFF"/>
          </w:tcPr>
          <w:p>
            <w:pPr>
              <w:spacing w:after="0"/>
              <w:rPr>
                <w:sz w:val="18"/>
                <w:szCs w:val="18"/>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Revolver covenant</w:t>
            </w:r>
          </w:p>
        </w:tc>
      </w:tr>
      <w:tr>
        <w:trPr>
          <w:trHeight w:val="162"/>
        </w:trPr>
        <w:tc>
          <w:tcPr>
            <w:tcW w:w="1600" w:type="dxa"/>
            <w:vAlign w:val="bottom"/>
          </w:tcPr>
          <w:p>
            <w:pPr>
              <w:ind w:left="20"/>
              <w:spacing w:after="0" w:line="162" w:lineRule="exact"/>
              <w:rPr>
                <w:sz w:val="20"/>
                <w:szCs w:val="20"/>
                <w:color w:val="auto"/>
              </w:rPr>
            </w:pPr>
            <w:r>
              <w:rPr>
                <w:rFonts w:ascii="Arial" w:cs="Arial" w:eastAsia="Arial" w:hAnsi="Arial"/>
                <w:sz w:val="16"/>
                <w:szCs w:val="16"/>
                <w:color w:val="auto"/>
              </w:rPr>
              <w:t>MD&amp;A</w:t>
            </w:r>
          </w:p>
        </w:tc>
        <w:tc>
          <w:tcPr>
            <w:tcW w:w="3620" w:type="dxa"/>
            <w:vAlign w:val="bottom"/>
          </w:tcPr>
          <w:p>
            <w:pPr>
              <w:ind w:left="140"/>
              <w:spacing w:after="0" w:line="162" w:lineRule="exact"/>
              <w:rPr>
                <w:sz w:val="20"/>
                <w:szCs w:val="20"/>
                <w:color w:val="auto"/>
              </w:rPr>
            </w:pPr>
            <w:r>
              <w:rPr>
                <w:rFonts w:ascii="Arial" w:cs="Arial" w:eastAsia="Arial" w:hAnsi="Arial"/>
                <w:sz w:val="16"/>
                <w:szCs w:val="16"/>
                <w:color w:val="auto"/>
              </w:rPr>
              <w:t>Management’s Discussion and Analysis of</w:t>
            </w:r>
          </w:p>
        </w:tc>
      </w:tr>
      <w:tr>
        <w:trPr>
          <w:trHeight w:val="215"/>
        </w:trPr>
        <w:tc>
          <w:tcPr>
            <w:tcW w:w="16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Financial Condition and Results of Operations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Term</w:t>
            </w:r>
          </w:p>
        </w:tc>
        <w:tc>
          <w:tcPr>
            <w:tcW w:w="3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Definition</w:t>
            </w:r>
          </w:p>
        </w:tc>
      </w:tr>
      <w:tr>
        <w:trPr>
          <w:trHeight w:val="211"/>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NAV</w:t>
            </w: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asset value</w:t>
            </w: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NMN</w:t>
            </w: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Nordstrom Media Network, where we use our</w:t>
            </w:r>
          </w:p>
        </w:tc>
      </w:tr>
      <w:tr>
        <w:trPr>
          <w:trHeight w:val="162"/>
        </w:trPr>
        <w:tc>
          <w:tcPr>
            <w:tcW w:w="1680" w:type="dxa"/>
            <w:vAlign w:val="bottom"/>
          </w:tcPr>
          <w:p>
            <w:pPr>
              <w:spacing w:after="0"/>
              <w:rPr>
                <w:sz w:val="14"/>
                <w:szCs w:val="14"/>
                <w:color w:val="auto"/>
              </w:rPr>
            </w:pP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first party data and marketing infrastructure to</w:t>
            </w:r>
          </w:p>
        </w:tc>
      </w:tr>
      <w:tr>
        <w:trPr>
          <w:trHeight w:val="162"/>
        </w:trPr>
        <w:tc>
          <w:tcPr>
            <w:tcW w:w="1680" w:type="dxa"/>
            <w:vAlign w:val="bottom"/>
          </w:tcPr>
          <w:p>
            <w:pPr>
              <w:spacing w:after="0"/>
              <w:rPr>
                <w:sz w:val="14"/>
                <w:szCs w:val="14"/>
                <w:color w:val="auto"/>
              </w:rPr>
            </w:pP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drive cooperative marketing with vendors</w:t>
            </w:r>
          </w:p>
        </w:tc>
      </w:tr>
      <w:tr>
        <w:trPr>
          <w:trHeight w:val="162"/>
        </w:trPr>
        <w:tc>
          <w:tcPr>
            <w:tcW w:w="1680" w:type="dxa"/>
            <w:vAlign w:val="bottom"/>
          </w:tcPr>
          <w:p>
            <w:pPr>
              <w:spacing w:after="0"/>
              <w:rPr>
                <w:sz w:val="14"/>
                <w:szCs w:val="14"/>
                <w:color w:val="auto"/>
              </w:rPr>
            </w:pP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across both offsite and onsite marketing</w:t>
            </w:r>
          </w:p>
        </w:tc>
      </w:tr>
      <w:tr>
        <w:trPr>
          <w:trHeight w:val="215"/>
        </w:trPr>
        <w:tc>
          <w:tcPr>
            <w:tcW w:w="168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6"/>
                <w:szCs w:val="16"/>
                <w:color w:val="auto"/>
              </w:rPr>
              <w:t>platforms</w:t>
            </w:r>
          </w:p>
        </w:tc>
      </w:tr>
      <w:tr>
        <w:trPr>
          <w:trHeight w:val="163"/>
        </w:trPr>
        <w:tc>
          <w:tcPr>
            <w:tcW w:w="1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Nordstrom</w:t>
            </w:r>
          </w:p>
        </w:tc>
        <w:tc>
          <w:tcPr>
            <w:tcW w:w="35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Nordstrom.com, Nordstrom U.S. stores,</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Canada, which includes Nordstrom.ca,</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Nordstrom Canadian stores and Nordstrom</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Rack Canadian stores, Nordstrom Local, ASOS</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 Nordstrom and, prior to October 2022,</w:t>
            </w:r>
          </w:p>
        </w:tc>
      </w:tr>
      <w:tr>
        <w:trPr>
          <w:trHeight w:val="216"/>
        </w:trPr>
        <w:tc>
          <w:tcPr>
            <w:tcW w:w="1680" w:type="dxa"/>
            <w:vAlign w:val="bottom"/>
            <w:shd w:val="clear" w:color="auto" w:fill="CCEEFF"/>
          </w:tcPr>
          <w:p>
            <w:pPr>
              <w:spacing w:after="0"/>
              <w:rPr>
                <w:sz w:val="18"/>
                <w:szCs w:val="18"/>
                <w:color w:val="auto"/>
              </w:rPr>
            </w:pP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TrunkClub.com.</w:t>
            </w: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Nordstrom Canada</w:t>
            </w: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Nordstrom Canada Retail, Inc., Nordstrom</w:t>
            </w:r>
          </w:p>
        </w:tc>
      </w:tr>
      <w:tr>
        <w:trPr>
          <w:trHeight w:val="162"/>
        </w:trPr>
        <w:tc>
          <w:tcPr>
            <w:tcW w:w="1680" w:type="dxa"/>
            <w:vAlign w:val="bottom"/>
          </w:tcPr>
          <w:p>
            <w:pPr>
              <w:spacing w:after="0"/>
              <w:rPr>
                <w:sz w:val="14"/>
                <w:szCs w:val="14"/>
                <w:color w:val="auto"/>
              </w:rPr>
            </w:pP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Canada Holdings, LLC and Nordstrom Canada</w:t>
            </w:r>
          </w:p>
        </w:tc>
      </w:tr>
      <w:tr>
        <w:trPr>
          <w:trHeight w:val="215"/>
        </w:trPr>
        <w:tc>
          <w:tcPr>
            <w:tcW w:w="168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6"/>
                <w:szCs w:val="16"/>
                <w:color w:val="auto"/>
              </w:rPr>
              <w:t>Holdings II, LLC</w:t>
            </w:r>
          </w:p>
        </w:tc>
      </w:tr>
      <w:tr>
        <w:trPr>
          <w:trHeight w:val="163"/>
        </w:trPr>
        <w:tc>
          <w:tcPr>
            <w:tcW w:w="1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Nordstrom Local</w:t>
            </w:r>
          </w:p>
        </w:tc>
        <w:tc>
          <w:tcPr>
            <w:tcW w:w="35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Nordstrom Local service hubs, which offer order</w:t>
            </w:r>
          </w:p>
        </w:tc>
      </w:tr>
      <w:tr>
        <w:trPr>
          <w:trHeight w:val="216"/>
        </w:trPr>
        <w:tc>
          <w:tcPr>
            <w:tcW w:w="1680" w:type="dxa"/>
            <w:vAlign w:val="bottom"/>
            <w:shd w:val="clear" w:color="auto" w:fill="CCEEFF"/>
          </w:tcPr>
          <w:p>
            <w:pPr>
              <w:spacing w:after="0"/>
              <w:rPr>
                <w:sz w:val="18"/>
                <w:szCs w:val="18"/>
                <w:color w:val="auto"/>
              </w:rPr>
            </w:pP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pickups, returns, alterations and other services</w:t>
            </w: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Nordstrom Rack</w:t>
            </w: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NordstromRack.com, Nordstrom Rack U.S.</w:t>
            </w:r>
          </w:p>
        </w:tc>
      </w:tr>
      <w:tr>
        <w:trPr>
          <w:trHeight w:val="162"/>
        </w:trPr>
        <w:tc>
          <w:tcPr>
            <w:tcW w:w="1680" w:type="dxa"/>
            <w:vAlign w:val="bottom"/>
          </w:tcPr>
          <w:p>
            <w:pPr>
              <w:spacing w:after="0"/>
              <w:rPr>
                <w:sz w:val="14"/>
                <w:szCs w:val="14"/>
                <w:color w:val="auto"/>
              </w:rPr>
            </w:pP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stores, Last Chance clearance stores and, prior</w:t>
            </w:r>
          </w:p>
        </w:tc>
      </w:tr>
      <w:tr>
        <w:trPr>
          <w:trHeight w:val="215"/>
        </w:trPr>
        <w:tc>
          <w:tcPr>
            <w:tcW w:w="168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6"/>
                <w:szCs w:val="16"/>
                <w:color w:val="auto"/>
              </w:rPr>
              <w:t>to the first quarter of 2021, HauteLook.com</w:t>
            </w:r>
          </w:p>
        </w:tc>
      </w:tr>
      <w:tr>
        <w:trPr>
          <w:trHeight w:val="217"/>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Nordy Club</w:t>
            </w: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Our customer loyalty program</w:t>
            </w:r>
          </w:p>
        </w:tc>
      </w:tr>
      <w:tr>
        <w:trPr>
          <w:trHeight w:val="215"/>
        </w:trPr>
        <w:tc>
          <w:tcPr>
            <w:tcW w:w="1680" w:type="dxa"/>
            <w:vAlign w:val="bottom"/>
          </w:tcPr>
          <w:p>
            <w:pPr>
              <w:ind w:left="20"/>
              <w:spacing w:after="0"/>
              <w:rPr>
                <w:sz w:val="20"/>
                <w:szCs w:val="20"/>
                <w:color w:val="auto"/>
              </w:rPr>
            </w:pPr>
            <w:r>
              <w:rPr>
                <w:rFonts w:ascii="Arial" w:cs="Arial" w:eastAsia="Arial" w:hAnsi="Arial"/>
                <w:sz w:val="16"/>
                <w:szCs w:val="16"/>
                <w:color w:val="auto"/>
              </w:rPr>
              <w:t>NYSE</w:t>
            </w:r>
          </w:p>
        </w:tc>
        <w:tc>
          <w:tcPr>
            <w:tcW w:w="3540" w:type="dxa"/>
            <w:vAlign w:val="bottom"/>
          </w:tcPr>
          <w:p>
            <w:pPr>
              <w:ind w:left="60"/>
              <w:spacing w:after="0"/>
              <w:rPr>
                <w:sz w:val="20"/>
                <w:szCs w:val="20"/>
                <w:color w:val="auto"/>
              </w:rPr>
            </w:pPr>
            <w:r>
              <w:rPr>
                <w:rFonts w:ascii="Arial" w:cs="Arial" w:eastAsia="Arial" w:hAnsi="Arial"/>
                <w:sz w:val="16"/>
                <w:szCs w:val="16"/>
                <w:color w:val="auto"/>
              </w:rPr>
              <w:t>New York Stock Exchange</w:t>
            </w:r>
          </w:p>
        </w:tc>
      </w:tr>
      <w:tr>
        <w:trPr>
          <w:trHeight w:val="163"/>
        </w:trPr>
        <w:tc>
          <w:tcPr>
            <w:tcW w:w="1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Operating Lease Cost</w:t>
            </w:r>
          </w:p>
        </w:tc>
        <w:tc>
          <w:tcPr>
            <w:tcW w:w="35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Fixed rent expense, including fixed common</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area maintenance expense, net of developer</w:t>
            </w:r>
          </w:p>
        </w:tc>
      </w:tr>
      <w:tr>
        <w:trPr>
          <w:trHeight w:val="216"/>
        </w:trPr>
        <w:tc>
          <w:tcPr>
            <w:tcW w:w="1680" w:type="dxa"/>
            <w:vAlign w:val="bottom"/>
            <w:shd w:val="clear" w:color="auto" w:fill="CCEEFF"/>
          </w:tcPr>
          <w:p>
            <w:pPr>
              <w:spacing w:after="0"/>
              <w:rPr>
                <w:sz w:val="18"/>
                <w:szCs w:val="18"/>
                <w:color w:val="auto"/>
              </w:rPr>
            </w:pP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reimbursement amortization</w:t>
            </w: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PCAOB</w:t>
            </w: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Public Company Accounting Oversight Board</w:t>
            </w:r>
          </w:p>
        </w:tc>
      </w:tr>
      <w:tr>
        <w:trPr>
          <w:trHeight w:val="215"/>
        </w:trPr>
        <w:tc>
          <w:tcPr>
            <w:tcW w:w="168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6"/>
                <w:szCs w:val="16"/>
                <w:color w:val="auto"/>
              </w:rPr>
              <w:t>(United States)</w:t>
            </w:r>
          </w:p>
        </w:tc>
      </w:tr>
      <w:tr>
        <w:trPr>
          <w:trHeight w:val="217"/>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incentives</w:t>
            </w: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Developer and vendor reimbursements</w:t>
            </w:r>
          </w:p>
        </w:tc>
      </w:tr>
      <w:tr>
        <w:trPr>
          <w:trHeight w:val="215"/>
        </w:trPr>
        <w:tc>
          <w:tcPr>
            <w:tcW w:w="1680" w:type="dxa"/>
            <w:vAlign w:val="bottom"/>
          </w:tcPr>
          <w:p>
            <w:pPr>
              <w:ind w:left="20"/>
              <w:spacing w:after="0"/>
              <w:rPr>
                <w:sz w:val="20"/>
                <w:szCs w:val="20"/>
                <w:color w:val="auto"/>
              </w:rPr>
            </w:pPr>
            <w:r>
              <w:rPr>
                <w:rFonts w:ascii="Arial" w:cs="Arial" w:eastAsia="Arial" w:hAnsi="Arial"/>
                <w:sz w:val="16"/>
                <w:szCs w:val="16"/>
                <w:color w:val="auto"/>
              </w:rPr>
              <w:t>PSU</w:t>
            </w:r>
          </w:p>
        </w:tc>
        <w:tc>
          <w:tcPr>
            <w:tcW w:w="3540" w:type="dxa"/>
            <w:vAlign w:val="bottom"/>
          </w:tcPr>
          <w:p>
            <w:pPr>
              <w:ind w:left="60"/>
              <w:spacing w:after="0"/>
              <w:rPr>
                <w:sz w:val="20"/>
                <w:szCs w:val="20"/>
                <w:color w:val="auto"/>
              </w:rPr>
            </w:pPr>
            <w:r>
              <w:rPr>
                <w:rFonts w:ascii="Arial" w:cs="Arial" w:eastAsia="Arial" w:hAnsi="Arial"/>
                <w:sz w:val="16"/>
                <w:szCs w:val="16"/>
                <w:color w:val="auto"/>
              </w:rPr>
              <w:t>Performance share unit</w:t>
            </w:r>
          </w:p>
        </w:tc>
      </w:tr>
      <w:tr>
        <w:trPr>
          <w:trHeight w:val="217"/>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Revolver</w:t>
            </w: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Senior revolving credit facility</w:t>
            </w: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Rights Plan</w:t>
            </w: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Our limited-duration Shareholder Rights</w:t>
            </w:r>
          </w:p>
        </w:tc>
      </w:tr>
      <w:tr>
        <w:trPr>
          <w:trHeight w:val="162"/>
        </w:trPr>
        <w:tc>
          <w:tcPr>
            <w:tcW w:w="1680" w:type="dxa"/>
            <w:vAlign w:val="bottom"/>
          </w:tcPr>
          <w:p>
            <w:pPr>
              <w:spacing w:after="0"/>
              <w:rPr>
                <w:sz w:val="14"/>
                <w:szCs w:val="14"/>
                <w:color w:val="auto"/>
              </w:rPr>
            </w:pP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Agreement adopted by the Board of Directors in</w:t>
            </w:r>
          </w:p>
        </w:tc>
      </w:tr>
      <w:tr>
        <w:trPr>
          <w:trHeight w:val="215"/>
        </w:trPr>
        <w:tc>
          <w:tcPr>
            <w:tcW w:w="168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6"/>
                <w:szCs w:val="16"/>
                <w:color w:val="auto"/>
              </w:rPr>
              <w:t>September 2022</w:t>
            </w:r>
          </w:p>
        </w:tc>
      </w:tr>
      <w:tr>
        <w:trPr>
          <w:trHeight w:val="217"/>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w:t>
            </w: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lease right-of-use asset</w:t>
            </w:r>
          </w:p>
        </w:tc>
      </w:tr>
      <w:tr>
        <w:trPr>
          <w:trHeight w:val="215"/>
        </w:trPr>
        <w:tc>
          <w:tcPr>
            <w:tcW w:w="1680" w:type="dxa"/>
            <w:vAlign w:val="bottom"/>
          </w:tcPr>
          <w:p>
            <w:pPr>
              <w:ind w:left="20"/>
              <w:spacing w:after="0"/>
              <w:rPr>
                <w:sz w:val="20"/>
                <w:szCs w:val="20"/>
                <w:color w:val="auto"/>
              </w:rPr>
            </w:pPr>
            <w:r>
              <w:rPr>
                <w:rFonts w:ascii="Arial" w:cs="Arial" w:eastAsia="Arial" w:hAnsi="Arial"/>
                <w:sz w:val="16"/>
                <w:szCs w:val="16"/>
                <w:color w:val="auto"/>
              </w:rPr>
              <w:t>RSU</w:t>
            </w:r>
          </w:p>
        </w:tc>
        <w:tc>
          <w:tcPr>
            <w:tcW w:w="3540" w:type="dxa"/>
            <w:vAlign w:val="bottom"/>
          </w:tcPr>
          <w:p>
            <w:pPr>
              <w:ind w:left="60"/>
              <w:spacing w:after="0"/>
              <w:rPr>
                <w:sz w:val="20"/>
                <w:szCs w:val="20"/>
                <w:color w:val="auto"/>
              </w:rPr>
            </w:pPr>
            <w:r>
              <w:rPr>
                <w:rFonts w:ascii="Arial" w:cs="Arial" w:eastAsia="Arial" w:hAnsi="Arial"/>
                <w:sz w:val="16"/>
                <w:szCs w:val="16"/>
                <w:color w:val="auto"/>
              </w:rPr>
              <w:t>Restricted stock unit</w:t>
            </w:r>
          </w:p>
        </w:tc>
      </w:tr>
      <w:tr>
        <w:trPr>
          <w:trHeight w:val="217"/>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w:t>
            </w: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Securities and Exchange Commission</w:t>
            </w:r>
          </w:p>
        </w:tc>
      </w:tr>
      <w:tr>
        <w:trPr>
          <w:trHeight w:val="162"/>
        </w:trPr>
        <w:tc>
          <w:tcPr>
            <w:tcW w:w="1680" w:type="dxa"/>
            <w:vAlign w:val="bottom"/>
          </w:tcPr>
          <w:p>
            <w:pPr>
              <w:ind w:left="20"/>
              <w:spacing w:after="0" w:line="162" w:lineRule="exact"/>
              <w:rPr>
                <w:sz w:val="20"/>
                <w:szCs w:val="20"/>
                <w:color w:val="auto"/>
              </w:rPr>
            </w:pPr>
            <w:r>
              <w:rPr>
                <w:rFonts w:ascii="Arial" w:cs="Arial" w:eastAsia="Arial" w:hAnsi="Arial"/>
                <w:sz w:val="16"/>
                <w:szCs w:val="16"/>
                <w:color w:val="auto"/>
              </w:rPr>
              <w:t>SERP</w:t>
            </w:r>
          </w:p>
        </w:tc>
        <w:tc>
          <w:tcPr>
            <w:tcW w:w="3540" w:type="dxa"/>
            <w:vAlign w:val="bottom"/>
          </w:tcPr>
          <w:p>
            <w:pPr>
              <w:ind w:left="60"/>
              <w:spacing w:after="0" w:line="162" w:lineRule="exact"/>
              <w:rPr>
                <w:sz w:val="20"/>
                <w:szCs w:val="20"/>
                <w:color w:val="auto"/>
              </w:rPr>
            </w:pPr>
            <w:r>
              <w:rPr>
                <w:rFonts w:ascii="Arial" w:cs="Arial" w:eastAsia="Arial" w:hAnsi="Arial"/>
                <w:sz w:val="16"/>
                <w:szCs w:val="16"/>
                <w:color w:val="auto"/>
              </w:rPr>
              <w:t>Unfunded defined benefit Supplemental</w:t>
            </w:r>
          </w:p>
        </w:tc>
      </w:tr>
      <w:tr>
        <w:trPr>
          <w:trHeight w:val="215"/>
        </w:trPr>
        <w:tc>
          <w:tcPr>
            <w:tcW w:w="1680" w:type="dxa"/>
            <w:vAlign w:val="bottom"/>
          </w:tcPr>
          <w:p>
            <w:pPr>
              <w:spacing w:after="0"/>
              <w:rPr>
                <w:sz w:val="18"/>
                <w:szCs w:val="18"/>
                <w:color w:val="auto"/>
              </w:rPr>
            </w:pPr>
          </w:p>
        </w:tc>
        <w:tc>
          <w:tcPr>
            <w:tcW w:w="3540" w:type="dxa"/>
            <w:vAlign w:val="bottom"/>
          </w:tcPr>
          <w:p>
            <w:pPr>
              <w:ind w:left="60"/>
              <w:spacing w:after="0"/>
              <w:rPr>
                <w:sz w:val="20"/>
                <w:szCs w:val="20"/>
                <w:color w:val="auto"/>
              </w:rPr>
            </w:pPr>
            <w:r>
              <w:rPr>
                <w:rFonts w:ascii="Arial" w:cs="Arial" w:eastAsia="Arial" w:hAnsi="Arial"/>
                <w:sz w:val="16"/>
                <w:szCs w:val="16"/>
                <w:color w:val="auto"/>
              </w:rPr>
              <w:t>Executive Retirement Plan</w:t>
            </w:r>
          </w:p>
        </w:tc>
      </w:tr>
      <w:tr>
        <w:trPr>
          <w:trHeight w:val="163"/>
        </w:trPr>
        <w:tc>
          <w:tcPr>
            <w:tcW w:w="1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Secured Notes</w:t>
            </w:r>
          </w:p>
        </w:tc>
        <w:tc>
          <w:tcPr>
            <w:tcW w:w="35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8.750% senior secured notes that were</w:t>
            </w:r>
          </w:p>
        </w:tc>
      </w:tr>
      <w:tr>
        <w:trPr>
          <w:trHeight w:val="216"/>
        </w:trPr>
        <w:tc>
          <w:tcPr>
            <w:tcW w:w="1680" w:type="dxa"/>
            <w:vAlign w:val="bottom"/>
            <w:shd w:val="clear" w:color="auto" w:fill="CCEEFF"/>
          </w:tcPr>
          <w:p>
            <w:pPr>
              <w:spacing w:after="0"/>
              <w:rPr>
                <w:sz w:val="18"/>
                <w:szCs w:val="18"/>
                <w:color w:val="auto"/>
              </w:rPr>
            </w:pP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originally due May 2025</w:t>
            </w:r>
          </w:p>
        </w:tc>
      </w:tr>
      <w:tr>
        <w:trPr>
          <w:trHeight w:val="215"/>
        </w:trPr>
        <w:tc>
          <w:tcPr>
            <w:tcW w:w="1680" w:type="dxa"/>
            <w:vAlign w:val="bottom"/>
          </w:tcPr>
          <w:p>
            <w:pPr>
              <w:ind w:left="20"/>
              <w:spacing w:after="0"/>
              <w:rPr>
                <w:sz w:val="20"/>
                <w:szCs w:val="20"/>
                <w:color w:val="auto"/>
              </w:rPr>
            </w:pPr>
            <w:r>
              <w:rPr>
                <w:rFonts w:ascii="Arial" w:cs="Arial" w:eastAsia="Arial" w:hAnsi="Arial"/>
                <w:sz w:val="16"/>
                <w:szCs w:val="16"/>
                <w:color w:val="auto"/>
              </w:rPr>
              <w:t>SG&amp;A</w:t>
            </w:r>
          </w:p>
        </w:tc>
        <w:tc>
          <w:tcPr>
            <w:tcW w:w="3540" w:type="dxa"/>
            <w:vAlign w:val="bottom"/>
          </w:tcPr>
          <w:p>
            <w:pPr>
              <w:ind w:left="60"/>
              <w:spacing w:after="0"/>
              <w:rPr>
                <w:sz w:val="20"/>
                <w:szCs w:val="20"/>
                <w:color w:val="auto"/>
              </w:rPr>
            </w:pPr>
            <w:r>
              <w:rPr>
                <w:rFonts w:ascii="Arial" w:cs="Arial" w:eastAsia="Arial" w:hAnsi="Arial"/>
                <w:sz w:val="16"/>
                <w:szCs w:val="16"/>
                <w:color w:val="auto"/>
              </w:rPr>
              <w:t>Selling, general and administrative</w:t>
            </w:r>
          </w:p>
        </w:tc>
      </w:tr>
      <w:tr>
        <w:trPr>
          <w:trHeight w:val="163"/>
        </w:trPr>
        <w:tc>
          <w:tcPr>
            <w:tcW w:w="168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Supply Chain Network</w:t>
            </w:r>
          </w:p>
        </w:tc>
        <w:tc>
          <w:tcPr>
            <w:tcW w:w="354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Fulfillment centers that primarily process and</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ship orders to our customers, distribution</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centers that primarily process and ship</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merchandise to our stores and other facilities</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and omni-channel centers that both fulfill</w:t>
            </w:r>
          </w:p>
        </w:tc>
      </w:tr>
      <w:tr>
        <w:trPr>
          <w:trHeight w:val="162"/>
        </w:trPr>
        <w:tc>
          <w:tcPr>
            <w:tcW w:w="1680" w:type="dxa"/>
            <w:vAlign w:val="bottom"/>
            <w:shd w:val="clear" w:color="auto" w:fill="CCEEFF"/>
          </w:tcPr>
          <w:p>
            <w:pPr>
              <w:spacing w:after="0"/>
              <w:rPr>
                <w:sz w:val="14"/>
                <w:szCs w:val="14"/>
                <w:color w:val="auto"/>
              </w:rPr>
            </w:pPr>
          </w:p>
        </w:tc>
        <w:tc>
          <w:tcPr>
            <w:tcW w:w="3540" w:type="dxa"/>
            <w:vAlign w:val="bottom"/>
            <w:shd w:val="clear" w:color="auto" w:fill="CCEEFF"/>
          </w:tcPr>
          <w:p>
            <w:pPr>
              <w:ind w:left="60"/>
              <w:spacing w:after="0" w:line="162" w:lineRule="exact"/>
              <w:rPr>
                <w:sz w:val="20"/>
                <w:szCs w:val="20"/>
                <w:color w:val="auto"/>
              </w:rPr>
            </w:pPr>
            <w:r>
              <w:rPr>
                <w:rFonts w:ascii="Arial" w:cs="Arial" w:eastAsia="Arial" w:hAnsi="Arial"/>
                <w:sz w:val="16"/>
                <w:szCs w:val="16"/>
                <w:color w:val="auto"/>
              </w:rPr>
              <w:t>customer orders and ship merchandise to our</w:t>
            </w:r>
          </w:p>
        </w:tc>
      </w:tr>
      <w:tr>
        <w:trPr>
          <w:trHeight w:val="216"/>
        </w:trPr>
        <w:tc>
          <w:tcPr>
            <w:tcW w:w="1680" w:type="dxa"/>
            <w:vAlign w:val="bottom"/>
            <w:shd w:val="clear" w:color="auto" w:fill="CCEEFF"/>
          </w:tcPr>
          <w:p>
            <w:pPr>
              <w:spacing w:after="0"/>
              <w:rPr>
                <w:sz w:val="18"/>
                <w:szCs w:val="18"/>
                <w:color w:val="auto"/>
              </w:rPr>
            </w:pPr>
          </w:p>
        </w:tc>
        <w:tc>
          <w:tcPr>
            <w:tcW w:w="354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stores</w:t>
            </w:r>
          </w:p>
        </w:tc>
      </w:tr>
      <w:tr>
        <w:trPr>
          <w:trHeight w:val="21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TD</w:t>
            </w:r>
          </w:p>
        </w:tc>
        <w:tc>
          <w:tcPr>
            <w:tcW w:w="35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Toronto-Dominion Bank, 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680"/>
            <w:col w:w="53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was founded in 1901 as a retail shoe business in Seattle, Washington under the guiding principle that success would come by offering customers the very best service, selection, quality and value. We aspire to be the best fashion retailer in a digitally connected world by leveraging the strength of the Nordstrom and Nordstrom Rack banners and our interconnected business model. We offer an extensive selection of high-quality brand-name and private label merchandise for women, men, young adults and children, with a focus on apparel, shoes, beauty, accessories and home goods. No matter how customers choose to shop, we are committed to delivering superior service, products and experiences — including alterations, order pickup, dining and styling — to make shopping fun, personalized and convenient. We have one reportable segment, which aggregates our two operating segments, Nordstrom and Nordstrom Rack.</w:t>
      </w:r>
    </w:p>
    <w:p>
      <w:pPr>
        <w:spacing w:after="0" w:line="129"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b w:val="1"/>
          <w:bCs w:val="1"/>
          <w:color w:val="auto"/>
        </w:rPr>
        <w:t xml:space="preserve">Nordstrom </w:t>
      </w:r>
      <w:r>
        <w:rPr>
          <w:rFonts w:ascii="Arial" w:cs="Arial" w:eastAsia="Arial" w:hAnsi="Arial"/>
          <w:sz w:val="18"/>
          <w:szCs w:val="18"/>
          <w:color w:val="auto"/>
        </w:rPr>
        <w:t>is a leading destination for a breadth of products across brands, styles and prices complemented by unmatched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experiences. As of January 28, 2023, Nordstrom includes the following digital and physical properties:</w:t>
      </w:r>
    </w:p>
    <w:p>
      <w:pPr>
        <w:spacing w:after="0" w:line="1" w:lineRule="exact"/>
        <w:rPr>
          <w:sz w:val="20"/>
          <w:szCs w:val="20"/>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Nordstrom.com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Nordstrom.ca website</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94 Nordstrom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 Nordstrom stores and seven Nordstrom Rack stores in Canada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seven Nordstrom Locals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ASOS | Nordstrom store</w:t>
      </w:r>
    </w:p>
    <w:p>
      <w:pPr>
        <w:spacing w:after="0" w:line="171"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auto"/>
        </w:rPr>
        <w:t xml:space="preserve">Nordstrom Rack </w:t>
      </w:r>
      <w:r>
        <w:rPr>
          <w:rFonts w:ascii="Arial" w:cs="Arial" w:eastAsia="Arial" w:hAnsi="Arial"/>
          <w:sz w:val="18"/>
          <w:szCs w:val="18"/>
          <w:color w:val="auto"/>
        </w:rPr>
        <w:t>is a premier off-price destination with an industry-leading off-price digital presence, offering great brands at great prices. As</w:t>
      </w:r>
      <w:r>
        <w:rPr>
          <w:rFonts w:ascii="Arial" w:cs="Arial" w:eastAsia="Arial" w:hAnsi="Arial"/>
          <w:sz w:val="18"/>
          <w:szCs w:val="18"/>
          <w:b w:val="1"/>
          <w:bCs w:val="1"/>
          <w:color w:val="auto"/>
        </w:rPr>
        <w:t xml:space="preserve"> </w:t>
      </w:r>
      <w:r>
        <w:rPr>
          <w:rFonts w:ascii="Arial" w:cs="Arial" w:eastAsia="Arial" w:hAnsi="Arial"/>
          <w:sz w:val="18"/>
          <w:szCs w:val="18"/>
          <w:color w:val="auto"/>
        </w:rPr>
        <w:t>of January 28, 2023, Nordstrom Rack includes the following digital and physical properties:</w:t>
      </w:r>
    </w:p>
    <w:p>
      <w:pPr>
        <w:spacing w:after="0" w:line="1" w:lineRule="exact"/>
        <w:rPr>
          <w:sz w:val="20"/>
          <w:szCs w:val="20"/>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NordstromRack.com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241 Nordstrom Rack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On March 2, 2023, Nordstrom Canada commenced a wind-down of its business operations. See Note 15: Subsequent Events in Item 8 for more information.</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Nordstrom Rack purchases merchandise primarily from the same vendors carried at Nordstrom and also serves as an outlet for clearance merchandise from the Nordstrom banner. We continue to expand our offerings of the most coveted brands we carry, as well as source from new vendors, to ensure we have the selection our customers want. Currently, NordstromRack.com offers both a selection of Nordstrom Rack merchandise and limited-time flash sale events on fashion and lifestyle brands, which formerly existed on HauteLook.com prior to the first quarter of 2021 when it was consolidated into NordstromRack.com.</w:t>
      </w:r>
    </w:p>
    <w:p>
      <w:pPr>
        <w:spacing w:after="0" w:line="1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As a business, one of our key advantages lies in our ability to leverage an integrated network of physical and digital assets across both Nordstrom and Nordstrom Rack banners. This creates flexibility and convenience for our customers, no matter how they choose to shop — online, through our apps or in stores. This omni-channel platform is our differentiator, providing customers with more product available for next day pickup, the ability to pick up or return orders to any store location regardless of purchase origin and our suite of personalized services. We have also found the average customer who shops across both banners, in stores and online, spends over twelve times more than a customer utilizing a single channel and banner.</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Closer to You strategy leverages a strong store fleet and links our omni-channel capabilities at the local market level, positioning us physically closer to the customer and allowing us to drive customer engagement through better service and greater access to product. There are two elements to this strategy. First, we aim to provide customers a greater selection of merchandise available for next-day pickup or delivery without increasing inventory levels. Second, we are increasing engagement with customers by offering express services such as order pickup, returns and alterations at additional convenient locations. In 2022, we continued to scale our market strategy by expanding next-day order pickup capabilities to over 60 additional Rack stores in our top 20 markets.</w:t>
      </w:r>
    </w:p>
    <w:p>
      <w:pPr>
        <w:spacing w:after="0" w:line="12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also receive credit card revenue through our program agreement with TD, whereby TD is the exclusive issuer of our consumer credit cards and we perform account servicing functions. Credit card revenues, net include our portion of the ongoing credit card revenue, net of credit losses, pursuant to our program agreement with TD. In the fourth quarter of 2022, we amended our program agreement with TD. The original agreement was scheduled to expire in April 2024 and the amendment extends the term through September 2026.</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order to offer merchandise that our customers want, we purchase from a wide variety of high-quality domestic and foreign suppliers. Additionally, we utilize unowned inventory models beyond traditional wholesale arrangements that provide a broader assortment in new and existing categories. We also have arrangements with agents and contract manufacturers to produce our private label merchandise.</w:t>
      </w:r>
    </w:p>
    <w:p>
      <w:pPr>
        <w:spacing w:after="0" w:line="12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Nordstrom Rack invests in pack and hold inventory, which involves the strategic purchase of merchandise from some of our top brands in advance of the upcoming selling seasons or to minimize inventory gaps from supply chain disruptions, allowing us to buy larger quantities of relevant items when available, then hold a portion of it to deploy in periods with high demand, tight supply or system constraints. This inventory is typically held for six months on average.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Policy</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a fair and reasonable approach to returns, handling them on a case-by-case basis with the ultimate objective of making our customers happy. Almost all merchandise can be returned by mail or at any store location. We have no formal policy on how long we accept returns for purchases made at Nordstrom stores and Nordstrom.com. Our goal is to take care of our customers, which includes making returns and exchanges easy, whether in stores or online, where we offer free shipping on purchases and returns. We generally accept returns of apparel, footwear, accessories and home products with the original price tag and sales receipt up to 30 days from the date of purchase at Nordstrom Rack stores and up to 40 days from the date of order at NordstromRack.com.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and Nordstrom Rack. The Nordy Club benefits vary based on the level of customer spend, and include bonus points days and shopping and fashion events.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customers access to a variety of payment products and services, including a selection of Nordstrom-branded Visa® credit cards in the U.S. and Canada, as well as a Nordstrom-branded private 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 and stylist benefits and incremental accumulation of points toward Nordstrom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Network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Supply Chain Network consists of:</w:t>
      </w:r>
    </w:p>
    <w:p>
      <w:pPr>
        <w:spacing w:after="0" w:line="45" w:lineRule="exact"/>
        <w:rPr>
          <w:sz w:val="20"/>
          <w:szCs w:val="20"/>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three fulfillment centers that primarily process and ship orders to our customers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 distribution centers that primarily process and ship merchandise to our stores and other facilities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omni-channel center that both fulfills customer orders and ships merchandise to our stores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continually expanding and enhancing our Supply Chain Network facilities and inventory management systems to support our omni-channel capabilities and provide greater access to merchandise selection and faster delivery. We select locations and customize inventory allocations to enable merchandise to flow more efficiently and quickly to our customers. Nordstrom online purchases are primarily shipped to our customers from our fulfillment centers but may also be shipped from our Nordstrom stores, distribution centers or omni-channel centers. Nordstrom in-store purchases are primarily fulfilled from that store’s inventory, but when inventory is unavailable at that store, it may also be shipped to our customers from our fulfillment centers, distribution centers, omni-channel centers or from other Nordstrom stores. Nordstrom Rack online purchases are shipped to our customers from our fulfillment centers and distribution centers. Both Nordstrom and Nordstrom Rack selectively use vendor dropship to supplement online offerings, which are then shipped directly from the vendor to the end customer.</w:t>
      </w:r>
    </w:p>
    <w:p>
      <w:pPr>
        <w:spacing w:after="0" w:line="11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Our first large-scale omni-channel center in Riverside, California, which supports our Nordstrom customers in the West Coast region, opened in 2020. Nordstrom Rack inventory and fulfillment will be added to this facility in the future. Our smaller Local omni-channel Hub in Torrance, California ceased operations in the third quarter of 2022 as we scaled our Riverside location to support demand in that region.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We believe that creating a best-in-class customer experience begins with creating an environment that celebrates and supports all our employees. As we strive to attract and retain the best talent in the industry, we are committed to cultivating a workplace culture where our employees feel included, supported and confident bringing their full selves to work.</w:t>
      </w:r>
    </w:p>
    <w:p>
      <w:pPr>
        <w:spacing w:after="0" w:line="12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January 28, 2023, we employed approximately 60,000 employees, which are comprised of approximately 80% hourly employees and 20% salaried employees. Approximately 75% of employees support our stores and approximately 12% support our Supply Chain Network. Due to the seasonal nature of our business, the number of temporary employees may vary and peak during our Anniversary Sale and holiday seasons. Currently, our employees have not chosen to be represented by a union.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93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Equity, Inclusion &amp; Belonging</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commitment to fostering a diverse, equitable and inclusive environment is key to our mission of helping our customers feel good and look their best. We believe in equity throughout the retail industry and aim to use our resources, influence and platform to foster greater representation of diversity from all our communities. Over the past several years, we’ve amplified our efforts in this area and set specific ambitions to achieve by the end of 2025, which include:</w:t>
      </w:r>
    </w:p>
    <w:p>
      <w:pPr>
        <w:spacing w:after="0" w:line="12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Delivering $500 million in retail sales from brands owned by, operated by or designed by Black and/or Latinx individuals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Aiming to increase representation of Black and Latinx individuals in people-manager roles by at least 50% on average</w:t>
      </w:r>
    </w:p>
    <w:p>
      <w:pPr>
        <w:spacing w:after="0" w:line="63" w:lineRule="exact"/>
        <w:rPr>
          <w:rFonts w:ascii="Arial" w:cs="Arial" w:eastAsia="Arial" w:hAnsi="Arial"/>
          <w:sz w:val="18"/>
          <w:szCs w:val="18"/>
          <w:color w:val="auto"/>
        </w:rPr>
      </w:pPr>
    </w:p>
    <w:p>
      <w:pPr>
        <w:ind w:left="660" w:right="180" w:hanging="328"/>
        <w:spacing w:after="0" w:line="28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Leveraging our internship program and other initiatives to help us reach qualified candidates early in their careers, with an ambition on average of at least 50% of participants in these programs coming from underrepresented populations</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To lead and drive this work, we have operationalized diversity, equity, inclusion and belonging through consistent reviews with Erik B. Nordstrom, our Chief Executive Officer, and Farrell B. Redwine, our Chief Human Resources Officer. In addition, our diversity, equity, inclusion and belonging team serves as a center of excellence within the human resources organization and collaborates with leaders across the business to develop and embed diverse, equitable and inclusive strategies.</w:t>
      </w:r>
    </w:p>
    <w:p>
      <w:pPr>
        <w:spacing w:after="0" w:line="12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part of these ongoing efforts, we have several internal initiatives underway to facilitate a sense of belonging and connection among our teams. One way we do this is through our employee-led, Company-sponsored Employee Resource Groups, which represent a variety of seen and unseen identities. In 2022, eight groups served and were led by our employees, providing company-wide programming to advance understanding and celebrate voices from across our organization.</w:t>
      </w:r>
    </w:p>
    <w:p>
      <w:pPr>
        <w:spacing w:after="0" w:line="12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 xml:space="preserve">In 2022, we expanded and strengthened our talent pipelines in collaboration with the OneTen Coalition and in partnership with Morehouse College, where we supported the launch of a new product management track. </w:t>
      </w:r>
      <w:r>
        <w:rPr>
          <w:rFonts w:ascii="Arial" w:cs="Arial" w:eastAsia="Arial" w:hAnsi="Arial"/>
          <w:sz w:val="18"/>
          <w:szCs w:val="18"/>
          <w:color w:val="0A0A0A"/>
        </w:rPr>
        <w:t>Starting in the spring 2023 semester, Nordstrom leaders and</w:t>
      </w:r>
      <w:r>
        <w:rPr>
          <w:rFonts w:ascii="Arial" w:cs="Arial" w:eastAsia="Arial" w:hAnsi="Arial"/>
          <w:sz w:val="18"/>
          <w:szCs w:val="18"/>
          <w:color w:val="auto"/>
        </w:rPr>
        <w:t xml:space="preserve"> </w:t>
      </w:r>
      <w:r>
        <w:rPr>
          <w:rFonts w:ascii="Arial" w:cs="Arial" w:eastAsia="Arial" w:hAnsi="Arial"/>
          <w:sz w:val="18"/>
          <w:szCs w:val="18"/>
          <w:color w:val="0A0A0A"/>
        </w:rPr>
        <w:t>technologists will teach and mentor students enrolled in the program.</w:t>
      </w:r>
    </w:p>
    <w:p>
      <w:pPr>
        <w:spacing w:after="0" w:line="117" w:lineRule="exact"/>
        <w:rPr>
          <w:sz w:val="20"/>
          <w:szCs w:val="20"/>
          <w:color w:val="auto"/>
        </w:rPr>
      </w:pPr>
    </w:p>
    <w:p>
      <w:pPr>
        <w:jc w:val="both"/>
        <w:ind w:right="180"/>
        <w:spacing w:after="0" w:line="287" w:lineRule="auto"/>
        <w:rPr>
          <w:sz w:val="20"/>
          <w:szCs w:val="20"/>
          <w:color w:val="auto"/>
        </w:rPr>
      </w:pPr>
      <w:r>
        <w:rPr>
          <w:rFonts w:ascii="Arial" w:cs="Arial" w:eastAsia="Arial" w:hAnsi="Arial"/>
          <w:sz w:val="18"/>
          <w:szCs w:val="18"/>
          <w:color w:val="auto"/>
        </w:rPr>
        <w:t>Progress toward our diversity, equity, inclusion and belonging ambitions is tracked and reviewed regularly by our executive team and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Safety and Well-being</w:t>
      </w:r>
    </w:p>
    <w:p>
      <w:pPr>
        <w:spacing w:after="0" w:line="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The health and safety of our customers, employees and communities is a responsibility we take very seriously. </w:t>
      </w:r>
      <w:r>
        <w:rPr>
          <w:rFonts w:ascii="Arial" w:cs="Arial" w:eastAsia="Arial" w:hAnsi="Arial"/>
          <w:sz w:val="18"/>
          <w:szCs w:val="18"/>
          <w:color w:val="222222"/>
        </w:rPr>
        <w:t>We continue to offer a variety</w:t>
      </w:r>
      <w:r>
        <w:rPr>
          <w:rFonts w:ascii="Arial" w:cs="Arial" w:eastAsia="Arial" w:hAnsi="Arial"/>
          <w:sz w:val="18"/>
          <w:szCs w:val="18"/>
          <w:color w:val="auto"/>
        </w:rPr>
        <w:t xml:space="preserve"> </w:t>
      </w:r>
      <w:r>
        <w:rPr>
          <w:rFonts w:ascii="Arial" w:cs="Arial" w:eastAsia="Arial" w:hAnsi="Arial"/>
          <w:sz w:val="18"/>
          <w:szCs w:val="18"/>
          <w:color w:val="222222"/>
        </w:rPr>
        <w:t>of mental, emotional and physical wellness resources to support our employees, including digital mental health support and free counseling services through our Employee Assistance Programs.</w:t>
      </w:r>
    </w:p>
    <w:p>
      <w:pPr>
        <w:spacing w:after="0" w:line="1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seek to listen to and learn from employees across our organization by cultivating an open-door policy, conducting regular listening sessions and utilizing our annual Voice of the Employee survey. We regularly review survey results against industry benchmarks to hold ourselves accountable as we continue to improve and evolve our workplace environment.</w:t>
      </w:r>
    </w:p>
    <w:p>
      <w:pPr>
        <w:spacing w:after="0" w:line="117" w:lineRule="exact"/>
        <w:rPr>
          <w:sz w:val="20"/>
          <w:szCs w:val="20"/>
          <w:color w:val="auto"/>
        </w:rPr>
      </w:pPr>
    </w:p>
    <w:p>
      <w:pPr>
        <w:ind w:right="220"/>
        <w:spacing w:after="0" w:line="318" w:lineRule="auto"/>
        <w:rPr>
          <w:sz w:val="20"/>
          <w:szCs w:val="20"/>
          <w:color w:val="auto"/>
        </w:rPr>
      </w:pPr>
      <w:r>
        <w:rPr>
          <w:rFonts w:ascii="Arial" w:cs="Arial" w:eastAsia="Arial" w:hAnsi="Arial"/>
          <w:sz w:val="17"/>
          <w:szCs w:val="17"/>
          <w:color w:val="auto"/>
        </w:rPr>
        <w:t>We are committed to creating a culture where employees feel as if they can bring their whole selves to work and achieve their career goals through ongoing growth and development opportunities and fair and transparent performance management and promotion processes.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support our goals to retain and attract talented employees, we review our benefits and compensation approach annually.</w:t>
      </w:r>
    </w:p>
    <w:p>
      <w:pPr>
        <w:spacing w:after="0" w:line="153" w:lineRule="exact"/>
        <w:rPr>
          <w:sz w:val="20"/>
          <w:szCs w:val="20"/>
          <w:color w:val="auto"/>
        </w:rPr>
      </w:pPr>
    </w:p>
    <w:p>
      <w:pPr>
        <w:ind w:left="660" w:right="60" w:hanging="328"/>
        <w:spacing w:after="0" w:line="268"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Benefits: </w:t>
      </w:r>
      <w:r>
        <w:rPr>
          <w:rFonts w:ascii="Arial" w:cs="Arial" w:eastAsia="Arial" w:hAnsi="Arial"/>
          <w:sz w:val="18"/>
          <w:szCs w:val="18"/>
          <w:color w:val="auto"/>
        </w:rPr>
        <w:t>We offer a range of benefits to all employees upon meeting eligibility requirements, including health care, wellness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programs, financial and retirement plans and time away. In addition, we have increased our focus on well-being by activating a multi-year strategy to bring our people new resources and tools to support total well-being, including mental health support.</w:t>
      </w:r>
    </w:p>
    <w:p>
      <w:pPr>
        <w:spacing w:after="0" w:line="8" w:lineRule="exact"/>
        <w:rPr>
          <w:rFonts w:ascii="Arial" w:cs="Arial" w:eastAsia="Arial" w:hAnsi="Arial"/>
          <w:sz w:val="18"/>
          <w:szCs w:val="18"/>
          <w:color w:val="auto"/>
        </w:rPr>
      </w:pPr>
    </w:p>
    <w:p>
      <w:pPr>
        <w:jc w:val="both"/>
        <w:ind w:left="660" w:right="300" w:hanging="328"/>
        <w:spacing w:after="0" w:line="318" w:lineRule="auto"/>
        <w:tabs>
          <w:tab w:leader="none" w:pos="669"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We’re committed to providing our employees with a great place to grow meaningful careers. We regularly review</w:t>
      </w:r>
      <w:r>
        <w:rPr>
          <w:rFonts w:ascii="Arial" w:cs="Arial" w:eastAsia="Arial" w:hAnsi="Arial"/>
          <w:sz w:val="17"/>
          <w:szCs w:val="17"/>
          <w:b w:val="1"/>
          <w:bCs w:val="1"/>
          <w:color w:val="auto"/>
        </w:rPr>
        <w:t xml:space="preserve"> </w:t>
      </w:r>
      <w:r>
        <w:rPr>
          <w:rFonts w:ascii="Arial" w:cs="Arial" w:eastAsia="Arial" w:hAnsi="Arial"/>
          <w:sz w:val="17"/>
          <w:szCs w:val="17"/>
          <w:color w:val="auto"/>
        </w:rPr>
        <w:t>our pay in the markets in which we operate to ensure we are competitive, and we make updates accordingly throughout the year.</w:t>
      </w:r>
    </w:p>
    <w:p>
      <w:pPr>
        <w:spacing w:after="0" w:line="7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 ensure we are offering a rewards package that aligns with the wants and needs of our employees, we routinely ask employees for their feedback in surveys throughout the year. We use the feedback to improve the overall experience of our employees.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believe we have a responsibility to support the communities where we operate. Our Corporate Social Responsibility strategy set in 2020 includes five-year goals focused on environmental sustainability, human rights and corporate philanthropy. In 2022, we made meaningful progress in these areas. Specific highlights include:</w:t>
      </w:r>
    </w:p>
    <w:p>
      <w:pPr>
        <w:spacing w:after="0" w:line="16" w:lineRule="exact"/>
        <w:rPr>
          <w:sz w:val="20"/>
          <w:szCs w:val="20"/>
          <w:color w:val="auto"/>
        </w:rPr>
      </w:pPr>
    </w:p>
    <w:p>
      <w:pPr>
        <w:ind w:left="660" w:right="80" w:hanging="328"/>
        <w:spacing w:after="0" w:line="262"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Sustainability: </w:t>
      </w:r>
      <w:r>
        <w:rPr>
          <w:rFonts w:ascii="Arial" w:cs="Arial" w:eastAsia="Arial" w:hAnsi="Arial"/>
          <w:sz w:val="18"/>
          <w:szCs w:val="18"/>
          <w:color w:val="auto"/>
        </w:rPr>
        <w:t>We expanded our BEAUTYCYCLE program to Nordstrom Rack stores. This program allows us 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 beauty packaging waste materials that typically can’t be placed in curbside recycling bins. Through BEAUTYCYCLE, we took back more than 25 tons of beauty packaging in 2022, compared with five tons in 2021. We also began replacing our plastic Nordstrom Rack shopping bags with paper bags in support of our goal to reduce single-use plastic in our value chain by 50%.</w:t>
      </w:r>
    </w:p>
    <w:p>
      <w:pPr>
        <w:spacing w:after="0" w:line="14" w:lineRule="exact"/>
        <w:rPr>
          <w:rFonts w:ascii="Arial" w:cs="Arial" w:eastAsia="Arial" w:hAnsi="Arial"/>
          <w:sz w:val="18"/>
          <w:szCs w:val="18"/>
          <w:color w:val="auto"/>
        </w:rPr>
      </w:pPr>
    </w:p>
    <w:p>
      <w:pPr>
        <w:ind w:left="660" w:right="20" w:hanging="328"/>
        <w:spacing w:after="0" w:line="257"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Human Rights: </w:t>
      </w:r>
      <w:r>
        <w:rPr>
          <w:rFonts w:ascii="Arial" w:cs="Arial" w:eastAsia="Arial" w:hAnsi="Arial"/>
          <w:sz w:val="18"/>
          <w:szCs w:val="18"/>
          <w:color w:val="auto"/>
        </w:rPr>
        <w:t>We are committed to creating safe and fair workplaces for the people who make our products. Our human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due diligence program is based on international standards, and the foundation of our human rights program is designed around third-party impact assessments and supported by our Partner Code of Conduct and relevant policies and programs, all of which were strengthened during the year and are assessed and improved cyclically. As a part of our human rights due diligence, we audit factories that make Nordstrom Made products for compliance with our Partner Code of Conduct and implement corrective action plans where necessary.</w:t>
      </w:r>
    </w:p>
    <w:p>
      <w:pPr>
        <w:spacing w:after="0" w:line="20" w:lineRule="exact"/>
        <w:rPr>
          <w:rFonts w:ascii="Arial" w:cs="Arial" w:eastAsia="Arial" w:hAnsi="Arial"/>
          <w:sz w:val="18"/>
          <w:szCs w:val="18"/>
          <w:color w:val="auto"/>
        </w:rPr>
      </w:pPr>
    </w:p>
    <w:p>
      <w:pPr>
        <w:ind w:left="660" w:right="540" w:hanging="328"/>
        <w:spacing w:after="0" w:line="268"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Women’s Rights: </w:t>
      </w:r>
      <w:r>
        <w:rPr>
          <w:rFonts w:ascii="Arial" w:cs="Arial" w:eastAsia="Arial" w:hAnsi="Arial"/>
          <w:sz w:val="18"/>
          <w:szCs w:val="18"/>
          <w:color w:val="auto"/>
        </w:rPr>
        <w:t>We hit a milestone: almost 50% of Nordstrom Made products were produced in factories that offer women’s</w:t>
      </w:r>
      <w:r>
        <w:rPr>
          <w:rFonts w:ascii="Arial" w:cs="Arial" w:eastAsia="Arial" w:hAnsi="Arial"/>
          <w:sz w:val="18"/>
          <w:szCs w:val="18"/>
          <w:b w:val="1"/>
          <w:bCs w:val="1"/>
          <w:color w:val="auto"/>
        </w:rPr>
        <w:t xml:space="preserve"> </w:t>
      </w:r>
      <w:r>
        <w:rPr>
          <w:rFonts w:ascii="Arial" w:cs="Arial" w:eastAsia="Arial" w:hAnsi="Arial"/>
          <w:sz w:val="18"/>
          <w:szCs w:val="18"/>
          <w:color w:val="auto"/>
        </w:rPr>
        <w:t>empowerment training, bringing us closer to our goal of producing 90% of Nordstrom Made products in factories that invest in women’s empowerment by 2025.</w:t>
      </w:r>
    </w:p>
    <w:p>
      <w:pPr>
        <w:spacing w:after="0" w:line="8" w:lineRule="exact"/>
        <w:rPr>
          <w:rFonts w:ascii="Arial" w:cs="Arial" w:eastAsia="Arial" w:hAnsi="Arial"/>
          <w:sz w:val="18"/>
          <w:szCs w:val="18"/>
          <w:color w:val="auto"/>
        </w:rPr>
      </w:pPr>
    </w:p>
    <w:p>
      <w:pPr>
        <w:ind w:left="660" w:right="220" w:hanging="328"/>
        <w:spacing w:after="0" w:line="268" w:lineRule="auto"/>
        <w:tabs>
          <w:tab w:leader="none" w:pos="66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Charitable Giving: </w:t>
      </w:r>
      <w:r>
        <w:rPr>
          <w:rFonts w:ascii="Arial" w:cs="Arial" w:eastAsia="Arial" w:hAnsi="Arial"/>
          <w:sz w:val="18"/>
          <w:szCs w:val="18"/>
          <w:color w:val="auto"/>
        </w:rPr>
        <w:t>We donated over $12 million to over 270 organizations located in the communities where we do business.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gave to over 2,900 nonprofits, which we supported with 100% matching. Together with our customers and our employees, we used our platform to drive about $16 million in nonprofit donations based in the U.S. and Canada.</w:t>
      </w:r>
    </w:p>
    <w:p>
      <w:pPr>
        <w:spacing w:after="0" w:line="117"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Read our full list of 2025 goals and more about our corporate social responsibility efforts at NordstromCares.com. The information contained or referred to on our website is not deemed to be incorporated by reference into this Annual Report unless otherwise expressly noted.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Our most notable trademarks include Nordstrom, Nordstrom Rack, Zella, BP. and Treasure &amp; Bond. Each of our trademarks is renewable indefinitely, provided it is still used in commerce at the time of the renewal.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usually includes most of our Anniversary Sale, and in the fourth quarter due to the holidays. Approximately one week of our Anniversary Sale shifted from the third quarter in 2021 to the second quarter in 2022.</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Results for any one quarter are not indicative of the results that may be achieved for a full fiscal year. We plan our merchandise purchases and receipts to coincide with expected sales trends. For instance, our merchandise purchases and receipts increase prior to the Anniversary Sale and in the fall as we prepare for the holiday shopping season (typically from November through December). Consistent with our seasonal fluctuations, our working capital requirements have historically increased during the months leading up to the Anniversary Sale and the holidays as we purchase inventory in anticipation of increased sales.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operate in a highly competitive business environment. We regularly compete with other international, national, regional and local retailers, including internet-based businesses, omni-channel department stores, specialty stores, off-price stores and boutiques, which may carry similar lines of merchandise. Our specific competitors vary from market to market. We believe the keys to competing in our industry are what will always matter most to our customers: providing compelling product and outstanding service, both digitally and in stores, backed by people who care. This includes serving customers on their terms by providing a seamless digital and physical experience, offering compelling, curated and quality products across a range of price points, and strategically partnering with relevant and limited distribution brands, all in top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We file annual, quarterly and current reports, proxy statements and other documents with the SEC. The SEC maintains a website at SEC.gov that contains reports, proxy and information statements, and other information regarding issuers that file with the SEC.</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website addresses are Nordstrom.com and NordstromRack.com. Our annual and quarterly reports on Form 10-K and Form 10-Q, current reports on Form 8-K, proxy statements, our executives’ statements of changes in beneficial ownership of securities on Form 4 and amendments to those reports filed or furnished pursuant to Section 13(a) or 15(d) of the Exchange Act are available for free on or through our website as soon as reasonably practicable after we electronically file the report with or furnish it to the SEC. Interested parties may also access a webcast of quarterly earnings conference calls and other financial events through our website at investor.nordstrom.com.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922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a long-standing commitment to upholding a high level of ethical standards. In addition, we have adopted Codes of Business Conduct and Ethics for our employees, officers and directors and Corporate Governance Guidelines, which comply with the listing standards of the NYSE and SEC requirements. Our Codes of Business Conduct and Ethics, Corporate Governance Guidelines and Committee Charters for the following Board of Director Committees are available through our website:</w:t>
      </w:r>
    </w:p>
    <w:p>
      <w:pPr>
        <w:spacing w:after="0" w:line="1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and Finance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People and Culture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Corporate Governance and Nominating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amendments to these documents, or waivers of the requirements they contain, will also be available on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printed versions of these items or any other inquiries, please contact:</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Nordstrom Investor Relations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1617 Sixth Avenue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Seattle, Washington 98101</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InvRelations@Nordstrom.com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business faces many risks. We believe the risks described below outline the items of most concern to us. In evaluating our Company, you should carefully consider the following factors, in addition to the other information in this 2022 Annual Report. Before you buy our common stock or invest in our debt, you should know that making such an investment involves risks including, but not limited to, the risks described below. Any one of the following risks could harm our business, financial condition, results of operations or reputation, each of which could cause our stock price to decline or a default on our debt payments, and you may lose all or a part of your investment. Additional risks, trends and uncertainties not presently known to us or that we currently believe are immaterial may also harm our business, financial condition, results of operations or reputation.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AND OPERATIONAL RISKS</w:t>
      </w:r>
    </w:p>
    <w:p>
      <w:pPr>
        <w:spacing w:after="0" w:line="171"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b w:val="1"/>
          <w:bCs w:val="1"/>
          <w:color w:val="auto"/>
        </w:rPr>
        <w:t>If we are unable to successfully execute our customer strategy or evolve our business model, it could negatively impact our business and future profitability and growth.</w:t>
      </w:r>
    </w:p>
    <w:p>
      <w:pPr>
        <w:jc w:val="both"/>
        <w:ind w:right="40"/>
        <w:spacing w:after="0" w:line="234" w:lineRule="auto"/>
        <w:rPr>
          <w:sz w:val="20"/>
          <w:szCs w:val="20"/>
          <w:color w:val="auto"/>
        </w:rPr>
      </w:pPr>
      <w:r>
        <w:rPr>
          <w:rFonts w:ascii="Arial" w:cs="Arial" w:eastAsia="Arial" w:hAnsi="Arial"/>
          <w:sz w:val="18"/>
          <w:szCs w:val="18"/>
          <w:color w:val="auto"/>
        </w:rPr>
        <w:t>Our market strategy, Closer to You, is a powerful enabler for the business, allowing us to better serve customers and provide greater access to product by leveraging all of our assets of people, product and place at the market level. As our business evolves, we continue to scale our market strategy and focus on better serving our customers through three priorities with significant potential for growth: improving Nordstrom Rack performance, winning in our most important markets and leveraging our digital capabilities. Our Closer to You strategy focuses on our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customers by providing a differentiated and seamless experience in a digital world by bringing all of our assets together in each market to serve customers when, where and how they want to shop. We aim to balance our assortment, increase the breadth of selection and continue</w:t>
      </w:r>
    </w:p>
    <w:p>
      <w:pPr>
        <w:spacing w:after="0" w:line="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to leverage our digital and physical assets to increase selection and improve profitability in our Nordstrom Rack banner. As a digital-first business, we are well positioned to support our customers with a scalable platform that has been built to support continued growth. We are expanding our inventory flexibility through unowned inventory models, including strategic brands, wholesale, vertical brands, concession, dropship and other strategies. Additionally, we are scaling our NMN, which allows our brand partners to directly connect with our customers through on and off-site media campaigns to drive traffic, sales and engagement.</w:t>
      </w:r>
    </w:p>
    <w:p>
      <w:pPr>
        <w:spacing w:after="0" w:line="13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Our focus on the customer requires us to build new supply chain capabilities and enhance existing ones, develop applications for electronic devices, improve customer-facing technology, deliver purchased products timely, enhance inventory management systems and allow greater and more fluid inventory availability between digital and retail locations through our Closer to You strategy. In addition, these strategies will require further expansion of and reliance on data science and analytics. This business model has a highly variable cost structure driven by our Supply Chain Network and marketing costs and will continue to require investments in cross-channel operations and supporting technologies. There are also inherent risks associated with the investment in new technologies, and such operational and supporting technologies can be subject to failure, disruption or unavailability and increased vulnerability to cyberattacks and other cyber incidents.</w:t>
      </w:r>
    </w:p>
    <w:p>
      <w:pPr>
        <w:spacing w:after="0" w:line="112"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If we do not successfully implement our customer strategy, including thoroughly understanding and delivering on our customer needs and wants, effectively integrating our digital operations and stores and scaling our Closer to You strategy, strengthening our brand awareness, expanding our supply chain initiatives and efficiently getting product to our customers, we may fall short of our customers’ expectations, which would impact our brand, reputation, profitability and growth. Also, if customers shift to digital channels at a different pace than we anticipate, we may need to quickly modify our digital and store or Nordstrom and Nordstrom Rack initiatives and investments. If we do not have or devote the resources necessary to execute upon these strategies, our business could be negatively impacted.</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b w:val="1"/>
          <w:bCs w:val="1"/>
          <w:color w:val="auto"/>
        </w:rPr>
        <w:t>Our business could suffer if we do not appropriately assess and react to competitive market forces and changes in customer behavior.</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retail environment is rapidly evolving. Customer shopping preferences continue to shift, including increasing expectations for faster delivery of product. In addition, the retail environment is under significant pressure from non-traditional retailers, including the emergence of rental and recommerce companies. We regularly compete with other international, national, regional and local retailers, including internet-based businesses, omni-channel department stores, specialty stores, off-price stores and boutiques, which may carry similar lines of merchandise. Digital channels continue to facilitate comparison shopping, intensifying competition in the retail market, and marketing digitally is controlled by a few key platforms. If we fail to adequately anticipate or respond to customer behavior and expectations, or changing market dynamics, we may lose market share or our ability to remain competitive, causing our sales and profitability to suffer. If the efficiency and allocation of loyalty marketing, advertising and promotional campaigns that attract customers through various programs and media, including digital media and print, is unsuccessful in influencing consumer behavior in our digital channels and stores, or if our competitors are more effective with their programs than we are, our growth and profitability could suffer. We also may not gather accurate and relevant data or effectively utilize that data, which may impact our strategic planning, marketing and loyalty programs and our overall decision making.</w:t>
      </w:r>
    </w:p>
    <w:p>
      <w:pPr>
        <w:spacing w:after="0" w:line="11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color w:val="auto"/>
        </w:rPr>
        <w:t>Our customer relationships and sales may be negatively impacted if we do not anticipate and respond to consumer preferences and fashion trends or manage inventory levels appropriately.</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ability to predict or respond to constantly changing fashion trends, demographics, consumer preferences and spending patterns significantly impacts our sales and operating results. We must effectively manage our merchandise mix to curate an assortment that offers newness and greater selection at various price points. Some merchandise may take several months from the time we place a purchase order to the time it is received, and our ability to accelerate or modify that timeline or purchase order contents may be limited. If we do not identify and respond to emerging trends in consumer spending and preferences quickly enough, identify the right partners that align with our customer strategy, broaden or expand our category offering fast enough or in the right areas or develop, evolve and retain our team’s talent, mindset and technical skills to support changing operating models, we may harm our ability to retain our existing customers or attract new customers. We also store a certain level of pack-and-hold inventory to deploy in periods with high demand, tight supply or system constraints. As a result, we are vulnerable to shifts in consumer demand and misjudgments in the assortment and timing of merchandise purchases which may impact our ability to sell through this inventory in future periods. Ensuring we optimize our inventory and improve the planning and management of inventory through use of data and analytics is critical to serving the customer, driving growth and maximizing profitability. If we purchase too much inventory, we may be forced to sell our merchandise at lower average margins by taking significant markdowns, which could harm our business. Conversely, if we fail to purchase enough merchandise, or inventory does not arrive fast enough or as expected, we may lose opportunities for additional sales and potentially harm relationships with our customers.</w:t>
      </w:r>
    </w:p>
    <w:p>
      <w:pPr>
        <w:spacing w:after="0" w:line="13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color w:val="auto"/>
        </w:rPr>
        <w:t xml:space="preserve">Any inability to mitigate global labor and merchandise pricing pressures or disruptions may negatively impact our profitability. </w:t>
      </w:r>
      <w:r>
        <w:rPr>
          <w:rFonts w:ascii="Arial" w:cs="Arial" w:eastAsia="Arial" w:hAnsi="Arial"/>
          <w:sz w:val="18"/>
          <w:szCs w:val="18"/>
          <w:color w:val="auto"/>
        </w:rPr>
        <w:t>Our profitability depends in part on our ability to anticipate and react to operating volatility, including the cost and availability of labor and merchandise. Increases in product and/or delivery costs, including changes in the price of raw materials to us and our vendors that are directly or indirectly related to the production and distribution of our products or increases in energy, labor or fuel and transportation costs, may translate to higher sales prices, which may then impact customer demand. In the near term, we are focused on improving our internal network and processes by diversifying our carrier capacity, gaining better end-to-end visibility of inventory and increasing velocity and throughput in our Supply Chain Network. If we are unable to respond effectively to ongoing pricing pressures or labor shortages, or offset such costs, there could be a material adverse impact on our business and financial results.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employees are key to supporting our business and operations effectively, and increased labor costs put pressure on our operating expenses. When wage rates or benefit levels increase in particular markets, increasing our wages or benefits has negatively impacted and may continue to negatively impact our earnings. Conversely, failing to offer competitive wages or benefits could adversely affect our ability to attract or retain sufficient or quality employees, causing increased turnover and our customer service to suffer. Excessive turnover may result in higher costs associated with finding, hiring and training new employees.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Any impediment to our inventory optimization may impact our ability to drive growth and meet customer demand, affecting future results and profitability. Shortages in certain materials and increasing pricing pressures in the highly competitive retail environment have contributed, and may in the future continue to contribute, to fluctuations in the quality, availability and price of our merchandise. The availability of raw materials to the U.S. may hinder our ability to meet customer demand. Vendors and other suppliers of the Company may experience similar fluctuations or restrictions, which may subject us to the effects of their price increases. Additionally, if we do not gather complete, accurate and timely competitive pricing data, or adequately utilize this data to implement an effective pricing strategy, our ability to successfully compete could be negatively impacted, causing our sales, profitability and results of operations to suffer.</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color w:val="auto"/>
        </w:rPr>
        <w:t>Improvements to our Supply Chain Network, inventory, buying, vendor payment and accounting processes and systems could adversely affect our business if not successfully executed.</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business depends on accuracy throughout our product flow process. We are making investments to streamline and standardize our Supply Chain Network, inventory, buying, vendor payments and accounting capabilities through changes in technology, methodologies and processes. If we encounter challenges associated with change management, inventory integrity and implementation of associated information technology or adoption of new processes, features or capabilities, our ability to continue to successfully execute or evolve our strategy with changes in the retail environment could be adversely affected. Or, if we are unable to maintain accurate, reliable and effective inventory tracking systems, which are critical to our integrated omni-channel business strategy, it may adversely impact our sales and profitability and may result in canceled orders and increased costs relative to our current expectations.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effectively attract, retain, train and develop talent and future leaders, our business may suffer.</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rely on the experience of our senior management, who have specific knowledge relating to us and our industry that is difficult to replace, to execute our business strategies and objectives. We have succession plans in place and our Board of Directors reviews these succession plans. If our succession plans do not adequately cover significant and unanticipated turnover, the loss of the services of any of these individuals, or any resulting negative perceptions or reactions, could damage our reputation and our business.</w:t>
      </w:r>
    </w:p>
    <w:p>
      <w:pPr>
        <w:spacing w:after="0" w:line="12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Additionally, our success depends on the talents and abilities of our workforce in all areas of our business, especially personnel that can adapt to complexities and grow their skillset across the changing environment. Our ability to successfully execute our customer strategy depends on attracting, developing and retaining qualified talent with diverse sets of skills, especially functional and technology specialists that directly support our strategies. We have a large workforce, and our ability to meet our labor needs is subject to various external factors such as regional minimum wage and benefits requirements, market pressures, prevailing wage rates, benefit mix, unemployment levels, changing demographics, economic conditions and a dynamic regulatory environment.</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experienced, and may continue to experience, increased employee attrition due to an intense competition for talent, a competitive wage environment and labor shortages. In the Seattle metropolitan area, where our corporate headquarters are located, we regularly compete for talent with many larger technology-focused companies, which may increase market compensation, especially for certain employee groups. If we are unable to sustain employee satisfaction or offer competitive compensation and benefits, appropriate training and development or a compelling work environment, our culture may be adversely affected, our reputation may be damaged and we may incur costs related to turnover.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program agreement with TD, or changes to that agreement, could adversely impact our business.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program agreement with TD was consummated on terms that allow us to maintain customer-facing activities, while TD facilitates issuance of Nordstrom-branded payment methods and provides payment processing services. If we fail to meet certain service levels, TD has the right to assume certain individual servicing functions including managing accounts and collection activities. If we lose control of such activities and functions, if we do not successfully respond to potential risks and appropriately manage potential costs associated with the program agreement with TD or if these transactions negatively impact the customer service associated with our cards, resulting in harm to our business reputation and competitive position, our operations, cash flows and earnings could be adversely affected. If, upon expiration of our current program agreement in 2026, a new contract has less favorable terms, our results could be negatively impacted. If TD became unwilling or unable to provide these services or if there are changes to the risk management policies implemented under our program agreement with TD, our results may be negatively impacted. If we lose control over certain servicing functions and TD is unable to successfully manage accounts and collection activities, it may heighten the risk of credit losses.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DATA, CYBERSECURITY AND INFORMATION TECHNOLOGY RISKS</w:t>
      </w:r>
    </w:p>
    <w:p>
      <w:pPr>
        <w:spacing w:after="0" w:line="171" w:lineRule="exact"/>
        <w:rPr>
          <w:sz w:val="20"/>
          <w:szCs w:val="20"/>
          <w:color w:val="auto"/>
        </w:rPr>
      </w:pPr>
    </w:p>
    <w:p>
      <w:pPr>
        <w:ind w:right="760"/>
        <w:spacing w:after="0" w:line="260" w:lineRule="auto"/>
        <w:rPr>
          <w:sz w:val="20"/>
          <w:szCs w:val="20"/>
          <w:color w:val="auto"/>
        </w:rPr>
      </w:pPr>
      <w:r>
        <w:rPr>
          <w:rFonts w:ascii="Arial" w:cs="Arial" w:eastAsia="Arial" w:hAnsi="Arial"/>
          <w:sz w:val="18"/>
          <w:szCs w:val="18"/>
          <w:b w:val="1"/>
          <w:bCs w:val="1"/>
          <w:color w:val="auto"/>
        </w:rPr>
        <w:t>Even if we take appropriate measures to safeguard our information, network and environment from security breaches, our customers, employees and business could still be exposed to risk.</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and third-party providers access, collect, store and transmit sensitive and confidential Company, customer and employee data and information, including consumer preferences and credit card information, all of which are subject to demanding and continuously evolving privacy and security laws and regulations. A number of jurisdictions where we do business have enacted or are considering new privacy and data protection laws which impact our responsibilities with respect to this data, including California, Virginia, Colorado, Connecticut and Utah. </w:t>
      </w:r>
      <w:r>
        <w:rPr>
          <w:rFonts w:ascii="Arial" w:cs="Arial" w:eastAsia="Arial" w:hAnsi="Arial"/>
          <w:sz w:val="18"/>
          <w:szCs w:val="18"/>
          <w:color w:val="212529"/>
        </w:rPr>
        <w:t xml:space="preserve">In addition, the substantial majority of our corporate employees working remotely has resulted in increased demand on our information technology infrastructure, which can </w:t>
      </w:r>
      <w:r>
        <w:rPr>
          <w:rFonts w:ascii="Arial" w:cs="Arial" w:eastAsia="Arial" w:hAnsi="Arial"/>
          <w:sz w:val="18"/>
          <w:szCs w:val="18"/>
          <w:color w:val="000000"/>
        </w:rPr>
        <w:t>be subject to failure, disruption or unavailability, and has increased vulnerability to cyberattacks and</w:t>
      </w:r>
      <w:r>
        <w:rPr>
          <w:rFonts w:ascii="Arial" w:cs="Arial" w:eastAsia="Arial" w:hAnsi="Arial"/>
          <w:sz w:val="18"/>
          <w:szCs w:val="18"/>
          <w:color w:val="212529"/>
        </w:rPr>
        <w:t xml:space="preserve"> </w:t>
      </w:r>
      <w:r>
        <w:rPr>
          <w:rFonts w:ascii="Arial" w:cs="Arial" w:eastAsia="Arial" w:hAnsi="Arial"/>
          <w:sz w:val="18"/>
          <w:szCs w:val="18"/>
          <w:color w:val="000000"/>
        </w:rPr>
        <w:t>other cyber incidents.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taken measures to help prevent a breach of our information security and comply with cybersecurity and privacy requirements by implementing safeguards and procedures designed to protect the security, confidentiality and integrity of such information. In addition, we have strengthened our contracts to require, where possible, our third-party providers to implement administrative, physical and technical safeguards and procedures aligned to industry best practices. Like many companies with an ecommerce presence, we, as well as several of our vendors, have suffered breaches of our cybersecurity in the past and are at risk for such breaches in the future.</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Despite the fact that we have implemented measures to prevent intentional or inadvertent information security breaches and requested our third-party providers to do the same, these measures cannot completely eliminate cybersecurity risk. Security breaches and cyber incidents, whether at our Company, our third-party providers or other retailers, could expose us to loss, unauthorized release of customer, employee or Company confidential information, litigation,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Concerns about our data management practices, including the collection, use, retention, security or disclosure of personal information or other privacy-related matters, even if unfounded, could subject the Company to regulatory inquiries and damage our reputation, adversely affecting our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impacted by information technology system failures or network disruptions.</w:t>
      </w:r>
    </w:p>
    <w:p>
      <w:pPr>
        <w:spacing w:after="0" w:line="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ability to transact with customers and operate our business depends on the efficient operation of various internal and third-party information technology systems, including cloud computing, data centers, hardware, software and applications, to manage certain aspects of our Company, including online and store transactions, logistics and communication, inventory and reporting systems. We seek to build quality and secure systems, select reputable system vendors and implement procedures intended to enable us to protect our systems when we modify them. We test our systems to address vulnerabilities and train our employees regarding practices to protect the safety of our systems.</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spacing w:after="0" w:line="125"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If we encounter an interruption or deterioration in critical systems or processes or experience the loss of critical data, which may result from security or cybersecurity threats or attacks, natural disasters, accidents, power disruptions, telecommunications failures, acts of terrorism or war, computer viruses, physical or electronic break-ins or third-party or other disruptions, our business could be harmed both in the short-term and over a longer period. Depending on the severity of the failure, our disaster recovery plans may be inadequate or ineffective. These events could also damage our reputation, result in increased costs or loss of sales and be expensive and time-consuming to remedy.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REPUTATION AND RELATIONSHIP RISKS</w:t>
      </w:r>
    </w:p>
    <w:p>
      <w:pPr>
        <w:spacing w:after="0" w:line="17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b w:val="1"/>
          <w:bCs w:val="1"/>
          <w:color w:val="auto"/>
        </w:rPr>
        <w:t>Our customer, employee, vendor, third-party partner, landlord and other stakeholder relationships could be negatively affected if we fail to maintain our corporate culture and reputation.</w:t>
      </w:r>
    </w:p>
    <w:p>
      <w:pPr>
        <w:spacing w:after="0" w:line="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have a well-recognized culture and reputation that consumers may associate with a high level of integrity, customer service and quality merchandise, and it is one of the reasons customers shop with us and employees choose us as a place of employment. Any significant damage to our reputation, including damages arising from our business, privacy, diversity, environmental or social responsibility practices, news about our Company or factors outside our control or on social media, could diminish customer trust, weaken our vendor relationships, reduce employee morale and productivity and lead to difficulties in recruiting and retaining qualified employees. Additionally, management may not accurately assess the impact of significant legislative changes, including those that relate to privacy, employment matters, labor issues, environmental compliance and health care, impacting our relationship with our customers or our workforce and adversely affecting our sales and operations.</w:t>
      </w:r>
    </w:p>
    <w:p>
      <w:pPr>
        <w:spacing w:after="0" w:line="13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There is also increased focus from both internal and external stakeholders on corporate social responsibility and sustainability matters. If we do not, or are perceived not to, act responsibly with respect to our practices and initiatives, meet any communicated targets, goals or milestones or lack transparency with our initiatives, our reputation could be damaged. We may also incur additional costs as we invest in new ways to operate to better support our communities and the customer or to report our outcomes and results.</w:t>
      </w:r>
    </w:p>
    <w:p>
      <w:pPr>
        <w:spacing w:after="0" w:line="12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the long-term reputational impact of winding down business operations in Canada to our customers, employees, vendors and third-party partners and landlords is unknown, and we may need to take actions that could increase our expenses and adversely affect the results of our operations.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color w:val="auto"/>
        </w:rPr>
        <w:t>Our business depends on third parties for the production, supply and delivery of goods, and a disruption could result in lost sales or increased costs.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Timely receipts of quality merchandise from third parties is critical to our business. Our process to identify qualified vendors and access quality products in an efficient manner on acceptable terms and cost can be complex. Vendors and factors may also be subject to credit capacity limits that restrict shipments. In addition, we rely on a limited number of carriers to deliver our product to customers. Ongoing disruptions in the global supply chain, including factory closures, transportation challenges, rising freight expenses, violations of law or global standards with respect to human rights, quality and safety by any of our importers, manufacturers or distributors, or parties upstream within their respective supply chains, could result in delays in shipments and receipt of goods or damage our reputation. These third parties may experience supply chain or port disruptions, stoppages of certain imports or other difficulties due to economic, business, political, environmental or epidemic conditions, or may shift their business models away from prior practice, any of which could negatively impact our inventory levels, delivery timelines and ability to meet customer demand. Additionally, the countries in which merchandise is manufactured could become subject to new trade restrictions, including increased taxation on imported goods, customs restrictions, tariffs or quotas. Such violations, disruptions or changes could have a material adverse effect on our business, results of operations and liquidity.</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party to contracts, transactions and business relationships with various third parties, including vendors, suppliers, service providers, landlords and lenders, who may have performance, payment and other obligations to us. If any of the third parties with which we do business become subject to bankruptcy, receivership or similar insolvency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spacing w:after="0" w:line="129"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The decision to wind down business operations in Canada may negatively impact our relationships with vendors that also supply our U.S. operations in a way that might cause less favorable terms and increased costs, result in less timely and efficient deliveries or impact their ability to sell to us.</w:t>
      </w:r>
    </w:p>
    <w:p>
      <w:pPr>
        <w:spacing w:after="0" w:line="117"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b w:val="1"/>
          <w:bCs w:val="1"/>
          <w:color w:val="auto"/>
        </w:rPr>
        <w:t>Distribution and marketing of, and access to, our products depends on a variety of third-party publishers and platforms. If these third parties limit, prohibit or otherwise interfere with or change the terms of the distribution, use or marketing of our products, it could adversely affect our results of operations.</w:t>
      </w:r>
    </w:p>
    <w:p>
      <w:pPr>
        <w:spacing w:after="0" w:line="1" w:lineRule="exact"/>
        <w:rPr>
          <w:sz w:val="20"/>
          <w:szCs w:val="20"/>
          <w:color w:val="auto"/>
        </w:rPr>
      </w:pPr>
    </w:p>
    <w:p>
      <w:pPr>
        <w:jc w:val="both"/>
        <w:ind w:right="240"/>
        <w:spacing w:after="0" w:line="250" w:lineRule="auto"/>
        <w:rPr>
          <w:sz w:val="20"/>
          <w:szCs w:val="20"/>
          <w:color w:val="auto"/>
        </w:rPr>
      </w:pPr>
      <w:r>
        <w:rPr>
          <w:rFonts w:ascii="Arial" w:cs="Arial" w:eastAsia="Arial" w:hAnsi="Arial"/>
          <w:sz w:val="18"/>
          <w:szCs w:val="18"/>
          <w:color w:val="auto"/>
        </w:rPr>
        <w:t>We market our brands and distribute our products through a variety of third-party publisher and platform channels. Our ability to market on any given platform or channel is subject to the policies of that party. We are dependent on the interoperability of our products with popular mobile operating systems, such as Android or iOS, websites, networks, technologies, products and standards that we do not control.</w:t>
      </w:r>
    </w:p>
    <w:p>
      <w:pPr>
        <w:spacing w:after="0" w:line="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Additionally, mobile operating systems and websites have identifiers within their platforms that advertisers use to deliver personalized and targeted advertising, requiring users to “opt-in.”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Changes in our relationships with mobile operating system partners, websites or mobile carriers, or in their terms of service, could reduce or eliminate our ability to update or distribute our products on these platforms. Any changes, bugs or technical issues in such systems or websites may limit our ability to deliver, target or measure the effectiveness of ads. There is no guarantee that popular platforms will continue to feature our products, or that mobile device users will continue to use our products rather than competing products. If we do not pick the platforms relevant to our customers, if the platforms give preferential treatment to competitors, limit our ability to deliver, target or measure the effectiveness of ads or if there is a sudden shift in platform preference, our ability to market our brand effectively could be negatively impacted. Furthermore, to the extent that users choose not to “opt-in” for advertiser access to customer tracking, our ability to deliver, target or measure the effectiveness of ads or drive usage on our apps is limited.</w:t>
      </w:r>
    </w:p>
    <w:p>
      <w:pPr>
        <w:spacing w:after="0" w:line="131" w:lineRule="exact"/>
        <w:rPr>
          <w:sz w:val="20"/>
          <w:szCs w:val="20"/>
          <w:color w:val="auto"/>
        </w:rPr>
      </w:pPr>
    </w:p>
    <w:p>
      <w:pPr>
        <w:ind w:right="800"/>
        <w:spacing w:after="0" w:line="260" w:lineRule="auto"/>
        <w:rPr>
          <w:sz w:val="20"/>
          <w:szCs w:val="20"/>
          <w:color w:val="auto"/>
        </w:rPr>
      </w:pPr>
      <w:r>
        <w:rPr>
          <w:rFonts w:ascii="Arial" w:cs="Arial" w:eastAsia="Arial" w:hAnsi="Arial"/>
          <w:sz w:val="18"/>
          <w:szCs w:val="18"/>
          <w:b w:val="1"/>
          <w:bCs w:val="1"/>
          <w:color w:val="auto"/>
        </w:rPr>
        <w:t>The concentration of stock ownership in a small number of our shareholders may limit a shareholder’s ability to influence corporate matters and impact the price of our shares.</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regularly reported in our annual proxy statements the holdings of members of the Nordstrom family, including Bruce A. Nordstrom, our former Co-President and Chairman of the Board, his sister Anne E. Gittinger and certain members of the Nordstrom family within our Executive Team. As of March 10, 2023, these individuals beneficially owned an aggregate of approximately 30% of our common stock. As a result, either individually or acting together, they may be able to exercise considerable influence over matters requiring shareholder approval, including the election of directors or other matters impacting our management or corporate governance. In addition, as reported in our periodic filings, our Board of Directors has from time to time authorized share repurchases. While these repurchases may be partially offset by share issuances under our equity incentive plans and as consideration for acquisitions, the repurchases may nevertheless have the effect of increasing the overall percentage interest held by these shareholders.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2022, our Board of Directors adopted a limited-duration shareholder rights agreement. The Rights Plan would cause substantial dilution to the ownership of any person or group that acquires 10% or more of the outstanding shares of our common stock, subject to certain exceptions in the plan (including that the ownership of Bruce A. Nordstrom, Anne E. Gittinger and certain other members of the Nordstrom family as of the date of the Rights Plan’s adoption is grandfathered under the plan). By effectively preventing a shareholder or group of shareholders other than the Nordstrom family from acquiring 10% or more of our common stock, the Rights Plan may ensure that the Nordstrom family retains its concentration of ownership relative to other shareholders.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corporate law of the State of Washington, where we are incorporated, provides that approval of a merger or similar significant corporate transaction requires the affirmative vote of two-thirds of a company’s outstanding shares. The interests of the Nordstrom family shareholders may differ from the interest of our shareholders as a whole. The beneficial ownership of the Nordstrom family shareholders may have the effect of discouraging offers to acquire us, delaying or otherwise preventing a significant corporate transaction because the consummation of any such transaction would likely require their approval. As a result of these factors, the market price of our common stock may be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 AND CAPITAL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appropriately manage our capital, we may negatively impact our operations and shareholder return.</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utilize working capital to finance our operations, pay for capital expenditures, acquisitions and investments, manage our debt levels and return value to our shareholders through dividends and share repurchases. Sufficient cash and liquidity are necessary to fund our business.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noncompliance with our debt covenants or a downgrade of our credit rating, constraining the financing available to us or limiting our ability to issue dividends or repurchase shares. In 2022, Fitch Ratings downgraded certain of our debt and other credit ratings. These downgrades, and any future reductions in our credit ratings, could result in restricted access to financing and increased borrowing costs and could adversely impact our operations and financial condition. In addition, if we do not properly allocate our capital to maximize returns or we do not maintain financial flexibility, our operations, cash flows and returns to shareholders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Owning and leasing real estate exposes us to possible liabilities and losses.</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own or lease the land, buildings and equipment for all of our Supply Chain Network facilities, stores and corporate locations and are therefore subject to all of the risks associated with owning and leasing real estate. In particular, the value of the assets could decrease, their operating costs could increase or facilities or stores may not be opened as planned due to changes in the real estate market, demographic trends, site competition, dependence on third-party performance or overall economic environment or may be constrained as a result of the COVID-19 pandemic. We are also potentially subject to liability for environmental conditions, exit costs associated with disposal of a store and commitments to pay base rent for the entire lease term or operate a store for the duration of an operating covenant. In addition, the invalidity of, or default or termination under, any of our leases may accelerate required cash payments or interfere with our ability to use and operate all or a portion of certain of our facilities, which may have an adverse impact on our operations and results.</w:t>
      </w:r>
    </w:p>
    <w:p>
      <w:pPr>
        <w:spacing w:after="0" w:line="133"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b w:val="1"/>
          <w:bCs w:val="1"/>
          <w:color w:val="auto"/>
        </w:rPr>
        <w:t>The investment in existing and new locations may not achieve our expected returns, such as our investment in the Canada business which ultimately did not achieve our expectations.</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locations of our Supply Chain Network facilities and existing stores, planned store openings and relocations are assessed based upon desirability, demographics and retail environment. In particular, we have expanded our Closer to You strategy, where we leverage and connect our digital and physical assets within discrete geographic markets to seamlessly serve our customers within those markets and create synergies between our digital assets, Supply Chain Network and stores. We must equip our locations with the proper processes, technology and tools for timely and accurate fulfillment and inventory replenishment. This involves certain risks, including properly balancing our capital investments between fulfillment capabilities, technology, digital channels, new stores, relocations and remodels, assessing the suitability of locations in new domestic and international markets and constructing, furnishing and supplying a facility or store in a timely and cost-effective manner, which may be affected by the actions of third parties, including but not limited to private entities and local, state or federal regulatory agencies.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Customers’ expectations regarding speed of delivery are evolving. If we do not effectively integrate our digital and physical assets as part of our Closer to You strategy, or select locations to optimize our Closer to You strategy, we could incur significantly higher costs and shipping times that do not meet customer expectations, which in turn could have a material adverse effect on our business. Particularly in light of the changing trends between digital and brick-and-mortar shopping channels, sales through our digital channels or at our stores may not meet projections, which could adversely affect our return on investment. If we do not properly allocate capital expenditures between locations, timely complete construction projects associated with Supply Chain Network facilities and new, relocated and remodeled stores or properly maintain any of our properties, customer expectations may not be met, we may lose sales and may incur additional expenses.</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AND EXTERNAL MARKET RISKS</w:t>
      </w:r>
    </w:p>
    <w:p>
      <w:pPr>
        <w:spacing w:after="0" w:line="171"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b w:val="1"/>
          <w:bCs w:val="1"/>
          <w:color w:val="auto"/>
        </w:rPr>
        <w:t xml:space="preserve">Our revenues and operating results are affected by the seasonal nature of our business and cyclical trends in consumer spending. </w:t>
      </w:r>
      <w:r>
        <w:rPr>
          <w:rFonts w:ascii="Arial" w:cs="Arial" w:eastAsia="Arial" w:hAnsi="Arial"/>
          <w:sz w:val="18"/>
          <w:szCs w:val="18"/>
          <w:color w:val="auto"/>
        </w:rPr>
        <w:t>Our business, like that of other retailers, is subject to seasonal fluctuations and cyclical trends in consumer spending. Our sales are typically higher in our second quarter, which usually includes most of our Anniversary Sale, and in the fourth quarter due to the holidays.</w:t>
      </w:r>
    </w:p>
    <w:p>
      <w:pPr>
        <w:spacing w:after="0" w:line="1"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Approximately one week of our Anniversary Sale shifted from the third quarter in 2021 to the second quarter in 2022. To provide shareholders a better understanding of management’s expectations surrounding results, we provide our financial outlook on our expected operating and financial results for future periods comprised of forward-looking statements subject to certain risks and uncertainties. Any factor that negatively impacts these selling seasons could have an adverse and disproportionate effect on our results of operations for the entire year.</w:t>
      </w:r>
    </w:p>
    <w:p>
      <w:pPr>
        <w:spacing w:after="0" w:line="12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Additionally, factors such as results differing from our outlook, changes in sales and operating income, changes in our market valuations, performance results for the general retail industry, news or announcements by us or our industry competitors or changes in analysts’ recommendations may cause volatility in the price of our common stock and our shareholder returns.</w:t>
      </w:r>
    </w:p>
    <w:p>
      <w:pPr>
        <w:spacing w:after="0" w:line="117" w:lineRule="exact"/>
        <w:rPr>
          <w:sz w:val="20"/>
          <w:szCs w:val="20"/>
          <w:color w:val="auto"/>
        </w:rPr>
      </w:pPr>
    </w:p>
    <w:p>
      <w:pPr>
        <w:jc w:val="both"/>
        <w:ind w:right="200"/>
        <w:spacing w:after="0" w:line="257" w:lineRule="auto"/>
        <w:rPr>
          <w:sz w:val="20"/>
          <w:szCs w:val="20"/>
          <w:color w:val="auto"/>
        </w:rPr>
      </w:pPr>
      <w:r>
        <w:rPr>
          <w:rFonts w:ascii="Arial" w:cs="Arial" w:eastAsia="Arial" w:hAnsi="Arial"/>
          <w:sz w:val="18"/>
          <w:szCs w:val="18"/>
          <w:b w:val="1"/>
          <w:bCs w:val="1"/>
          <w:color w:val="auto"/>
        </w:rPr>
        <w:t>A downturn in economic conditions, currency fluctuations, inflation, increased unemployment and bankruptcy rates, changes in fiscal stimulus and other external market factors have had and could have a significant adverse effect on our business and stock price.</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During economic downturns or inflationary periods, including those resulting from the impacts of COVID-19, fewer customers may shop as these purchases may be seen as discretionary, and those who do shop may limit the amount of their purchases. Any reduced demand or changes in customer purchasing behavior may lead to lower sales, higher markdowns and an overly promotional environment or increased marketing and promotional spending.</w:t>
      </w:r>
    </w:p>
    <w:p>
      <w:pPr>
        <w:spacing w:after="0" w:line="128"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b w:val="1"/>
          <w:bCs w:val="1"/>
          <w:color w:val="auto"/>
        </w:rPr>
        <w:t>Our stores located in shopping centers and malls have been and may be affected by consumer traffic at shopping centers and malls.</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majority of our stores are located within shopping centers and malls and may benefit from the abilities that we and other anchor tenants have to generate consumer traffic. A decline in shopping center traffic in favor of ecommerce, the development of new shopping centers and malls, the lack of availability of favorable locations within existing or new shopping centers and malls, the success of individual shopping centers and malls and the success or failure of other anchor tenants have impacted and may impact our ability in the future to maintain or grow our business, as well as our ability to open new stores, which could have an adverse effect on our financial condition 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results from our credit card operations could be adversely affected by changes in market conditions or laws.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earned under our program agreement with TD are indirectly subject to economic and market conditions that are beyond our control, including, but not limited to, interest rates, consumer credit availability, demand for credit, consumer debt levels, payment patterns, delinquency rates, frequency of fee waivers, frequency or volume of governmental stimulus, personal bankruptcy rates, employment trends, laws and other factors. Additionally, changes in net sales partially translate to program agreement revenues. Changes in economic, market or regulatory conditions, customer behavior or our mix of sales and program agreement revenues could impact our revenues and profitability.</w:t>
      </w:r>
    </w:p>
    <w:p>
      <w:pPr>
        <w:spacing w:after="0" w:line="129"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b w:val="1"/>
          <w:bCs w:val="1"/>
          <w:color w:val="auto"/>
        </w:rPr>
        <w:t>Our business and operations could be materially and adversely affected by severe weather patterns, climate change, natural disasters, widespread pandemics, epidemics, civil unrest and other natural or man-made economic, political or environmental disruptions.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Disruptions, and government responses, could cause, among other things, decreases in consumer spending that could negatively impact our sales, declines in traffic in urban centers, staffing shortages in our Supply Chain Network facilities, stores or corporate offices, interruptions in the flow of merchandise to our stores, disruptions in the operations of our merchandise vendors or property developers, increased costs and a negative impact on our reputation and long-term growth plans, which could vary based on the length and severity of the disruption. We have a significant amount of our total sales, stores and square footage on the west coast of the United States, particularly in California, where we have experienced earthquakes, wildfires and power outages and shortages that increase our exposure to any market-disrupting conditions in this region.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71"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color w:val="auto"/>
        </w:rPr>
        <w:t>We are subject to certain laws, litigation, regulatory matters and ethical standards, and compliance or failure to comply with or adequately address developments as they arise could adversely affect our reputation and operations.</w:t>
      </w:r>
    </w:p>
    <w:p>
      <w:pPr>
        <w:spacing w:after="0" w:line="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policies, procedures and practices and the technology we implement are intended to comply with applicable federal, state, local and foreign laws, tariffs, rules and regulations, as well as responsible business, social and environmental practices, all of which may change from time to time. Our and our vendors’ compliance with these requirements and/or changes to them may cause our business to be adversely impacted, or even limit or restrict the activities of our business. In addition, if we fail to comply with applicable laws and regulations or implement responsible business, social, environmental and supply chain practices, we could be subject to damage to our reputation, class action lawsuits, regulatory investigations, legal and settlement costs, charges and payments, civil and criminal liability, increased cost of regulatory compliance, losing our ability to offer or accept credit and debit card payments from our customers, restatements of our financial statements, disruption of our business and loss of customers. New and emerging privacy and data protection laws may increase compliance expenses and limit business opportunities and strategic initiatives, including customer engagement.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affect our tax assets or liabilities and adversely affect our results of operations. We are also regularly involved in various litigation matters that arise in the ordinary course of business. Litigation or regulatory developments could adversely affect our business and financial condition.</w:t>
      </w:r>
    </w:p>
    <w:p>
      <w:pPr>
        <w:spacing w:after="0" w:line="13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Compliance with Section 404 of the Sarbanes-Oxley Act of 2002 requires management assessments of the effectiveness of our internal controls over financial reporting through documenting, testing, monitoring and enhancement of internal control over financial reporting. If we fail to implement or maintain adequate internal controls, we may not produce reliable financial reports or fail to prevent or detect financial fraud, which may adversely affect our financial position, investor confidence or our stock price.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accounting rules and regulations could affect our financial results or financial condition.</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Accounting principles and related pronouncements, implementation guidelines and interpretations with regard to a wide variety of accounting matters that are relevant to our business, including, but not limited to, revenue recognition, inventory valuation, long-lived asset recoverability and income taxes, are highly complex and involve subjective assumptions, estimates and judgments. Changes in these rules and regulations, changes in our interpretation or our misapplication of the rules or regulations, changes in accounting policies or changes in underlying assumptions, estimates or judgments could adversely affect our financial performance or financial position.</w:t>
      </w:r>
    </w:p>
    <w:p>
      <w:pPr>
        <w:spacing w:after="0" w:line="129"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color w:val="auto"/>
        </w:rPr>
        <w:t>If Nordstrom Canada is unable to make a fair and orderly wind-down of its business operations, or if our existing reserves are not adequate to cover our ultimate liability, our financial condition and results of operations could be adversely affected.</w:t>
      </w:r>
    </w:p>
    <w:p>
      <w:pPr>
        <w:spacing w:after="0" w:line="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March 2, 2023, we announced the decision to discontinue support for Nordstrom Canada’s operations. Accordingly, Nordstrom Canada has commenced a wind-down of its business operations, obtaining an Initial Order from the Ontario Superior Court of Justice under the CCAA on March 2, 2023 to facilitate the wind-down in an orderly fashion. Nordstrom Canada intends to wind down its Nordstrom and Nordstrom Rack stores across Canada, with the help of a third-party liquidator, and its Canadian ecommerce platform. The ecommerce platform ceased operations on March 2, 2023. The in-store wind-down is anticipated to be completed by late June 2023. We expect to incur pre-tax charges of approximately $300 to $350 related to the wind-down in the first quarter of 2023, driven primarily by the write-down of our investment in Nordstrom Canada. Given the early stage of the exit activities, our estimates of losses are based on currently available information and our assessment of the validity of certain claims. These estimates may change as new information becomes available. Our reserves relating to these matters may not be adequate to cover our ultimate liability and amounts beyond our reserves could have a material adverse effect on our financial condition and results of operations. In addition, we may suffer other losses for which we have not established reserves, although we believe that possibility is not probable. If Nordstrom Canada is unable to effectively and efficiently execute the wind-down of business operations, we may incur additional costs and cash outflows.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The COVID-19 global pandemic may continue to have an effect on our business and results of operations.</w:t>
      </w:r>
    </w:p>
    <w:p>
      <w:pPr>
        <w:spacing w:after="0" w:line="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COVID-19 pandemic continues to have unpredictable impacts on workforces, customers, consumer sentiment, economies, financial markets and business practices. The direct effects of COVID-19 and associated consumer and governmental responses have had, and may continue to have, a material adverse impact on global economic conditions and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AND OPERATIONAL</w:t>
      </w:r>
    </w:p>
    <w:p>
      <w:pPr>
        <w:spacing w:after="0" w:line="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as well as our vendors and third-party service providers, may continue to experience operational effects due to supply chain disruptions, labor shortages, social distancing restrictions and the need to adapt to ever-changing government-imposed restrictions, regulatory requirements, operating procedures and protocols. We are unable to accurately predict the full impact COVID-19 will have on our longer-term operations, particularly with respect to our current mix of merchandise offerings, shifts in product and channel preferences, store traffic and digital demand trends, employment relations and corporate culture.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addition, the operations, supply chain and financial condition of many of our vendors may continue to be affected by COVID-19, including difficulty sourcing products and labor or obtaining the financing necessary to manufacture the products they sell to us. As a result, any business disruption may impact our ability to timely acquire the products we sell to our customers. To the extent our vendors may be unable to produce, sell or ship products to us or our customers, our business may be negatively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AND EXTERNAL</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be negatively impacted by any deterioration in economic conditions caused by a resurgence of COVID-19 and the impact of that deterioration on discretionary consumer spending and changes in consumer behavior. We are unable to accurately predict the full impact that COVID-19 will have on the global economy and on our employees, vendors, suppliers and customers going forward due to uncertainties, including the currently unknowable duration and spread of COVID-19, actions taken to limit the spread, the public’s willingness to comply with such actions and the impact of any governmental regulations imposed in response to the pandemic.</w:t>
      </w:r>
    </w:p>
    <w:p>
      <w:pPr>
        <w:spacing w:after="0" w:line="12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 the extent the COVID-19 pandemic and its associated economic challenges adversely affects our business and financial results, it may also have the effect of heightening many of the other risks previously described.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(Square footage amounts in thousands)</w:t>
      </w:r>
    </w:p>
    <w:p>
      <w:pPr>
        <w:spacing w:after="0" w:line="153"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The following table summarizes the Supply Chain Network and retail locations we own or lease and the total square footage by category as of January 28,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Number of locations</w:t>
            </w:r>
          </w:p>
        </w:tc>
        <w:tc>
          <w:tcPr>
            <w:tcW w:w="154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4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Supply Chain Network</w:t>
            </w:r>
          </w:p>
        </w:tc>
        <w:tc>
          <w:tcPr>
            <w:tcW w:w="1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Nordstrom</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Nordstrom Rack</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 square footage</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buildings on leased land</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14,837</w:t>
            </w:r>
          </w:p>
        </w:tc>
      </w:tr>
      <w:tr>
        <w:trPr>
          <w:trHeight w:val="216"/>
        </w:trPr>
        <w:tc>
          <w:tcPr>
            <w:tcW w:w="4200" w:type="dxa"/>
            <w:vAlign w:val="bottom"/>
          </w:tcPr>
          <w:p>
            <w:pPr>
              <w:ind w:left="20"/>
              <w:spacing w:after="0"/>
              <w:rPr>
                <w:sz w:val="20"/>
                <w:szCs w:val="20"/>
                <w:color w:val="auto"/>
              </w:rPr>
            </w:pPr>
            <w:r>
              <w:rPr>
                <w:rFonts w:ascii="Arial" w:cs="Arial" w:eastAsia="Arial" w:hAnsi="Arial"/>
                <w:sz w:val="16"/>
                <w:szCs w:val="16"/>
                <w:color w:val="auto"/>
              </w:rPr>
              <w:t>Owned buildings on leased land</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59"/>
              <w:spacing w:after="0"/>
              <w:rPr>
                <w:sz w:val="20"/>
                <w:szCs w:val="20"/>
                <w:color w:val="auto"/>
              </w:rPr>
            </w:pPr>
            <w:r>
              <w:rPr>
                <w:rFonts w:ascii="Arial" w:cs="Arial" w:eastAsia="Arial" w:hAnsi="Arial"/>
                <w:sz w:val="16"/>
                <w:szCs w:val="16"/>
                <w:color w:val="auto"/>
              </w:rPr>
              <w:t>55</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10,062</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Owned buildings on owned land</w:t>
            </w:r>
          </w:p>
        </w:tc>
        <w:tc>
          <w:tcPr>
            <w:tcW w:w="1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8,250</w:t>
            </w:r>
          </w:p>
        </w:tc>
      </w:tr>
      <w:tr>
        <w:trPr>
          <w:trHeight w:val="216"/>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Partly owned and partly leased</w:t>
            </w:r>
          </w:p>
        </w:tc>
        <w:tc>
          <w:tcPr>
            <w:tcW w:w="1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w:t>
            </w:r>
          </w:p>
        </w:tc>
      </w:tr>
      <w:tr>
        <w:trPr>
          <w:trHeight w:val="21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115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33,693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Supply Chain Network and retail store count and square footage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18"/>
                <w:szCs w:val="18"/>
                <w:color w:val="auto"/>
              </w:rPr>
            </w:pPr>
          </w:p>
        </w:tc>
        <w:tc>
          <w:tcPr>
            <w:tcW w:w="25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Count</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Square footage</w:t>
            </w:r>
          </w:p>
        </w:tc>
        <w:tc>
          <w:tcPr>
            <w:tcW w:w="860" w:type="dxa"/>
            <w:vAlign w:val="bottom"/>
            <w:tcBorders>
              <w:bottom w:val="single" w:sz="8" w:color="auto"/>
            </w:tcBorders>
          </w:tcPr>
          <w:p>
            <w:pPr>
              <w:spacing w:after="0"/>
              <w:rPr>
                <w:sz w:val="18"/>
                <w:szCs w:val="18"/>
                <w:color w:val="auto"/>
              </w:rPr>
            </w:pPr>
          </w:p>
        </w:tc>
      </w:tr>
      <w:tr>
        <w:trPr>
          <w:trHeight w:val="21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56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beginning of year</w:t>
            </w:r>
          </w:p>
        </w:tc>
        <w:tc>
          <w:tcPr>
            <w:tcW w:w="256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367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33,982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34,080</w:t>
            </w:r>
          </w:p>
        </w:tc>
      </w:tr>
      <w:tr>
        <w:trPr>
          <w:trHeight w:val="216"/>
        </w:trPr>
        <w:tc>
          <w:tcPr>
            <w:tcW w:w="4100" w:type="dxa"/>
            <w:vAlign w:val="bottom"/>
          </w:tcPr>
          <w:p>
            <w:pPr>
              <w:ind w:left="20"/>
              <w:spacing w:after="0" w:line="216" w:lineRule="exact"/>
              <w:rPr>
                <w:sz w:val="20"/>
                <w:szCs w:val="20"/>
                <w:color w:val="auto"/>
              </w:rPr>
            </w:pPr>
            <w:r>
              <w:rPr>
                <w:rFonts w:ascii="Arial" w:cs="Arial" w:eastAsia="Arial" w:hAnsi="Arial"/>
                <w:sz w:val="16"/>
                <w:szCs w:val="16"/>
                <w:color w:val="auto"/>
              </w:rPr>
              <w:t>Openings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Nordstrom</w:t>
            </w:r>
          </w:p>
        </w:tc>
        <w:tc>
          <w:tcPr>
            <w:tcW w:w="256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60" w:type="dxa"/>
            <w:vAlign w:val="bottom"/>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100" w:type="dxa"/>
            <w:vAlign w:val="bottom"/>
          </w:tcPr>
          <w:p>
            <w:pPr>
              <w:ind w:left="220"/>
              <w:spacing w:after="0"/>
              <w:rPr>
                <w:sz w:val="20"/>
                <w:szCs w:val="20"/>
                <w:color w:val="auto"/>
              </w:rPr>
            </w:pPr>
            <w:r>
              <w:rPr>
                <w:rFonts w:ascii="Arial" w:cs="Arial" w:eastAsia="Arial" w:hAnsi="Arial"/>
                <w:sz w:val="16"/>
                <w:szCs w:val="16"/>
                <w:color w:val="auto"/>
              </w:rPr>
              <w:t>Nordstrom Rack</w:t>
            </w:r>
          </w:p>
        </w:tc>
        <w:tc>
          <w:tcPr>
            <w:tcW w:w="2560" w:type="dxa"/>
            <w:vAlign w:val="bottom"/>
          </w:tcPr>
          <w:p>
            <w:pPr>
              <w:jc w:val="right"/>
              <w:ind w:right="799"/>
              <w:spacing w:after="0"/>
              <w:rPr>
                <w:sz w:val="20"/>
                <w:szCs w:val="20"/>
                <w:color w:val="auto"/>
              </w:rPr>
            </w:pPr>
            <w:r>
              <w:rPr>
                <w:rFonts w:ascii="Arial" w:cs="Arial" w:eastAsia="Arial" w:hAnsi="Arial"/>
                <w:sz w:val="16"/>
                <w:szCs w:val="16"/>
                <w:b w:val="1"/>
                <w:bCs w:val="1"/>
                <w:color w:val="auto"/>
              </w:rPr>
              <w:t>2</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60" w:type="dxa"/>
            <w:vAlign w:val="bottom"/>
          </w:tcPr>
          <w:p>
            <w:pPr>
              <w:jc w:val="right"/>
              <w:ind w:right="899"/>
              <w:spacing w:after="0"/>
              <w:rPr>
                <w:sz w:val="20"/>
                <w:szCs w:val="20"/>
                <w:color w:val="auto"/>
              </w:rPr>
            </w:pPr>
            <w:r>
              <w:rPr>
                <w:rFonts w:ascii="Arial" w:cs="Arial" w:eastAsia="Arial" w:hAnsi="Arial"/>
                <w:sz w:val="16"/>
                <w:szCs w:val="16"/>
                <w:b w:val="1"/>
                <w:bCs w:val="1"/>
                <w:color w:val="auto"/>
              </w:rPr>
              <w:t>55</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410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Closures</w:t>
            </w:r>
            <w:r>
              <w:rPr>
                <w:rFonts w:ascii="Arial" w:cs="Arial" w:eastAsia="Arial" w:hAnsi="Arial"/>
                <w:sz w:val="21"/>
                <w:szCs w:val="21"/>
                <w:color w:val="auto"/>
                <w:vertAlign w:val="superscript"/>
              </w:rPr>
              <w:t>1</w:t>
            </w:r>
          </w:p>
        </w:tc>
        <w:tc>
          <w:tcPr>
            <w:tcW w:w="25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(344)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end of year</w:t>
            </w:r>
          </w:p>
        </w:tc>
        <w:tc>
          <w:tcPr>
            <w:tcW w:w="2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368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20" w:type="dxa"/>
            <w:vAlign w:val="bottom"/>
          </w:tcPr>
          <w:p>
            <w:pPr>
              <w:spacing w:after="0"/>
              <w:rPr>
                <w:sz w:val="18"/>
                <w:szCs w:val="18"/>
                <w:color w:val="auto"/>
              </w:rPr>
            </w:pPr>
          </w:p>
        </w:tc>
        <w:tc>
          <w:tcPr>
            <w:tcW w:w="26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33,693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33,982</w:t>
            </w:r>
          </w:p>
        </w:tc>
      </w:tr>
    </w:tbl>
    <w:p>
      <w:pPr>
        <w:spacing w:after="0" w:line="57" w:lineRule="exact"/>
        <w:rPr>
          <w:sz w:val="20"/>
          <w:szCs w:val="20"/>
          <w:color w:val="auto"/>
        </w:rPr>
      </w:pPr>
    </w:p>
    <w:p>
      <w:pPr>
        <w:ind w:left="80" w:hanging="72"/>
        <w:spacing w:after="0"/>
        <w:tabs>
          <w:tab w:leader="none" w:pos="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Square footage includes adjustments due to relocations, remodels or changes in lease-term square footage.</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Supply Chain Network and retail store count and square footage by state/province as of January 28,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740" w:type="dxa"/>
            <w:vAlign w:val="bottom"/>
          </w:tcPr>
          <w:p>
            <w:pPr>
              <w:spacing w:after="0"/>
              <w:rPr>
                <w:sz w:val="18"/>
                <w:szCs w:val="18"/>
                <w:color w:val="auto"/>
              </w:rPr>
            </w:pPr>
          </w:p>
        </w:tc>
        <w:tc>
          <w:tcPr>
            <w:tcW w:w="2360" w:type="dxa"/>
            <w:vAlign w:val="bottom"/>
            <w:gridSpan w:val="3"/>
          </w:tcPr>
          <w:p>
            <w:pPr>
              <w:ind w:left="280"/>
              <w:spacing w:after="0"/>
              <w:rPr>
                <w:sz w:val="20"/>
                <w:szCs w:val="20"/>
                <w:color w:val="auto"/>
              </w:rPr>
            </w:pPr>
            <w:r>
              <w:rPr>
                <w:rFonts w:ascii="Arial" w:cs="Arial" w:eastAsia="Arial" w:hAnsi="Arial"/>
                <w:sz w:val="16"/>
                <w:szCs w:val="16"/>
                <w:b w:val="1"/>
                <w:bCs w:val="1"/>
                <w:color w:val="auto"/>
              </w:rPr>
              <w:t>Supply Chain Network</w:t>
            </w:r>
          </w:p>
        </w:tc>
        <w:tc>
          <w:tcPr>
            <w:tcW w:w="2380" w:type="dxa"/>
            <w:vAlign w:val="bottom"/>
            <w:gridSpan w:val="3"/>
          </w:tcPr>
          <w:p>
            <w:pPr>
              <w:ind w:left="720"/>
              <w:spacing w:after="0"/>
              <w:rPr>
                <w:sz w:val="20"/>
                <w:szCs w:val="20"/>
                <w:color w:val="auto"/>
              </w:rPr>
            </w:pPr>
            <w:r>
              <w:rPr>
                <w:rFonts w:ascii="Arial" w:cs="Arial" w:eastAsia="Arial" w:hAnsi="Arial"/>
                <w:sz w:val="16"/>
                <w:szCs w:val="16"/>
                <w:b w:val="1"/>
                <w:bCs w:val="1"/>
                <w:color w:val="auto"/>
              </w:rPr>
              <w:t>Nordstrom</w:t>
            </w:r>
          </w:p>
        </w:tc>
        <w:tc>
          <w:tcPr>
            <w:tcW w:w="2420" w:type="dxa"/>
            <w:vAlign w:val="bottom"/>
            <w:gridSpan w:val="3"/>
          </w:tcPr>
          <w:p>
            <w:pPr>
              <w:ind w:left="520"/>
              <w:spacing w:after="0"/>
              <w:rPr>
                <w:sz w:val="20"/>
                <w:szCs w:val="20"/>
                <w:color w:val="auto"/>
              </w:rPr>
            </w:pPr>
            <w:r>
              <w:rPr>
                <w:rFonts w:ascii="Arial" w:cs="Arial" w:eastAsia="Arial" w:hAnsi="Arial"/>
                <w:sz w:val="16"/>
                <w:szCs w:val="16"/>
                <w:b w:val="1"/>
                <w:bCs w:val="1"/>
                <w:color w:val="auto"/>
              </w:rPr>
              <w:t>Nordstrom Rack</w:t>
            </w:r>
          </w:p>
        </w:tc>
        <w:tc>
          <w:tcPr>
            <w:tcW w:w="860" w:type="dxa"/>
            <w:vAlign w:val="bottom"/>
          </w:tcPr>
          <w:p>
            <w:pPr>
              <w:spacing w:after="0"/>
              <w:rPr>
                <w:sz w:val="18"/>
                <w:szCs w:val="18"/>
                <w:color w:val="auto"/>
              </w:rPr>
            </w:pPr>
          </w:p>
        </w:tc>
        <w:tc>
          <w:tcPr>
            <w:tcW w:w="1420" w:type="dxa"/>
            <w:vAlign w:val="bottom"/>
          </w:tcPr>
          <w:p>
            <w:pPr>
              <w:jc w:val="right"/>
              <w:ind w:right="879"/>
              <w:spacing w:after="0"/>
              <w:rPr>
                <w:sz w:val="20"/>
                <w:szCs w:val="20"/>
                <w:color w:val="auto"/>
              </w:rPr>
            </w:pPr>
            <w:r>
              <w:rPr>
                <w:rFonts w:ascii="Arial" w:cs="Arial" w:eastAsia="Arial" w:hAnsi="Arial"/>
                <w:sz w:val="16"/>
                <w:szCs w:val="16"/>
                <w:b w:val="1"/>
                <w:bCs w:val="1"/>
                <w:color w:val="auto"/>
              </w:rPr>
              <w:t>Total</w:t>
            </w:r>
          </w:p>
        </w:tc>
      </w:tr>
      <w:tr>
        <w:trPr>
          <w:trHeight w:val="209"/>
        </w:trPr>
        <w:tc>
          <w:tcPr>
            <w:tcW w:w="174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Count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c>
          <w:tcPr>
            <w:tcW w:w="10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Count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Count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c>
          <w:tcPr>
            <w:tcW w:w="1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Count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Square Footage</w:t>
            </w:r>
          </w:p>
        </w:tc>
      </w:tr>
      <w:tr>
        <w:trPr>
          <w:trHeight w:val="210"/>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w:t>
            </w: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Alabama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Alaska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Arizona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36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572</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California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8,631</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Colorado</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626</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Connecticut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Delaware</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159</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Florida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1,786</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Georgia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537</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Hawaii</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Idaho</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Illinois</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1,541</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Indiana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194</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Iowa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1,564</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Kansas</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254</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Kentucky</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Louisiana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90</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Maine</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Maryland</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1,273</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Massachusetts</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861</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Michigan</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36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7</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608</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Minnesota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514</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Missouri</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4</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411</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Nevada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New Jersey</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36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12</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1,101</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Mexico</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New York</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36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36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1,232</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North Carolina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374</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Ohio</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549</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773</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Oklahoma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Oregon</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9</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955</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Pennsylvania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1,597</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Rhode Island</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38</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South Carolina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Tennessee</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214</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Texas</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2,026</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Utah</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407</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Virginia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720</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Washington</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1360" w:type="dxa"/>
            <w:vAlign w:val="bottom"/>
          </w:tcPr>
          <w:p>
            <w:pPr>
              <w:jc w:val="right"/>
              <w:spacing w:after="0"/>
              <w:rPr>
                <w:sz w:val="20"/>
                <w:szCs w:val="20"/>
                <w:color w:val="auto"/>
              </w:rPr>
            </w:pPr>
            <w:r>
              <w:rPr>
                <w:rFonts w:ascii="Arial" w:cs="Arial" w:eastAsia="Arial" w:hAnsi="Arial"/>
                <w:sz w:val="16"/>
                <w:szCs w:val="16"/>
                <w:color w:val="auto"/>
              </w:rPr>
              <w:t>1,270</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36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16</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1,653</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Washington D.C.</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Wisconsin</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3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217</w:t>
            </w:r>
          </w:p>
        </w:tc>
      </w:tr>
      <w:tr>
        <w:trPr>
          <w:trHeight w:val="216"/>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Canada</w:t>
            </w:r>
          </w:p>
        </w:tc>
        <w:tc>
          <w:tcPr>
            <w:tcW w:w="9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1740" w:type="dxa"/>
            <w:vAlign w:val="bottom"/>
          </w:tcPr>
          <w:p>
            <w:pPr>
              <w:ind w:left="220"/>
              <w:spacing w:after="0"/>
              <w:rPr>
                <w:sz w:val="20"/>
                <w:szCs w:val="20"/>
                <w:color w:val="auto"/>
              </w:rPr>
            </w:pPr>
            <w:r>
              <w:rPr>
                <w:rFonts w:ascii="Arial" w:cs="Arial" w:eastAsia="Arial" w:hAnsi="Arial"/>
                <w:sz w:val="16"/>
                <w:szCs w:val="16"/>
                <w:color w:val="auto"/>
              </w:rPr>
              <w:t>Alberta</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3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b w:val="1"/>
                <w:bCs w:val="1"/>
                <w:color w:val="auto"/>
              </w:rPr>
              <w:t>3</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208</w:t>
            </w:r>
          </w:p>
        </w:tc>
      </w:tr>
      <w:tr>
        <w:trPr>
          <w:trHeight w:val="216"/>
        </w:trPr>
        <w:tc>
          <w:tcPr>
            <w:tcW w:w="1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British Columbia</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w:t>
            </w:r>
          </w:p>
        </w:tc>
      </w:tr>
      <w:tr>
        <w:trPr>
          <w:trHeight w:val="216"/>
        </w:trPr>
        <w:tc>
          <w:tcPr>
            <w:tcW w:w="1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Ontario</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8</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899</w:t>
            </w:r>
          </w:p>
        </w:tc>
      </w:tr>
      <w:tr>
        <w:trPr>
          <w:trHeight w:val="210"/>
        </w:trPr>
        <w:tc>
          <w:tcPr>
            <w:tcW w:w="1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6,122</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18,931</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243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8,640</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33,693</w:t>
            </w:r>
          </w:p>
        </w:tc>
      </w:tr>
    </w:tbl>
    <w:p>
      <w:pPr>
        <w:spacing w:after="0" w:line="238"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Our headquarters are located in Seattle, Washington, where our offices consist of both leased and owned space. On March 2, 2023, Nordstrom Canada commenced a wind-down of its business operations (see Note 15: Subsequent Events in Item 8 for more information).</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March 10, 2023, we have announced 18 Nordstrom Rack store openings and one Nordstrom Rack store relocation in 2023 and one Nordstrom Rack store opening in 2024.</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16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may include certified classes of litigants, or purport or may be determined to be class or collective actions and seek substantial damages or injunctive relief, or both, and some may remain unresolved for several years. We believe the recorded accruals in our Consolidated Financial Statements are adequate in light of the probable and estimable liabilities.</w:t>
      </w:r>
    </w:p>
    <w:p>
      <w:pPr>
        <w:spacing w:after="0" w:line="1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March 2, 2023, Nordstrom Canada commenced a wind-down of its business operations. Nordstrom Canada entities obtained an Initial Order from the Ontario Superior Court of Justice under the CCAA to facilitate the wind-down in an orderly fashion. See Note 15: Subsequent Events in Item 8 for more information.</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the date of this report, we do not believe any other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ind w:right="120"/>
        <w:spacing w:after="0" w:line="256" w:lineRule="auto"/>
        <w:rPr>
          <w:sz w:val="20"/>
          <w:szCs w:val="20"/>
          <w:color w:val="auto"/>
        </w:rPr>
      </w:pPr>
      <w:r>
        <w:rPr>
          <w:rFonts w:ascii="Arial" w:cs="Arial" w:eastAsia="Arial" w:hAnsi="Arial"/>
          <w:sz w:val="22"/>
          <w:szCs w:val="22"/>
          <w:b w:val="1"/>
          <w:bCs w:val="1"/>
          <w:color w:val="auto"/>
        </w:rPr>
        <w:t>Item 5. Market for Registrant’s Common Equity, Related Shareholder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SHAREHOLDER INFORMATION</w:t>
      </w:r>
    </w:p>
    <w:p>
      <w:pPr>
        <w:spacing w:after="0" w:line="27" w:lineRule="exact"/>
        <w:rPr>
          <w:sz w:val="20"/>
          <w:szCs w:val="20"/>
          <w:color w:val="auto"/>
        </w:rPr>
      </w:pPr>
    </w:p>
    <w:p>
      <w:pPr>
        <w:ind w:right="680"/>
        <w:spacing w:after="0" w:line="266" w:lineRule="auto"/>
        <w:rPr>
          <w:sz w:val="20"/>
          <w:szCs w:val="20"/>
          <w:color w:val="auto"/>
        </w:rPr>
      </w:pPr>
      <w:r>
        <w:rPr>
          <w:rFonts w:ascii="Arial" w:cs="Arial" w:eastAsia="Arial" w:hAnsi="Arial"/>
          <w:sz w:val="18"/>
          <w:szCs w:val="18"/>
          <w:color w:val="auto"/>
        </w:rPr>
        <w:t>Our common stock, without par value, is traded on the NYSE under the symbol “JWN.” The approximate number of record holders of common stock as of March 6, 2023 was 4,532. On this date, we had 160,151,038 shares of common stock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historical dividends declared and paid per share: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color w:val="auto"/>
                <w:vertAlign w:val="superscript"/>
              </w:rPr>
              <w:t>1</w:t>
            </w: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1st Quarter</w:t>
            </w:r>
          </w:p>
        </w:tc>
        <w:tc>
          <w:tcPr>
            <w:tcW w:w="518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$0.19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2nd Quarter</w:t>
            </w:r>
          </w:p>
        </w:tc>
        <w:tc>
          <w:tcPr>
            <w:tcW w:w="5180" w:type="dxa"/>
            <w:vAlign w:val="bottom"/>
          </w:tcPr>
          <w:p>
            <w:pPr>
              <w:jc w:val="right"/>
              <w:ind w:right="639"/>
              <w:spacing w:after="0"/>
              <w:rPr>
                <w:sz w:val="20"/>
                <w:szCs w:val="20"/>
                <w:color w:val="auto"/>
              </w:rPr>
            </w:pPr>
            <w:r>
              <w:rPr>
                <w:rFonts w:ascii="Arial" w:cs="Arial" w:eastAsia="Arial" w:hAnsi="Arial"/>
                <w:sz w:val="16"/>
                <w:szCs w:val="16"/>
                <w:b w:val="1"/>
                <w:bCs w:val="1"/>
                <w:color w:val="auto"/>
              </w:rPr>
              <w:t>0.19</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3rd Quarter</w:t>
            </w:r>
          </w:p>
        </w:tc>
        <w:tc>
          <w:tcPr>
            <w:tcW w:w="518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0.19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4th Quarter</w:t>
            </w:r>
          </w:p>
        </w:tc>
        <w:tc>
          <w:tcPr>
            <w:tcW w:w="51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Full Year</w:t>
            </w:r>
          </w:p>
        </w:tc>
        <w:tc>
          <w:tcPr>
            <w:tcW w:w="51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$0.76</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72" w:lineRule="exact"/>
        <w:rPr>
          <w:sz w:val="20"/>
          <w:szCs w:val="20"/>
          <w:color w:val="auto"/>
        </w:rPr>
      </w:pPr>
    </w:p>
    <w:p>
      <w:pPr>
        <w:ind w:left="80" w:right="420" w:hanging="72"/>
        <w:spacing w:after="0" w:line="305" w:lineRule="auto"/>
        <w:tabs>
          <w:tab w:leader="none" w:pos="91" w:val="left"/>
        </w:tabs>
        <w:numPr>
          <w:ilvl w:val="0"/>
          <w:numId w:val="17"/>
        </w:numPr>
        <w:rPr>
          <w:rFonts w:ascii="Arial" w:cs="Arial" w:eastAsia="Arial" w:hAnsi="Arial"/>
          <w:sz w:val="9"/>
          <w:szCs w:val="9"/>
          <w:color w:val="auto"/>
        </w:rPr>
      </w:pPr>
      <w:r>
        <w:rPr>
          <w:rFonts w:ascii="Arial" w:cs="Arial" w:eastAsia="Arial" w:hAnsi="Arial"/>
          <w:sz w:val="14"/>
          <w:szCs w:val="14"/>
          <w:color w:val="auto"/>
        </w:rPr>
        <w:t>On March 23, 2020, in response to uncertainty from the COVID-19 pandemic, we announced the suspension of our quarterly dividend payments beginning in the second quarter of 2020. Payments were reinstated in the first quarter of 2022.</w:t>
      </w:r>
    </w:p>
    <w:p>
      <w:pPr>
        <w:spacing w:after="0" w:line="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Any future determination to pay cash dividends and the amount of dividends will be at the discretion of the Board of Directors and will be dependent upon our financial condition, operating results, capital requirements, contractual commitments and such other factors as the Board of Directors deems relevant (see Note 10: Shareholders’ Equity in Item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fourth quarter share repurchases: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15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Total Number</w:t>
            </w:r>
          </w:p>
        </w:tc>
        <w:tc>
          <w:tcPr>
            <w:tcW w:w="102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rPr>
              <w:t>Average</w:t>
            </w:r>
          </w:p>
        </w:tc>
        <w:tc>
          <w:tcPr>
            <w:tcW w:w="26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Total Number of Shares</w:t>
            </w:r>
          </w:p>
        </w:tc>
        <w:tc>
          <w:tcPr>
            <w:tcW w:w="2500" w:type="dxa"/>
            <w:vAlign w:val="bottom"/>
          </w:tcPr>
          <w:p>
            <w:pPr>
              <w:jc w:val="right"/>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25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50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of Shares</w:t>
            </w:r>
          </w:p>
        </w:tc>
        <w:tc>
          <w:tcPr>
            <w:tcW w:w="1020" w:type="dxa"/>
            <w:vAlign w:val="bottom"/>
          </w:tcPr>
          <w:p>
            <w:pPr>
              <w:jc w:val="right"/>
              <w:ind w:right="39"/>
              <w:spacing w:after="0" w:line="162" w:lineRule="exact"/>
              <w:rPr>
                <w:sz w:val="20"/>
                <w:szCs w:val="20"/>
                <w:color w:val="auto"/>
              </w:rPr>
            </w:pPr>
            <w:r>
              <w:rPr>
                <w:rFonts w:ascii="Arial" w:cs="Arial" w:eastAsia="Arial" w:hAnsi="Arial"/>
                <w:sz w:val="16"/>
                <w:szCs w:val="16"/>
                <w:b w:val="1"/>
                <w:bCs w:val="1"/>
                <w:color w:val="auto"/>
              </w:rPr>
              <w:t>Price Paid</w:t>
            </w:r>
          </w:p>
        </w:tc>
        <w:tc>
          <w:tcPr>
            <w:tcW w:w="2680" w:type="dxa"/>
            <w:vAlign w:val="bottom"/>
          </w:tcPr>
          <w:p>
            <w:pPr>
              <w:jc w:val="right"/>
              <w:ind w:right="79"/>
              <w:spacing w:after="0" w:line="162" w:lineRule="exact"/>
              <w:rPr>
                <w:sz w:val="20"/>
                <w:szCs w:val="20"/>
                <w:color w:val="auto"/>
              </w:rPr>
            </w:pPr>
            <w:r>
              <w:rPr>
                <w:rFonts w:ascii="Arial" w:cs="Arial" w:eastAsia="Arial" w:hAnsi="Arial"/>
                <w:sz w:val="16"/>
                <w:szCs w:val="16"/>
                <w:b w:val="1"/>
                <w:bCs w:val="1"/>
                <w:color w:val="auto"/>
              </w:rPr>
              <w:t>Purchased as Part of Publicly</w:t>
            </w:r>
          </w:p>
        </w:tc>
        <w:tc>
          <w:tcPr>
            <w:tcW w:w="25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Purchased Under the Plans or</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Purchased</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Per Share</w:t>
            </w:r>
          </w:p>
        </w:tc>
        <w:tc>
          <w:tcPr>
            <w:tcW w:w="2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Announced Plans or Programs</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155"/>
        </w:trPr>
        <w:tc>
          <w:tcPr>
            <w:tcW w:w="35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November 2022</w:t>
            </w:r>
          </w:p>
        </w:tc>
        <w:tc>
          <w:tcPr>
            <w:tcW w:w="15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0.01</w:t>
            </w:r>
          </w:p>
        </w:tc>
        <w:tc>
          <w:tcPr>
            <w:tcW w:w="1020" w:type="dxa"/>
            <w:vAlign w:val="bottom"/>
            <w:vMerge w:val="restart"/>
            <w:shd w:val="clear" w:color="auto" w:fill="CCEEFF"/>
          </w:tcPr>
          <w:p>
            <w:pPr>
              <w:jc w:val="center"/>
              <w:ind w:left="79"/>
              <w:spacing w:after="0"/>
              <w:rPr>
                <w:sz w:val="20"/>
                <w:szCs w:val="20"/>
                <w:color w:val="auto"/>
              </w:rPr>
            </w:pPr>
            <w:r>
              <w:rPr>
                <w:rFonts w:ascii="Arial" w:cs="Arial" w:eastAsia="Arial" w:hAnsi="Arial"/>
                <w:sz w:val="16"/>
                <w:szCs w:val="16"/>
                <w:color w:val="auto"/>
              </w:rPr>
              <w:t>$21.76</w:t>
            </w:r>
          </w:p>
        </w:tc>
        <w:tc>
          <w:tcPr>
            <w:tcW w:w="26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0.01</w:t>
            </w: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30, 2022 to November 26, 2022)</w:t>
            </w:r>
          </w:p>
        </w:tc>
        <w:tc>
          <w:tcPr>
            <w:tcW w:w="15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680" w:type="dxa"/>
            <w:vAlign w:val="bottom"/>
            <w:vMerge w:val="continue"/>
            <w:shd w:val="clear" w:color="auto" w:fill="CCEEFF"/>
          </w:tcPr>
          <w:p>
            <w:pPr>
              <w:spacing w:after="0"/>
              <w:rPr>
                <w:sz w:val="18"/>
                <w:szCs w:val="18"/>
                <w:color w:val="auto"/>
              </w:rPr>
            </w:pPr>
          </w:p>
        </w:tc>
        <w:tc>
          <w:tcPr>
            <w:tcW w:w="2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line="162" w:lineRule="exact"/>
              <w:rPr>
                <w:sz w:val="20"/>
                <w:szCs w:val="20"/>
                <w:color w:val="auto"/>
              </w:rPr>
            </w:pPr>
            <w:r>
              <w:rPr>
                <w:rFonts w:ascii="Arial" w:cs="Arial" w:eastAsia="Arial" w:hAnsi="Arial"/>
                <w:sz w:val="16"/>
                <w:szCs w:val="16"/>
                <w:color w:val="auto"/>
              </w:rPr>
              <w:t>December 2022</w:t>
            </w:r>
          </w:p>
        </w:tc>
        <w:tc>
          <w:tcPr>
            <w:tcW w:w="1500" w:type="dxa"/>
            <w:vAlign w:val="bottom"/>
            <w:vMerge w:val="restart"/>
          </w:tcPr>
          <w:p>
            <w:pPr>
              <w:jc w:val="right"/>
              <w:ind w:right="99"/>
              <w:spacing w:after="0"/>
              <w:rPr>
                <w:sz w:val="20"/>
                <w:szCs w:val="20"/>
                <w:color w:val="auto"/>
              </w:rPr>
            </w:pPr>
            <w:r>
              <w:rPr>
                <w:rFonts w:ascii="Arial" w:cs="Arial" w:eastAsia="Arial" w:hAnsi="Arial"/>
                <w:sz w:val="16"/>
                <w:szCs w:val="16"/>
                <w:color w:val="auto"/>
              </w:rPr>
              <w:t>0.3</w:t>
            </w:r>
          </w:p>
        </w:tc>
        <w:tc>
          <w:tcPr>
            <w:tcW w:w="1020" w:type="dxa"/>
            <w:vAlign w:val="bottom"/>
            <w:vMerge w:val="restart"/>
          </w:tcPr>
          <w:p>
            <w:pPr>
              <w:jc w:val="center"/>
              <w:ind w:left="79"/>
              <w:spacing w:after="0"/>
              <w:rPr>
                <w:sz w:val="20"/>
                <w:szCs w:val="20"/>
                <w:color w:val="auto"/>
              </w:rPr>
            </w:pPr>
            <w:r>
              <w:rPr>
                <w:rFonts w:ascii="Arial" w:cs="Arial" w:eastAsia="Arial" w:hAnsi="Arial"/>
                <w:sz w:val="16"/>
                <w:szCs w:val="16"/>
                <w:color w:val="auto"/>
              </w:rPr>
              <w:t>$17.80</w:t>
            </w:r>
          </w:p>
        </w:tc>
        <w:tc>
          <w:tcPr>
            <w:tcW w:w="2680" w:type="dxa"/>
            <w:vAlign w:val="bottom"/>
            <w:vMerge w:val="restart"/>
          </w:tcPr>
          <w:p>
            <w:pPr>
              <w:jc w:val="right"/>
              <w:ind w:right="139"/>
              <w:spacing w:after="0"/>
              <w:rPr>
                <w:sz w:val="20"/>
                <w:szCs w:val="20"/>
                <w:color w:val="auto"/>
              </w:rPr>
            </w:pPr>
            <w:r>
              <w:rPr>
                <w:rFonts w:ascii="Arial" w:cs="Arial" w:eastAsia="Arial" w:hAnsi="Arial"/>
                <w:sz w:val="16"/>
                <w:szCs w:val="16"/>
                <w:color w:val="auto"/>
              </w:rPr>
              <w:t>0.3</w:t>
            </w:r>
          </w:p>
        </w:tc>
        <w:tc>
          <w:tcPr>
            <w:tcW w:w="2500" w:type="dxa"/>
            <w:vAlign w:val="bottom"/>
            <w:vMerge w:val="restart"/>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(November 27, 2022 to December 31, 2022)</w:t>
            </w:r>
          </w:p>
        </w:tc>
        <w:tc>
          <w:tcPr>
            <w:tcW w:w="150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8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January 2023</w:t>
            </w:r>
          </w:p>
        </w:tc>
        <w:tc>
          <w:tcPr>
            <w:tcW w:w="15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1020" w:type="dxa"/>
            <w:vAlign w:val="bottom"/>
            <w:vMerge w:val="restart"/>
            <w:shd w:val="clear" w:color="auto" w:fill="CCEEFF"/>
          </w:tcPr>
          <w:p>
            <w:pPr>
              <w:jc w:val="center"/>
              <w:ind w:left="79"/>
              <w:spacing w:after="0"/>
              <w:rPr>
                <w:sz w:val="20"/>
                <w:szCs w:val="20"/>
                <w:color w:val="auto"/>
              </w:rPr>
            </w:pPr>
            <w:r>
              <w:rPr>
                <w:rFonts w:ascii="Arial" w:cs="Arial" w:eastAsia="Arial" w:hAnsi="Arial"/>
                <w:sz w:val="16"/>
                <w:szCs w:val="16"/>
                <w:color w:val="auto"/>
              </w:rPr>
              <w:t>$17.35</w:t>
            </w:r>
          </w:p>
        </w:tc>
        <w:tc>
          <w:tcPr>
            <w:tcW w:w="26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(January 1, 2023 to January 28, 2023)</w:t>
            </w: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2680" w:type="dxa"/>
            <w:vAlign w:val="bottom"/>
            <w:tcBorders>
              <w:bottom w:val="single" w:sz="8" w:color="auto"/>
            </w:tcBorders>
            <w:vMerge w:val="continue"/>
            <w:shd w:val="clear" w:color="auto" w:fill="CCEEFF"/>
          </w:tcPr>
          <w:p>
            <w:pPr>
              <w:spacing w:after="0"/>
              <w:rPr>
                <w:sz w:val="18"/>
                <w:szCs w:val="18"/>
                <w:color w:val="auto"/>
              </w:rPr>
            </w:pPr>
          </w:p>
        </w:tc>
        <w:tc>
          <w:tcPr>
            <w:tcW w:w="2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0.5</w:t>
            </w:r>
          </w:p>
        </w:tc>
        <w:tc>
          <w:tcPr>
            <w:tcW w:w="10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$17.72</w:t>
            </w:r>
          </w:p>
        </w:tc>
        <w:tc>
          <w:tcPr>
            <w:tcW w:w="2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0.5</w:t>
            </w:r>
          </w:p>
        </w:tc>
        <w:tc>
          <w:tcPr>
            <w:tcW w:w="2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See Note 10: Shareholders’ Equity in Item 8 for more information about our August 2018 and May 2022 share repurchase programs. The actual timing, price, manner and amounts of future share repurchases, if any, will be subject to the discretion of the Board of Directors, contractual commitments, market and economic conditions and applicable SEC rules.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The following graph compares the cumulative total return of Nordstrom common stock, Standard &amp; Poor’s Retail Index (“S&amp;P Retail”), Standard &amp; Poor’s 500 Index (“S&amp;P 500”) and Nordstrom’s peer group for each of the last five fiscal years ended January 28, 2023. The Retail Index is composed of 21 retail companies representing an industry group of the S&amp;P 500. Our peer group is consistent with the retail peer group that we include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our Proxy Statement for our 2023 Annual Meeting of Shareholders and is weighted by the market capitalization of each component. The following graph assumes an initial investment of $100 each in Nordstrom common stock, S&amp;P Retail, S&amp;P 500 and Nordstrom’s peer group on February 3, 2018 and assumes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-8890</wp:posOffset>
            </wp:positionV>
            <wp:extent cx="5846445" cy="4843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6445" cy="4843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End of fiscal year</w:t>
            </w:r>
            <w:r>
              <w:rPr>
                <w:rFonts w:ascii="Arial" w:cs="Arial" w:eastAsia="Arial" w:hAnsi="Arial"/>
                <w:sz w:val="21"/>
                <w:szCs w:val="21"/>
                <w:color w:val="auto"/>
                <w:vertAlign w:val="superscript"/>
              </w:rPr>
              <w:t>1</w:t>
            </w:r>
          </w:p>
        </w:tc>
        <w:tc>
          <w:tcPr>
            <w:tcW w:w="1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r>
      <w:tr>
        <w:trPr>
          <w:trHeight w:val="21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common stock</w:t>
            </w:r>
          </w:p>
        </w:tc>
        <w:tc>
          <w:tcPr>
            <w:tcW w:w="18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$97</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$83</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$81</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r>
      <w:tr>
        <w:trPr>
          <w:trHeight w:val="216"/>
        </w:trPr>
        <w:tc>
          <w:tcPr>
            <w:tcW w:w="2880" w:type="dxa"/>
            <w:vAlign w:val="bottom"/>
          </w:tcPr>
          <w:p>
            <w:pPr>
              <w:ind w:left="20"/>
              <w:spacing w:after="0"/>
              <w:rPr>
                <w:sz w:val="20"/>
                <w:szCs w:val="20"/>
                <w:color w:val="auto"/>
              </w:rPr>
            </w:pPr>
            <w:r>
              <w:rPr>
                <w:rFonts w:ascii="Arial" w:cs="Arial" w:eastAsia="Arial" w:hAnsi="Arial"/>
                <w:sz w:val="16"/>
                <w:szCs w:val="16"/>
                <w:color w:val="auto"/>
              </w:rPr>
              <w:t>S&amp;P Retail</w:t>
            </w:r>
          </w:p>
        </w:tc>
        <w:tc>
          <w:tcPr>
            <w:tcW w:w="1880" w:type="dxa"/>
            <w:vAlign w:val="bottom"/>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$108</w:t>
            </w: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$129</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$183</w:t>
            </w: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$189</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$152</w:t>
            </w: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500</w:t>
            </w:r>
          </w:p>
        </w:tc>
        <w:tc>
          <w:tcPr>
            <w:tcW w:w="18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$100</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$121</w:t>
            </w:r>
          </w:p>
        </w:tc>
        <w:tc>
          <w:tcPr>
            <w:tcW w:w="13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$141</w:t>
            </w:r>
          </w:p>
        </w:tc>
        <w:tc>
          <w:tcPr>
            <w:tcW w:w="14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$168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r>
      <w:tr>
        <w:trPr>
          <w:trHeight w:val="21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Nordstrom’s peer group</w:t>
            </w:r>
          </w:p>
        </w:tc>
        <w:tc>
          <w:tcPr>
            <w:tcW w:w="1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$100</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$116</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$121</w:t>
            </w: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$136</w:t>
            </w: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$146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w:t>
            </w:r>
          </w:p>
        </w:tc>
      </w:tr>
    </w:tbl>
    <w:p>
      <w:pPr>
        <w:spacing w:after="0" w:line="72" w:lineRule="exact"/>
        <w:rPr>
          <w:sz w:val="20"/>
          <w:szCs w:val="20"/>
          <w:color w:val="auto"/>
        </w:rPr>
      </w:pPr>
    </w:p>
    <w:p>
      <w:pPr>
        <w:ind w:left="100" w:hanging="92"/>
        <w:spacing w:after="0"/>
        <w:tabs>
          <w:tab w:leader="none" w:pos="100" w:val="left"/>
        </w:tabs>
        <w:numPr>
          <w:ilvl w:val="0"/>
          <w:numId w:val="18"/>
        </w:numPr>
        <w:rPr>
          <w:rFonts w:ascii="Arial" w:cs="Arial" w:eastAsia="Arial" w:hAnsi="Arial"/>
          <w:sz w:val="9"/>
          <w:szCs w:val="9"/>
          <w:color w:val="auto"/>
        </w:rPr>
      </w:pPr>
      <w:r>
        <w:rPr>
          <w:rFonts w:ascii="Arial" w:cs="Arial" w:eastAsia="Arial" w:hAnsi="Arial"/>
          <w:sz w:val="14"/>
          <w:szCs w:val="14"/>
          <w:color w:val="auto"/>
        </w:rPr>
        <w:t>Dollar amounts are in ones.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[Reserved]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 and where noted otherwise)</w:t>
      </w:r>
    </w:p>
    <w:p>
      <w:pPr>
        <w:spacing w:after="0" w:line="15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 xml:space="preserve">The following MD&amp;A provides a narrative of our financial performance and is intended to promote understanding of our results of operations and financial condition. MD&amp;A is provided as a supplement to, and should be read in conjunction with, </w:t>
      </w:r>
      <w:r>
        <w:rPr>
          <w:rFonts w:ascii="Arial" w:cs="Arial" w:eastAsia="Arial" w:hAnsi="Arial"/>
          <w:sz w:val="18"/>
          <w:szCs w:val="18"/>
          <w:u w:val="single" w:color="auto"/>
          <w:color w:val="0000FF"/>
        </w:rPr>
        <w:t>Item 8: Financial Statements and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Supplementary Data</w:t>
      </w:r>
      <w:r>
        <w:rPr>
          <w:rFonts w:ascii="Arial" w:cs="Arial" w:eastAsia="Arial" w:hAnsi="Arial"/>
          <w:sz w:val="18"/>
          <w:szCs w:val="18"/>
          <w:color w:val="0000FF"/>
        </w:rPr>
        <w:t xml:space="preserve"> </w:t>
      </w:r>
      <w:r>
        <w:rPr>
          <w:rFonts w:ascii="Arial" w:cs="Arial" w:eastAsia="Arial" w:hAnsi="Arial"/>
          <w:sz w:val="18"/>
          <w:szCs w:val="18"/>
          <w:color w:val="000000"/>
        </w:rPr>
        <w:t>and generally discusses the results of operations for fiscal year 2022 compared with 2021. For our comparison and</w:t>
      </w:r>
    </w:p>
    <w:p>
      <w:pPr>
        <w:spacing w:after="0" w:line="2" w:lineRule="exact"/>
        <w:rPr>
          <w:sz w:val="20"/>
          <w:szCs w:val="20"/>
          <w:color w:val="auto"/>
        </w:rPr>
      </w:pPr>
    </w:p>
    <w:p>
      <w:pPr>
        <w:ind w:right="1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discussion of 2021 and 2020, see Item 7: Management’s Discussion and Analysis of Financial Condition and Results of Operations in Part II of our </w:t>
      </w:r>
      <w:hyperlink r:id="rId34">
        <w:r>
          <w:rPr>
            <w:rFonts w:ascii="Arial" w:cs="Arial" w:eastAsia="Arial" w:hAnsi="Arial"/>
            <w:sz w:val="18"/>
            <w:szCs w:val="18"/>
            <w:u w:val="single" w:color="auto"/>
            <w:color w:val="0000FF"/>
          </w:rPr>
          <w:t>2021 Annual Report</w:t>
        </w:r>
      </w:hyperlink>
      <w:r>
        <w:rPr>
          <w:rFonts w:ascii="Arial" w:cs="Arial" w:eastAsia="Arial" w:hAnsi="Arial"/>
          <w:sz w:val="18"/>
          <w:szCs w:val="18"/>
          <w:color w:val="auto"/>
        </w:rPr>
        <w:t xml:space="preserve">. For our discussion of market risk information for 2021, see Item 7A: Quantitative and Qualitative Disclosures About Market Risk in Part II of our </w:t>
      </w:r>
      <w:hyperlink r:id="rId34">
        <w:r>
          <w:rPr>
            <w:rFonts w:ascii="Arial" w:cs="Arial" w:eastAsia="Arial" w:hAnsi="Arial"/>
            <w:sz w:val="18"/>
            <w:szCs w:val="18"/>
            <w:u w:val="single" w:color="auto"/>
            <w:color w:val="0000FF"/>
          </w:rPr>
          <w:t>2021 Annual Report</w:t>
        </w:r>
      </w:hyperlink>
      <w:r>
        <w:rPr>
          <w:rFonts w:ascii="Arial" w:cs="Arial" w:eastAsia="Arial" w:hAnsi="Arial"/>
          <w:sz w:val="18"/>
          <w:szCs w:val="18"/>
          <w:color w:val="auto"/>
        </w:rPr>
        <w:t xml:space="preserve">. The following discussion and analysis contains forward-looking statements and should also be read in conjunction with </w:t>
      </w:r>
      <w:r>
        <w:rPr>
          <w:rFonts w:ascii="Arial" w:cs="Arial" w:eastAsia="Arial" w:hAnsi="Arial"/>
          <w:sz w:val="18"/>
          <w:szCs w:val="18"/>
          <w:u w:val="single" w:color="auto"/>
          <w:color w:val="0000FF"/>
        </w:rPr>
        <w:t>Item 1A: Risk Factors</w:t>
      </w:r>
      <w:r>
        <w:rPr>
          <w:rFonts w:ascii="Arial" w:cs="Arial" w:eastAsia="Arial" w:hAnsi="Arial"/>
          <w:sz w:val="18"/>
          <w:szCs w:val="18"/>
          <w:color w:val="auto"/>
        </w:rPr>
        <w:t xml:space="preserve"> in Part I as well as other cautionary statements and risks described elsewhere in this 2022 Annual Report, before deciding to purchase, hold or sell shares of our common stock.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Overview</w:t>
            </w:r>
          </w:p>
        </w:tc>
        <w:tc>
          <w:tcPr>
            <w:tcW w:w="2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Results of Operations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27</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Liquidity</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32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Capital Resources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35</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Critical Accounting Estimates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36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Recent Accounting Pronouncements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38</w:t>
            </w:r>
          </w:p>
        </w:tc>
        <w:tc>
          <w:tcPr>
            <w:tcW w:w="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2022, we delivered a 5% increase in total Company net sales despite challenging macroeconomic conditions. For the year, net earnings were $245 and $1.51 per diluted share. Excluding a gain on the sale of our interest in a corporate office building, Trunk Club wind-down costs and a supply chain technology and related asset impairment charge, adjusted EBIT was $502</w:t>
      </w:r>
      <w:r>
        <w:rPr>
          <w:rFonts w:ascii="Arial" w:cs="Arial" w:eastAsia="Arial" w:hAnsi="Arial"/>
          <w:sz w:val="23"/>
          <w:szCs w:val="23"/>
          <w:color w:val="auto"/>
          <w:vertAlign w:val="superscript"/>
        </w:rPr>
        <w:t>1</w:t>
      </w:r>
      <w:r>
        <w:rPr>
          <w:rFonts w:ascii="Arial" w:cs="Arial" w:eastAsia="Arial" w:hAnsi="Arial"/>
          <w:sz w:val="18"/>
          <w:szCs w:val="18"/>
          <w:color w:val="auto"/>
        </w:rPr>
        <w:t>, Adjusted EBIT margin was 3.3%</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adjusted EPS was $1.69</w:t>
      </w:r>
      <w:r>
        <w:rPr>
          <w:rFonts w:ascii="Arial" w:cs="Arial" w:eastAsia="Arial" w:hAnsi="Arial"/>
          <w:sz w:val="23"/>
          <w:szCs w:val="23"/>
          <w:color w:val="auto"/>
          <w:vertAlign w:val="superscript"/>
        </w:rPr>
        <w:t>1</w:t>
      </w:r>
      <w:r>
        <w:rPr>
          <w:rFonts w:ascii="Arial" w:cs="Arial" w:eastAsia="Arial" w:hAnsi="Arial"/>
          <w:sz w:val="18"/>
          <w:szCs w:val="18"/>
          <w:color w:val="auto"/>
        </w:rPr>
        <w:t>. Customer demand decelerated beginning in late June and this trend continued through the holiday season, and while these pressures impacted all customer segments, they were more pronounced in customers with lower income profiles. We took action to navigate the macroeconomic uncertainty and position our business for success. This included managing expenses to align with sales expectations, optimizing product mix and clearing through excess inventory. While this strategy required more markdowns than we had initially planned in 2022, we exited the year with inventory levels down 15% and are positioned for greater agility amidst continuing macroeconomic uncertainty.</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we navigate this ever-shifting landscape, we remain committed to our long-term strategic and financial goals. We also continue building capabilities to better serve customers and deliver increased profitability, with a focus on improving Nordstrom Rack performance, winning in our most important markets and leveraging our digital capabilities. We have a loyal customer base and acquired approximately 10 million new customers and 2.5 million new Nordy Club members in 2022. In 2023, we will build on these successes through three priorities: improving Nordstrom Rack performance, increasing our inventory productivity and optimizing our supply chain.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Nordstrom Rack – </w:t>
      </w:r>
      <w:r>
        <w:rPr>
          <w:rFonts w:ascii="Arial" w:cs="Arial" w:eastAsia="Arial" w:hAnsi="Arial"/>
          <w:sz w:val="18"/>
          <w:szCs w:val="18"/>
          <w:color w:val="auto"/>
        </w:rPr>
        <w:t>We are committed to delivering profitable growth while improving the customer experience through three key initiatives.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First is our continued focus on increasing our supply of premium brands at Nordstrom Rack. We cleared out older and unproductive inventory in the fourth quarter, which gives us greater flexibility to improve our merchandise assortment as we enter 2023. We are prioritizing 100 nationally recognized strategic brands that help us drive sales and grow market share. We are dedicated to having great brands at great prices at each of our locations, and these brands are a differentiator for the Rack as many are not widely available in the off-price space. These brands accounted for half of Rack sales in 2022 and they make up 60% of our on-order for the first half of 2023. By increasing our inventory turnover at the Rack, we can increase the flow of these great brands, give customers newness each time they visit and increase customer engagement.</w:t>
      </w:r>
    </w:p>
    <w:p>
      <w:pPr>
        <w:spacing w:after="0" w:line="12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Second is expanding our reach and convenience for customers through opening new Rack stores. Rack stores are our largest source of new customer acquisition and we have an opportunity to attract more customers and drive profitable growth through a proven model. We opened two new Rack stores in 2022 and have announced plans to open 20 more.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Finally, we aim to drive greater engagement and higher profitability at NordstromRack.com. Our digital capabilities are unique in the off-price space, and we see opportunities to leverage our digital assets to increase engagement with Rack customers. We also continue to optimize our operational model to drive improved profitability. In the third quarter of 2022, we reduced Rack store-based order fulfillment and raised the minimum order amount to receive free ship-to-store delivery on NordstromRack.com. These actions reduced order cancellations, simplified Rack operations and improved profitability, but negatively impacted topline growth at the Rack.</w:t>
      </w:r>
    </w:p>
    <w:p>
      <w:pPr>
        <w:spacing w:after="0" w:line="12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Inventory Productivity – </w:t>
      </w:r>
      <w:r>
        <w:rPr>
          <w:rFonts w:ascii="Arial" w:cs="Arial" w:eastAsia="Arial" w:hAnsi="Arial"/>
          <w:sz w:val="18"/>
          <w:szCs w:val="18"/>
          <w:color w:val="auto"/>
        </w:rPr>
        <w:t>Better inventory discipline across our operations provides customers with relevant and new assortments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world’s best brands. Supply chain disruptions and volatility over the past three years had a significant impact on our inventory management and outcomes. As supply chains have stabilized, we have a significant opportunity to improve our earnings and returns on invested capital through increased productivity from our merchandise inventory, which is our largest annual investment.</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Supply Chain Optimization – </w:t>
      </w:r>
      <w:r>
        <w:rPr>
          <w:rFonts w:ascii="Arial" w:cs="Arial" w:eastAsia="Arial" w:hAnsi="Arial"/>
          <w:sz w:val="18"/>
          <w:szCs w:val="18"/>
          <w:color w:val="auto"/>
        </w:rPr>
        <w:t>We made significant progress on our supply chain initiatives in 2022, which drove improvement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experience and profitability despite ongoing cost pressures. We made progress on optimizing unit flow, improved productivity in our distribution and fulfillment centers and increased delivery speed. In 2023, we expect to see further benefits from these and additional supply chain optimization actions.</w:t>
      </w:r>
    </w:p>
    <w:p>
      <w:pPr>
        <w:spacing w:after="0" w:line="1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Although there is continued macroeconomic uncertainty heading into 2023, our priorities, along with the capabilities we have built with our Closer to You strategy and digital assets, prepare us to manage short-term pressures. With our strong balance sheet and cash position, we also have the flexibility to respond to shifting demand. We are navigating short-term headwinds, while also continuing to build capabilities to better serve our customers, drive profitable growth and increase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14" w:lineRule="exact"/>
        <w:rPr>
          <w:sz w:val="20"/>
          <w:szCs w:val="20"/>
          <w:color w:val="auto"/>
        </w:rPr>
      </w:pPr>
    </w:p>
    <w:p>
      <w:pPr>
        <w:ind w:right="440" w:firstLine="8"/>
        <w:spacing w:after="0" w:line="222" w:lineRule="auto"/>
        <w:tabs>
          <w:tab w:leader="none" w:pos="92"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Adjusted EBIT, Adjusted EBIT margin and Adjusted EPS are non-GAAP financial measures. For a reconciliation between GAAP and non-GAAP financial measures, see Adjusted EBIT, Adjusted EBITDA, Adjusted EBIT margin and Adjusted EPS (Non-GAAP financial measures) below.</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our ongoing effort to enhance the customer experience, we are focused on providing a seamless retail experience across our Company. We invested early in integrating our operations, merchandising and technology across our stores and online in both our Nordstrom and Nordstrom Rack banners. By connecting our digital and physical assets across Nordstrom and Nordstrom Rack, we are able to better serve customers when, where and how they want to shop. We have one Retail reportable segment and analyze our results on a total company basis, using customer, market share, operational and net sales metrics.</w:t>
      </w:r>
    </w:p>
    <w:p>
      <w:pPr>
        <w:spacing w:after="0" w:line="129"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We monitor a number of key operating metrics to evaluate our Company’s performance. In addition to net sales, net earnings (loss) and other results under GAAP, two other key operating metrics we use are GMV and inventory turnover rate.</w:t>
      </w:r>
    </w:p>
    <w:p>
      <w:pPr>
        <w:spacing w:after="0" w:line="1" w:lineRule="exact"/>
        <w:rPr>
          <w:sz w:val="20"/>
          <w:szCs w:val="20"/>
          <w:color w:val="auto"/>
        </w:rPr>
      </w:pPr>
    </w:p>
    <w:p>
      <w:pPr>
        <w:ind w:left="660" w:right="340" w:hanging="328"/>
        <w:spacing w:after="0" w:line="268" w:lineRule="auto"/>
        <w:tabs>
          <w:tab w:leader="none" w:pos="669"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GMV: </w:t>
      </w:r>
      <w:r>
        <w:rPr>
          <w:rFonts w:ascii="Arial" w:cs="Arial" w:eastAsia="Arial" w:hAnsi="Arial"/>
          <w:sz w:val="18"/>
          <w:szCs w:val="18"/>
          <w:color w:val="auto"/>
        </w:rPr>
        <w:t>calculated as the total dollar value of items sold through our digital platforms and stores. GMV includes net sales from</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we own, as well as the retail value of merchandise sold under our unowned inventory models with our vendors. We use GMV as an indicator of the scale and growth of our operations and the impact of our unowned inventory models.</w:t>
      </w:r>
    </w:p>
    <w:p>
      <w:pPr>
        <w:spacing w:after="0" w:line="8" w:lineRule="exact"/>
        <w:rPr>
          <w:rFonts w:ascii="Arial" w:cs="Arial" w:eastAsia="Arial" w:hAnsi="Arial"/>
          <w:sz w:val="18"/>
          <w:szCs w:val="18"/>
          <w:i w:val="1"/>
          <w:iCs w:val="1"/>
          <w:color w:val="auto"/>
        </w:rPr>
      </w:pPr>
    </w:p>
    <w:p>
      <w:pPr>
        <w:ind w:left="660" w:right="360" w:hanging="328"/>
        <w:spacing w:after="0" w:line="268"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Inventory Turnover Rate: </w:t>
      </w:r>
      <w:r>
        <w:rPr>
          <w:rFonts w:ascii="Arial" w:cs="Arial" w:eastAsia="Arial" w:hAnsi="Arial"/>
          <w:sz w:val="18"/>
          <w:szCs w:val="18"/>
          <w:color w:val="auto"/>
        </w:rPr>
        <w:t>calculated as the trailing 4-quarter cost of sales and related buying and occupancy costs divided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trailing 4-quarter average inventory. Inventory turnover rate is an indicator of our success in optimizing inventory volumes in accordance with customer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9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49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$10,279</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$9,640</w:t>
            </w:r>
          </w:p>
        </w:tc>
      </w:tr>
      <w:tr>
        <w:trPr>
          <w:trHeight w:val="21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49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4,813</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4,762</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492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$15,092</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$14,402</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 increase:</w:t>
            </w:r>
          </w:p>
        </w:tc>
        <w:tc>
          <w:tcPr>
            <w:tcW w:w="4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6"/>
                <w:szCs w:val="16"/>
                <w:color w:val="auto"/>
              </w:rPr>
              <w:t>Nordstrom</w:t>
            </w:r>
          </w:p>
        </w:tc>
        <w:tc>
          <w:tcPr>
            <w:tcW w:w="4260" w:type="dxa"/>
            <w:vAlign w:val="bottom"/>
          </w:tcPr>
          <w:p>
            <w:pPr>
              <w:jc w:val="right"/>
              <w:ind w:right="659"/>
              <w:spacing w:after="0"/>
              <w:rPr>
                <w:sz w:val="20"/>
                <w:szCs w:val="20"/>
                <w:color w:val="auto"/>
              </w:rPr>
            </w:pPr>
            <w:r>
              <w:rPr>
                <w:rFonts w:ascii="Arial" w:cs="Arial" w:eastAsia="Arial" w:hAnsi="Arial"/>
                <w:sz w:val="16"/>
                <w:szCs w:val="16"/>
                <w:b w:val="1"/>
                <w:bCs w:val="1"/>
                <w:color w:val="auto"/>
              </w:rPr>
              <w:t>6.6 %</w:t>
            </w:r>
          </w:p>
        </w:tc>
        <w:tc>
          <w:tcPr>
            <w:tcW w:w="1200" w:type="dxa"/>
            <w:vAlign w:val="bottom"/>
          </w:tcPr>
          <w:p>
            <w:pPr>
              <w:jc w:val="right"/>
              <w:spacing w:after="0"/>
              <w:rPr>
                <w:sz w:val="20"/>
                <w:szCs w:val="20"/>
                <w:color w:val="auto"/>
              </w:rPr>
            </w:pPr>
            <w:r>
              <w:rPr>
                <w:rFonts w:ascii="Arial" w:cs="Arial" w:eastAsia="Arial" w:hAnsi="Arial"/>
                <w:sz w:val="16"/>
                <w:szCs w:val="16"/>
                <w:color w:val="auto"/>
              </w:rPr>
              <w:t>37.8 %</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Rack</w:t>
            </w:r>
          </w:p>
        </w:tc>
        <w:tc>
          <w:tcPr>
            <w:tcW w:w="426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r>
      <w:tr>
        <w:trPr>
          <w:trHeight w:val="216"/>
        </w:trPr>
        <w:tc>
          <w:tcPr>
            <w:tcW w:w="5780" w:type="dxa"/>
            <w:vAlign w:val="bottom"/>
          </w:tcPr>
          <w:p>
            <w:pPr>
              <w:ind w:left="20"/>
              <w:spacing w:after="0"/>
              <w:rPr>
                <w:sz w:val="20"/>
                <w:szCs w:val="20"/>
                <w:color w:val="auto"/>
              </w:rPr>
            </w:pPr>
            <w:r>
              <w:rPr>
                <w:rFonts w:ascii="Arial" w:cs="Arial" w:eastAsia="Arial" w:hAnsi="Arial"/>
                <w:sz w:val="16"/>
                <w:szCs w:val="16"/>
                <w:color w:val="auto"/>
              </w:rPr>
              <w:t>Total Company</w:t>
            </w:r>
          </w:p>
        </w:tc>
        <w:tc>
          <w:tcPr>
            <w:tcW w:w="4260" w:type="dxa"/>
            <w:vAlign w:val="bottom"/>
          </w:tcPr>
          <w:p>
            <w:pPr>
              <w:jc w:val="right"/>
              <w:ind w:right="659"/>
              <w:spacing w:after="0"/>
              <w:rPr>
                <w:sz w:val="20"/>
                <w:szCs w:val="20"/>
                <w:color w:val="auto"/>
              </w:rPr>
            </w:pPr>
            <w:r>
              <w:rPr>
                <w:rFonts w:ascii="Arial" w:cs="Arial" w:eastAsia="Arial" w:hAnsi="Arial"/>
                <w:sz w:val="16"/>
                <w:szCs w:val="16"/>
                <w:b w:val="1"/>
                <w:bCs w:val="1"/>
                <w:color w:val="auto"/>
              </w:rPr>
              <w:t>4.8 %</w:t>
            </w:r>
          </w:p>
        </w:tc>
        <w:tc>
          <w:tcPr>
            <w:tcW w:w="1200" w:type="dxa"/>
            <w:vAlign w:val="bottom"/>
          </w:tcPr>
          <w:p>
            <w:pPr>
              <w:jc w:val="right"/>
              <w:spacing w:after="0"/>
              <w:rPr>
                <w:sz w:val="20"/>
                <w:szCs w:val="20"/>
                <w:color w:val="auto"/>
              </w:rPr>
            </w:pPr>
            <w:r>
              <w:rPr>
                <w:rFonts w:ascii="Arial" w:cs="Arial" w:eastAsia="Arial" w:hAnsi="Arial"/>
                <w:sz w:val="16"/>
                <w:szCs w:val="16"/>
                <w:color w:val="auto"/>
              </w:rPr>
              <w:t>39.1 %</w:t>
            </w:r>
          </w:p>
        </w:tc>
      </w:tr>
      <w:tr>
        <w:trPr>
          <w:trHeight w:val="256"/>
        </w:trPr>
        <w:tc>
          <w:tcPr>
            <w:tcW w:w="5780" w:type="dxa"/>
            <w:vAlign w:val="bottom"/>
            <w:shd w:val="clear" w:color="auto" w:fill="CCEEFF"/>
          </w:tcPr>
          <w:p>
            <w:pPr>
              <w:spacing w:after="0"/>
              <w:rPr>
                <w:sz w:val="22"/>
                <w:szCs w:val="22"/>
                <w:color w:val="auto"/>
              </w:rPr>
            </w:pPr>
          </w:p>
        </w:tc>
        <w:tc>
          <w:tcPr>
            <w:tcW w:w="4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6"/>
                <w:szCs w:val="16"/>
                <w:color w:val="auto"/>
              </w:rPr>
              <w:t>Digital sales as a % of total net sales</w:t>
            </w:r>
          </w:p>
        </w:tc>
        <w:tc>
          <w:tcPr>
            <w:tcW w:w="4260" w:type="dxa"/>
            <w:vAlign w:val="bottom"/>
          </w:tcPr>
          <w:p>
            <w:pPr>
              <w:jc w:val="right"/>
              <w:ind w:right="659"/>
              <w:spacing w:after="0"/>
              <w:rPr>
                <w:sz w:val="20"/>
                <w:szCs w:val="20"/>
                <w:color w:val="auto"/>
              </w:rPr>
            </w:pPr>
            <w:r>
              <w:rPr>
                <w:rFonts w:ascii="Arial" w:cs="Arial" w:eastAsia="Arial" w:hAnsi="Arial"/>
                <w:sz w:val="16"/>
                <w:szCs w:val="16"/>
                <w:b w:val="1"/>
                <w:bCs w:val="1"/>
                <w:color w:val="auto"/>
              </w:rPr>
              <w:t>38 %</w:t>
            </w:r>
          </w:p>
        </w:tc>
        <w:tc>
          <w:tcPr>
            <w:tcW w:w="120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Digital sales (decrease) increase</w:t>
            </w:r>
          </w:p>
        </w:tc>
        <w:tc>
          <w:tcPr>
            <w:tcW w:w="426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(6 %)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56"/>
        </w:trPr>
        <w:tc>
          <w:tcPr>
            <w:tcW w:w="578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GMV increase</w:t>
            </w:r>
          </w:p>
        </w:tc>
        <w:tc>
          <w:tcPr>
            <w:tcW w:w="426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6.9 %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39.6 %</w:t>
            </w:r>
          </w:p>
        </w:tc>
      </w:tr>
      <w:tr>
        <w:trPr>
          <w:trHeight w:val="216"/>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Company GMV increase</w:t>
            </w:r>
          </w:p>
        </w:tc>
        <w:tc>
          <w:tcPr>
            <w:tcW w:w="42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5.0 %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40.3 %</w:t>
            </w:r>
          </w:p>
        </w:tc>
      </w:tr>
    </w:tbl>
    <w:p>
      <w:pPr>
        <w:spacing w:after="0" w:line="23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Total Company net sales and GMV increased for the full fiscal year compared with 2021. Our Anniversary Sale event increased 5.0% while holiday sales, in fiscal November and December, decreased 3.5%, when compared with the same periods in 2021. The top-performing merchandise categories were Men’s Apparel, Shoes and Women’s Apparel, compared with 2021. During the year, we opened two and closed one Nordstrom Rack stores and opened one ASOS | Nordstrom store.</w:t>
      </w:r>
    </w:p>
    <w:p>
      <w:pPr>
        <w:spacing w:after="0" w:line="122"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Digital sales decreased compared with 2021. Eliminating store-based order fulfillment for Nordstrom Rack digital orders during the third quarter and sunsetting Trunk Club earlier in fiscal 2022 negatively impacted digital sales by approximately 300 basis points.</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Nordstrom net sales and GMV increased compared with 2021, which reflected an increase in the average selling price per item sold, partially offset by a decrease in the number of items sold.</w:t>
      </w:r>
    </w:p>
    <w:p>
      <w:pPr>
        <w:spacing w:after="0" w:line="9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Nordstrom Rack net sales increased compared with 2021, which reflected an increase in the average selling price per item sold, partially offset by a decrease in the number of items sold.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See Note 2: Revenue in Item 8 for information about disaggregated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Revenues, Net</w:t>
      </w:r>
    </w:p>
    <w:p>
      <w:pPr>
        <w:spacing w:after="0" w:line="27"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Credit card revenues, net increased $51 compared with 2021, primarily as a result of higher finance charges due to larger outstanding balances.</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Total Revenue Outlook</w:t>
      </w:r>
    </w:p>
    <w:p>
      <w:pPr>
        <w:spacing w:after="0" w:line="2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fiscal 2023, which includes a 53rd week, we expect total revenue, including retail sales and credit card revenues, to decline 4% to 6% compared with fiscal 2022. Our outlook includes approximately 250 basis points of negative impact from the wind-down of business operations in Canada (see Note 15: Subsequent Events in Item 8 for more information) and approximately 130 basis points of positive impact from the 53rd week.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4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r>
      <w:tr>
        <w:trPr>
          <w:trHeight w:val="210"/>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4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$5,073</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$5,058</w:t>
            </w:r>
          </w:p>
        </w:tc>
      </w:tr>
      <w:tr>
        <w:trPr>
          <w:trHeight w:val="216"/>
        </w:trPr>
        <w:tc>
          <w:tcPr>
            <w:tcW w:w="5460" w:type="dxa"/>
            <w:vAlign w:val="bottom"/>
          </w:tcPr>
          <w:p>
            <w:pPr>
              <w:ind w:left="20"/>
              <w:spacing w:after="0"/>
              <w:rPr>
                <w:sz w:val="20"/>
                <w:szCs w:val="20"/>
                <w:color w:val="auto"/>
              </w:rPr>
            </w:pPr>
            <w:r>
              <w:rPr>
                <w:rFonts w:ascii="Arial" w:cs="Arial" w:eastAsia="Arial" w:hAnsi="Arial"/>
                <w:sz w:val="16"/>
                <w:szCs w:val="16"/>
                <w:color w:val="auto"/>
              </w:rPr>
              <w:t>Gross profit as a % of net sales</w:t>
            </w:r>
          </w:p>
        </w:tc>
        <w:tc>
          <w:tcPr>
            <w:tcW w:w="4480" w:type="dxa"/>
            <w:vAlign w:val="bottom"/>
          </w:tcPr>
          <w:p>
            <w:pPr>
              <w:jc w:val="right"/>
              <w:ind w:right="519"/>
              <w:spacing w:after="0"/>
              <w:rPr>
                <w:sz w:val="20"/>
                <w:szCs w:val="20"/>
                <w:color w:val="auto"/>
              </w:rPr>
            </w:pPr>
            <w:r>
              <w:rPr>
                <w:rFonts w:ascii="Arial" w:cs="Arial" w:eastAsia="Arial" w:hAnsi="Arial"/>
                <w:sz w:val="16"/>
                <w:szCs w:val="16"/>
                <w:b w:val="1"/>
                <w:bCs w:val="1"/>
                <w:color w:val="auto"/>
              </w:rPr>
              <w:t>33.6 %</w:t>
            </w:r>
          </w:p>
        </w:tc>
        <w:tc>
          <w:tcPr>
            <w:tcW w:w="1300" w:type="dxa"/>
            <w:vAlign w:val="bottom"/>
          </w:tcPr>
          <w:p>
            <w:pPr>
              <w:jc w:val="right"/>
              <w:spacing w:after="0"/>
              <w:rPr>
                <w:sz w:val="20"/>
                <w:szCs w:val="20"/>
                <w:color w:val="auto"/>
              </w:rPr>
            </w:pPr>
            <w:r>
              <w:rPr>
                <w:rFonts w:ascii="Arial" w:cs="Arial" w:eastAsia="Arial" w:hAnsi="Arial"/>
                <w:sz w:val="16"/>
                <w:szCs w:val="16"/>
                <w:color w:val="auto"/>
              </w:rPr>
              <w:t>35.1 %</w:t>
            </w:r>
          </w:p>
        </w:tc>
      </w:tr>
      <w:tr>
        <w:trPr>
          <w:trHeight w:val="21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Inventory turnover rate</w:t>
            </w:r>
          </w:p>
        </w:tc>
        <w:tc>
          <w:tcPr>
            <w:tcW w:w="44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4.20</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4.18</w:t>
            </w:r>
          </w:p>
        </w:tc>
      </w:tr>
    </w:tbl>
    <w:p>
      <w:pPr>
        <w:spacing w:after="0" w:line="2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Gross profit increased $15, compared with 2021, primarily due to higher sales partially offset by higher markdowns. Gross profit decreased 150 basis points as a rate of net sales, compared with 2021, primarily due to higher markdown rates, especially in the second half of the year as we prioritized rightsizing inventory levels.</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Ending inventory as of January 28, 2023 decreased 15%, compared with January 29, 2022, versus a 4% decrease in sales in the fourth quarter of 2022, compared with 2021. The decrease in inventory levels compared with 2021 is a result of our focus on rightsizing inventory levels in a highly promotional environment in the fourth quarter of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SG&amp;A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3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r>
      <w:tr>
        <w:trPr>
          <w:trHeight w:val="20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 expenses</w:t>
            </w:r>
          </w:p>
        </w:tc>
        <w:tc>
          <w:tcPr>
            <w:tcW w:w="430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$5,046</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$4,953</w:t>
            </w:r>
          </w:p>
        </w:tc>
      </w:tr>
      <w:tr>
        <w:trPr>
          <w:trHeight w:val="21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expenses as a % of net sales</w:t>
            </w:r>
          </w:p>
        </w:tc>
        <w:tc>
          <w:tcPr>
            <w:tcW w:w="4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33.4 %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r>
    </w:tbl>
    <w:p>
      <w:pPr>
        <w:spacing w:after="0" w:line="23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SG&amp;A increased $93 in 2022, compared with 2021, primarily due to variable expenses associated with higher sales and a supply chain technology and related asset impairment charge of $70, partially offset by supply chain expense efficiencies (see Note 1: Nature of Operations and Summary of Significant Accounting Policies in Item 8). As a result of the supply chain expense efficiencies, SG&amp;A decreased 95 basis points as a rate of net sales compared with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and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EBIT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7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r>
      <w:tr>
        <w:trPr>
          <w:trHeight w:val="20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w:t>
            </w:r>
          </w:p>
        </w:tc>
        <w:tc>
          <w:tcPr>
            <w:tcW w:w="470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$465</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$492</w:t>
            </w:r>
          </w:p>
        </w:tc>
      </w:tr>
      <w:tr>
        <w:trPr>
          <w:trHeight w:val="21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EBIT as a % of net sales</w:t>
            </w:r>
          </w:p>
        </w:tc>
        <w:tc>
          <w:tcPr>
            <w:tcW w:w="47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3.1 %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r>
    </w:tbl>
    <w:p>
      <w:pPr>
        <w:spacing w:after="0" w:line="22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EBIT decreased $27 and 35 basis points as a rate of net sales in 2022, compared with 2021, primarily due to higher markdowns and a supply chain technology and related asset impairment charge, partially offset by supply chain expense efficiencies and higher sales.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7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 and short-term borrowings</w:t>
            </w:r>
          </w:p>
        </w:tc>
        <w:tc>
          <w:tcPr>
            <w:tcW w:w="372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$150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6420" w:type="dxa"/>
            <w:vAlign w:val="bottom"/>
          </w:tcPr>
          <w:p>
            <w:pPr>
              <w:ind w:left="20"/>
              <w:spacing w:after="0"/>
              <w:rPr>
                <w:sz w:val="20"/>
                <w:szCs w:val="20"/>
                <w:color w:val="auto"/>
              </w:rPr>
            </w:pPr>
            <w:r>
              <w:rPr>
                <w:rFonts w:ascii="Arial" w:cs="Arial" w:eastAsia="Arial" w:hAnsi="Arial"/>
                <w:sz w:val="16"/>
                <w:szCs w:val="16"/>
                <w:color w:val="auto"/>
              </w:rPr>
              <w:t>Less:</w:t>
            </w:r>
          </w:p>
        </w:tc>
        <w:tc>
          <w:tcPr>
            <w:tcW w:w="37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6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37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4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Capitalized interest</w:t>
            </w:r>
          </w:p>
        </w:tc>
        <w:tc>
          <w:tcPr>
            <w:tcW w:w="37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37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$128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bl>
    <w:p>
      <w:pPr>
        <w:spacing w:after="0" w:line="238"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Interest expense, net decreased $118 in 2022 compared with 2021, primarily due to debt refinancing charges of $88 related to the redemption of the Secured Notes in 2021, the redemption of the 4% senior notes in 2021 and an increase in interest income.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8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880" w:type="dxa"/>
            <w:vAlign w:val="bottom"/>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$92</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r>
      <w:tr>
        <w:trPr>
          <w:trHeight w:val="216"/>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48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27.2 %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components of our effective tax rate: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35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21.0 %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CARES Act impact</w:t>
            </w:r>
          </w:p>
        </w:tc>
        <w:tc>
          <w:tcPr>
            <w:tcW w:w="3540" w:type="dxa"/>
            <w:vAlign w:val="bottom"/>
          </w:tcPr>
          <w:p>
            <w:pPr>
              <w:jc w:val="right"/>
              <w:ind w:right="8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35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5.9 %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Federal credits</w:t>
            </w:r>
          </w:p>
        </w:tc>
        <w:tc>
          <w:tcPr>
            <w:tcW w:w="3540" w:type="dxa"/>
            <w:vAlign w:val="bottom"/>
          </w:tcPr>
          <w:p>
            <w:pPr>
              <w:jc w:val="right"/>
              <w:ind w:right="599"/>
              <w:spacing w:after="0"/>
              <w:rPr>
                <w:sz w:val="20"/>
                <w:szCs w:val="20"/>
                <w:color w:val="auto"/>
              </w:rPr>
            </w:pPr>
            <w:r>
              <w:rPr>
                <w:rFonts w:ascii="Arial" w:cs="Arial" w:eastAsia="Arial" w:hAnsi="Arial"/>
                <w:sz w:val="16"/>
                <w:szCs w:val="16"/>
                <w:b w:val="1"/>
                <w:bCs w:val="1"/>
                <w:color w:val="auto"/>
              </w:rPr>
              <w:t>(3.8 %)</w:t>
            </w:r>
          </w:p>
        </w:tc>
        <w:tc>
          <w:tcPr>
            <w:tcW w:w="126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35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540" w:type="dxa"/>
            <w:vAlign w:val="bottom"/>
          </w:tcPr>
          <w:p>
            <w:pPr>
              <w:jc w:val="right"/>
              <w:ind w:right="639"/>
              <w:spacing w:after="0"/>
              <w:rPr>
                <w:sz w:val="20"/>
                <w:szCs w:val="20"/>
                <w:color w:val="auto"/>
              </w:rPr>
            </w:pPr>
            <w:r>
              <w:rPr>
                <w:rFonts w:ascii="Arial" w:cs="Arial" w:eastAsia="Arial" w:hAnsi="Arial"/>
                <w:sz w:val="16"/>
                <w:szCs w:val="16"/>
                <w:b w:val="1"/>
                <w:bCs w:val="1"/>
                <w:color w:val="auto"/>
              </w:rPr>
              <w:t>1.8 %</w:t>
            </w:r>
          </w:p>
        </w:tc>
        <w:tc>
          <w:tcPr>
            <w:tcW w:w="12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54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0.4 %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Taxes on foreign operations</w:t>
            </w:r>
          </w:p>
        </w:tc>
        <w:tc>
          <w:tcPr>
            <w:tcW w:w="3540" w:type="dxa"/>
            <w:vAlign w:val="bottom"/>
          </w:tcPr>
          <w:p>
            <w:pPr>
              <w:jc w:val="right"/>
              <w:ind w:right="639"/>
              <w:spacing w:after="0"/>
              <w:rPr>
                <w:sz w:val="20"/>
                <w:szCs w:val="20"/>
                <w:color w:val="auto"/>
              </w:rPr>
            </w:pPr>
            <w:r>
              <w:rPr>
                <w:rFonts w:ascii="Arial" w:cs="Arial" w:eastAsia="Arial" w:hAnsi="Arial"/>
                <w:sz w:val="16"/>
                <w:szCs w:val="16"/>
                <w:b w:val="1"/>
                <w:bCs w:val="1"/>
                <w:color w:val="auto"/>
              </w:rPr>
              <w:t>1.6 %</w:t>
            </w:r>
          </w:p>
        </w:tc>
        <w:tc>
          <w:tcPr>
            <w:tcW w:w="12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5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(0.9 %)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0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tax rate</w:t>
            </w:r>
          </w:p>
        </w:tc>
        <w:tc>
          <w:tcPr>
            <w:tcW w:w="3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27.2 %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27.5 %</w:t>
            </w:r>
          </w:p>
        </w:tc>
      </w:tr>
    </w:tbl>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decrease in the effective tax rate for 2022 compared with 2021, was primarily due to reductions in non-deductible executive compensation and valuation allowance on foreign losses, partially offset by unfavorable state provision-to-return differences compared with favorable differences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5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51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$1.53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5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$1.51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bl>
    <w:p>
      <w:pPr>
        <w:spacing w:after="0" w:line="23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Diluted EPS increased $0.41 in 2022 compared with 2021, primarily due to higher net earnings as a result of lower interest expense, partially offset by lower EBIT. In the first quarter of 2021, we recorded an interest expense charge of $88 related to the redemption of the Secured Notes.</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 Adjusted EBITDA, Adjusted EBIT margin and Adjusted EPS (Non-GAAP financial measures)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following are key financial metrics and, when used in conjunction with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Adjusted EBIT, Adjusted EBITDA, Adjusted EBIT margin and Adjusted EPS exclude certain items that we do not consider representative of our core operating performance. The financial measure calculated under GAAP which is most directly comparable to Adjusted EBIT and Adjusted EBITDA is net earnings. The financial measure calculated under GAAP which is most directly comparable to Adjusted EBIT margin is net earnings as a percent of net sales. The financial measure calculated under GAAP which is most directly comparable to Adjusted EPS is diluted EPS.</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Adjusted EBIT, Adjusted EBITDA, Adjusted EBIT margin and Adjusted EPS are not measures of financial performance under GAAP and should be considered in addition to, and not as a substitute for, net earnings, net earnings as a percent of net sales, operating cash flows, earnings per share, earnings per diluted share or other financial measures performed in accordance with GAAP. Our method of determining non-GAAP financial measures may differ from other companies’ financial measures and therefore may not be comparable to methods used by other companies. The following is a reconciliation of net earnings to Adjusted EBIT and Adjusted EBITDA and net earnings as a percent of net sales to Adjusted EBIT margin: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310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$245</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2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100" w:type="dxa"/>
            <w:vAlign w:val="bottom"/>
          </w:tcPr>
          <w:p>
            <w:pPr>
              <w:jc w:val="right"/>
              <w:ind w:right="739"/>
              <w:spacing w:after="0"/>
              <w:rPr>
                <w:sz w:val="20"/>
                <w:szCs w:val="20"/>
                <w:color w:val="auto"/>
              </w:rPr>
            </w:pPr>
            <w:r>
              <w:rPr>
                <w:rFonts w:ascii="Arial" w:cs="Arial" w:eastAsia="Arial" w:hAnsi="Arial"/>
                <w:sz w:val="16"/>
                <w:szCs w:val="16"/>
                <w:b w:val="1"/>
                <w:bCs w:val="1"/>
                <w:color w:val="auto"/>
              </w:rPr>
              <w:t>92</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8"/>
                <w:szCs w:val="18"/>
                <w:color w:val="auto"/>
              </w:rPr>
            </w:pPr>
          </w:p>
        </w:tc>
      </w:tr>
      <w:tr>
        <w:trPr>
          <w:trHeight w:val="216"/>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10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128</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246</w:t>
            </w:r>
          </w:p>
        </w:tc>
        <w:tc>
          <w:tcPr>
            <w:tcW w:w="20" w:type="dxa"/>
            <w:vAlign w:val="bottom"/>
            <w:tcBorders>
              <w:bottom w:val="single" w:sz="8" w:color="auto"/>
            </w:tcBorders>
            <w:shd w:val="clear" w:color="auto" w:fill="CCEEFF"/>
          </w:tcPr>
          <w:p>
            <w:pPr>
              <w:spacing w:after="0"/>
              <w:rPr>
                <w:sz w:val="18"/>
                <w:szCs w:val="18"/>
                <w:color w:val="auto"/>
              </w:rPr>
            </w:pPr>
          </w:p>
        </w:tc>
      </w:tr>
      <w:tr>
        <w:trPr>
          <w:trHeight w:val="209"/>
        </w:trPr>
        <w:tc>
          <w:tcPr>
            <w:tcW w:w="6880" w:type="dxa"/>
            <w:vAlign w:val="bottom"/>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3100" w:type="dxa"/>
            <w:vAlign w:val="bottom"/>
          </w:tcPr>
          <w:p>
            <w:pPr>
              <w:jc w:val="right"/>
              <w:ind w:right="739"/>
              <w:spacing w:after="0"/>
              <w:rPr>
                <w:sz w:val="20"/>
                <w:szCs w:val="20"/>
                <w:color w:val="auto"/>
              </w:rPr>
            </w:pPr>
            <w:r>
              <w:rPr>
                <w:rFonts w:ascii="Arial" w:cs="Arial" w:eastAsia="Arial" w:hAnsi="Arial"/>
                <w:sz w:val="16"/>
                <w:szCs w:val="16"/>
                <w:b w:val="1"/>
                <w:bCs w:val="1"/>
                <w:color w:val="auto"/>
              </w:rPr>
              <w:t>465</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492</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Supply chain impairment</w:t>
            </w:r>
          </w:p>
        </w:tc>
        <w:tc>
          <w:tcPr>
            <w:tcW w:w="310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70</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color w:val="auto"/>
              </w:rPr>
              <w:t>Trunk Club wind-down costs</w:t>
            </w:r>
          </w:p>
        </w:tc>
        <w:tc>
          <w:tcPr>
            <w:tcW w:w="3100" w:type="dxa"/>
            <w:vAlign w:val="bottom"/>
          </w:tcPr>
          <w:p>
            <w:pPr>
              <w:jc w:val="right"/>
              <w:ind w:right="739"/>
              <w:spacing w:after="0"/>
              <w:rPr>
                <w:sz w:val="20"/>
                <w:szCs w:val="20"/>
                <w:color w:val="auto"/>
              </w:rPr>
            </w:pPr>
            <w:r>
              <w:rPr>
                <w:rFonts w:ascii="Arial" w:cs="Arial" w:eastAsia="Arial" w:hAnsi="Arial"/>
                <w:sz w:val="16"/>
                <w:szCs w:val="16"/>
                <w:b w:val="1"/>
                <w:bCs w:val="1"/>
                <w:color w:val="auto"/>
              </w:rPr>
              <w:t>18</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16"/>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Gain on sale of interest in a corporate office building</w:t>
            </w:r>
          </w:p>
        </w:tc>
        <w:tc>
          <w:tcPr>
            <w:tcW w:w="31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(51)</w:t>
            </w:r>
          </w:p>
        </w:tc>
        <w:tc>
          <w:tcPr>
            <w:tcW w:w="12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r>
      <w:tr>
        <w:trPr>
          <w:trHeight w:val="210"/>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100" w:type="dxa"/>
            <w:vAlign w:val="bottom"/>
          </w:tcPr>
          <w:p>
            <w:pPr>
              <w:jc w:val="right"/>
              <w:ind w:right="739"/>
              <w:spacing w:after="0"/>
              <w:rPr>
                <w:sz w:val="20"/>
                <w:szCs w:val="20"/>
                <w:color w:val="auto"/>
              </w:rPr>
            </w:pPr>
            <w:r>
              <w:rPr>
                <w:rFonts w:ascii="Arial" w:cs="Arial" w:eastAsia="Arial" w:hAnsi="Arial"/>
                <w:sz w:val="16"/>
                <w:szCs w:val="16"/>
                <w:b w:val="1"/>
                <w:bCs w:val="1"/>
                <w:color w:val="auto"/>
              </w:rPr>
              <w:t>502</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492</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expenses</w:t>
            </w:r>
          </w:p>
        </w:tc>
        <w:tc>
          <w:tcPr>
            <w:tcW w:w="3100" w:type="dxa"/>
            <w:vAlign w:val="bottom"/>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604</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615</w:t>
            </w:r>
          </w:p>
        </w:tc>
        <w:tc>
          <w:tcPr>
            <w:tcW w:w="2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developer reimbursements</w:t>
            </w:r>
          </w:p>
        </w:tc>
        <w:tc>
          <w:tcPr>
            <w:tcW w:w="31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(72)</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w:t>
            </w:r>
          </w:p>
        </w:tc>
        <w:tc>
          <w:tcPr>
            <w:tcW w:w="20" w:type="dxa"/>
            <w:vAlign w:val="bottom"/>
            <w:tcBorders>
              <w:bottom w:val="single" w:sz="8" w:color="auto"/>
            </w:tcBorders>
          </w:tcPr>
          <w:p>
            <w:pPr>
              <w:spacing w:after="0"/>
              <w:rPr>
                <w:sz w:val="18"/>
                <w:szCs w:val="18"/>
                <w:color w:val="auto"/>
              </w:rPr>
            </w:pPr>
          </w:p>
        </w:tc>
      </w:tr>
      <w:tr>
        <w:trPr>
          <w:trHeight w:val="21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310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$1,034</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$1,029</w:t>
            </w:r>
          </w:p>
        </w:tc>
        <w:tc>
          <w:tcPr>
            <w:tcW w:w="20" w:type="dxa"/>
            <w:vAlign w:val="bottom"/>
            <w:tcBorders>
              <w:bottom w:val="single" w:sz="8" w:color="auto"/>
            </w:tcBorders>
            <w:shd w:val="clear" w:color="auto" w:fill="CCEEFF"/>
          </w:tcPr>
          <w:p>
            <w:pPr>
              <w:spacing w:after="0"/>
              <w:rPr>
                <w:sz w:val="18"/>
                <w:szCs w:val="18"/>
                <w:color w:val="auto"/>
              </w:rPr>
            </w:pPr>
          </w:p>
        </w:tc>
      </w:tr>
      <w:tr>
        <w:trPr>
          <w:trHeight w:val="237"/>
        </w:trPr>
        <w:tc>
          <w:tcPr>
            <w:tcW w:w="68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310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$15,092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$14,402</w:t>
            </w: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b w:val="1"/>
                <w:bCs w:val="1"/>
                <w:color w:val="auto"/>
              </w:rPr>
              <w:t>Net earnings as a % of net sales</w:t>
            </w:r>
          </w:p>
        </w:tc>
        <w:tc>
          <w:tcPr>
            <w:tcW w:w="3100" w:type="dxa"/>
            <w:vAlign w:val="bottom"/>
          </w:tcPr>
          <w:p>
            <w:pPr>
              <w:jc w:val="right"/>
              <w:ind w:right="559"/>
              <w:spacing w:after="0"/>
              <w:rPr>
                <w:sz w:val="20"/>
                <w:szCs w:val="20"/>
                <w:color w:val="auto"/>
              </w:rPr>
            </w:pPr>
            <w:r>
              <w:rPr>
                <w:rFonts w:ascii="Arial" w:cs="Arial" w:eastAsia="Arial" w:hAnsi="Arial"/>
                <w:sz w:val="16"/>
                <w:szCs w:val="16"/>
                <w:b w:val="1"/>
                <w:bCs w:val="1"/>
                <w:color w:val="auto"/>
              </w:rPr>
              <w:t>1.6 %</w:t>
            </w: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EBIT margin %</w:t>
            </w:r>
          </w:p>
        </w:tc>
        <w:tc>
          <w:tcPr>
            <w:tcW w:w="310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3.1 %</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3.4 %</w:t>
            </w:r>
          </w:p>
        </w:tc>
      </w:tr>
      <w:tr>
        <w:trPr>
          <w:trHeight w:val="216"/>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 margin %</w:t>
            </w:r>
          </w:p>
        </w:tc>
        <w:tc>
          <w:tcPr>
            <w:tcW w:w="31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3.3 %</w:t>
            </w: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3.4 %</w:t>
            </w:r>
          </w:p>
        </w:tc>
      </w:tr>
      <w:tr>
        <w:trPr>
          <w:trHeight w:val="470"/>
        </w:trPr>
        <w:tc>
          <w:tcPr>
            <w:tcW w:w="6880" w:type="dxa"/>
            <w:vAlign w:val="bottom"/>
          </w:tcPr>
          <w:p>
            <w:pPr>
              <w:spacing w:after="0"/>
              <w:rPr>
                <w:sz w:val="20"/>
                <w:szCs w:val="20"/>
                <w:color w:val="auto"/>
              </w:rPr>
            </w:pPr>
            <w:r>
              <w:rPr>
                <w:rFonts w:ascii="Arial" w:cs="Arial" w:eastAsia="Arial" w:hAnsi="Arial"/>
                <w:sz w:val="18"/>
                <w:szCs w:val="18"/>
                <w:color w:val="auto"/>
              </w:rPr>
              <w:t>The following is a reconciliation of diluted EPS to Adjusted EPS:</w:t>
            </w: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20"/>
                <w:szCs w:val="20"/>
                <w:color w:val="auto"/>
              </w:rPr>
            </w:pPr>
          </w:p>
        </w:tc>
      </w:tr>
      <w:tr>
        <w:trPr>
          <w:trHeight w:val="209"/>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31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$1.51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color w:val="auto"/>
              </w:rPr>
              <w:t>Supply chain impairment</w:t>
            </w:r>
          </w:p>
        </w:tc>
        <w:tc>
          <w:tcPr>
            <w:tcW w:w="3100" w:type="dxa"/>
            <w:vAlign w:val="bottom"/>
          </w:tcPr>
          <w:p>
            <w:pPr>
              <w:jc w:val="right"/>
              <w:ind w:right="519"/>
              <w:spacing w:after="0"/>
              <w:rPr>
                <w:sz w:val="20"/>
                <w:szCs w:val="20"/>
                <w:color w:val="auto"/>
              </w:rPr>
            </w:pPr>
            <w:r>
              <w:rPr>
                <w:rFonts w:ascii="Arial" w:cs="Arial" w:eastAsia="Arial" w:hAnsi="Arial"/>
                <w:sz w:val="16"/>
                <w:szCs w:val="16"/>
                <w:b w:val="1"/>
                <w:bCs w:val="1"/>
                <w:color w:val="auto"/>
              </w:rPr>
              <w:t>0.44</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Trunk Club wind-down costs</w:t>
            </w:r>
          </w:p>
        </w:tc>
        <w:tc>
          <w:tcPr>
            <w:tcW w:w="31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0.11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Arial" w:cs="Arial" w:eastAsia="Arial" w:hAnsi="Arial"/>
                <w:sz w:val="16"/>
                <w:szCs w:val="16"/>
                <w:color w:val="auto"/>
              </w:rPr>
              <w:t>Gain on sale of interest in a corporate office building</w:t>
            </w:r>
          </w:p>
        </w:tc>
        <w:tc>
          <w:tcPr>
            <w:tcW w:w="3100" w:type="dxa"/>
            <w:vAlign w:val="bottom"/>
          </w:tcPr>
          <w:p>
            <w:pPr>
              <w:jc w:val="right"/>
              <w:ind w:right="459"/>
              <w:spacing w:after="0"/>
              <w:rPr>
                <w:sz w:val="20"/>
                <w:szCs w:val="20"/>
                <w:color w:val="auto"/>
              </w:rPr>
            </w:pPr>
            <w:r>
              <w:rPr>
                <w:rFonts w:ascii="Arial" w:cs="Arial" w:eastAsia="Arial" w:hAnsi="Arial"/>
                <w:sz w:val="16"/>
                <w:szCs w:val="16"/>
                <w:b w:val="1"/>
                <w:bCs w:val="1"/>
                <w:color w:val="auto"/>
              </w:rPr>
              <w:t>(0.31)</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refinancing charges included within interest expense, net</w:t>
            </w:r>
          </w:p>
        </w:tc>
        <w:tc>
          <w:tcPr>
            <w:tcW w:w="31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20" w:type="dxa"/>
            <w:vAlign w:val="bottom"/>
          </w:tcPr>
          <w:p>
            <w:pPr>
              <w:spacing w:after="0"/>
              <w:rPr>
                <w:sz w:val="18"/>
                <w:szCs w:val="18"/>
                <w:color w:val="auto"/>
              </w:rPr>
            </w:pPr>
          </w:p>
        </w:tc>
      </w:tr>
      <w:tr>
        <w:trPr>
          <w:trHeight w:val="216"/>
        </w:trPr>
        <w:tc>
          <w:tcPr>
            <w:tcW w:w="68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Income tax impact on adjustments</w:t>
            </w:r>
            <w:r>
              <w:rPr>
                <w:rFonts w:ascii="Arial" w:cs="Arial" w:eastAsia="Arial" w:hAnsi="Arial"/>
                <w:sz w:val="21"/>
                <w:szCs w:val="21"/>
                <w:color w:val="auto"/>
                <w:vertAlign w:val="superscript"/>
              </w:rPr>
              <w:t>1</w:t>
            </w:r>
          </w:p>
        </w:tc>
        <w:tc>
          <w:tcPr>
            <w:tcW w:w="3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(0.06)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20" w:type="dxa"/>
            <w:vAlign w:val="bottom"/>
          </w:tcPr>
          <w:p>
            <w:pPr>
              <w:spacing w:after="0"/>
              <w:rPr>
                <w:sz w:val="18"/>
                <w:szCs w:val="18"/>
                <w:color w:val="auto"/>
              </w:rPr>
            </w:pPr>
          </w:p>
        </w:tc>
      </w:tr>
      <w:tr>
        <w:trPr>
          <w:trHeight w:val="210"/>
        </w:trPr>
        <w:tc>
          <w:tcPr>
            <w:tcW w:w="6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EPS</w:t>
            </w:r>
          </w:p>
        </w:tc>
        <w:tc>
          <w:tcPr>
            <w:tcW w:w="31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$1.69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8"/>
                <w:szCs w:val="18"/>
                <w:color w:val="auto"/>
              </w:rPr>
            </w:pPr>
          </w:p>
        </w:tc>
      </w:tr>
    </w:tbl>
    <w:p>
      <w:pPr>
        <w:spacing w:after="0" w:line="58"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The income tax impact of non-GAAP adjustments is calculated using the estimated tax rate for the respective non-GAAP adjustment.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ROIC (Non-GAAP financial measure)</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Adjusted ROIC is not a measure of financial performance under GAAP and should be considered in addition to, and not as a substitute for, return on assets, net earnings, total assets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ROIC is return on assets. The following shows the components to reconcile the return on assets calculation to Adjusted ROIC: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334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$245</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w:t>
            </w:r>
          </w:p>
        </w:tc>
      </w:tr>
      <w:tr>
        <w:trPr>
          <w:trHeight w:val="216"/>
        </w:trPr>
        <w:tc>
          <w:tcPr>
            <w:tcW w:w="6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340" w:type="dxa"/>
            <w:vAlign w:val="bottom"/>
          </w:tcPr>
          <w:p>
            <w:pPr>
              <w:jc w:val="right"/>
              <w:ind w:right="699"/>
              <w:spacing w:after="0"/>
              <w:rPr>
                <w:sz w:val="20"/>
                <w:szCs w:val="20"/>
                <w:color w:val="auto"/>
              </w:rPr>
            </w:pPr>
            <w:r>
              <w:rPr>
                <w:rFonts w:ascii="Arial" w:cs="Arial" w:eastAsia="Arial" w:hAnsi="Arial"/>
                <w:sz w:val="16"/>
                <w:szCs w:val="16"/>
                <w:b w:val="1"/>
                <w:bCs w:val="1"/>
                <w:color w:val="auto"/>
              </w:rPr>
              <w:t>92</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68</w:t>
            </w:r>
          </w:p>
        </w:tc>
      </w:tr>
      <w:tr>
        <w:trPr>
          <w:trHeight w:val="216"/>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3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138</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247</w:t>
            </w:r>
          </w:p>
        </w:tc>
      </w:tr>
      <w:tr>
        <w:trPr>
          <w:trHeight w:val="210"/>
        </w:trPr>
        <w:tc>
          <w:tcPr>
            <w:tcW w:w="6600" w:type="dxa"/>
            <w:vAlign w:val="bottom"/>
          </w:tcPr>
          <w:p>
            <w:pPr>
              <w:ind w:left="20"/>
              <w:spacing w:after="0"/>
              <w:rPr>
                <w:sz w:val="20"/>
                <w:szCs w:val="20"/>
                <w:color w:val="auto"/>
              </w:rPr>
            </w:pPr>
            <w:r>
              <w:rPr>
                <w:rFonts w:ascii="Arial" w:cs="Arial" w:eastAsia="Arial" w:hAnsi="Arial"/>
                <w:sz w:val="16"/>
                <w:szCs w:val="16"/>
                <w:color w:val="auto"/>
              </w:rPr>
              <w:t>Earnings before interest and income tax expense</w:t>
            </w:r>
          </w:p>
        </w:tc>
        <w:tc>
          <w:tcPr>
            <w:tcW w:w="3340" w:type="dxa"/>
            <w:vAlign w:val="bottom"/>
          </w:tcPr>
          <w:p>
            <w:pPr>
              <w:jc w:val="right"/>
              <w:ind w:right="699"/>
              <w:spacing w:after="0"/>
              <w:rPr>
                <w:sz w:val="20"/>
                <w:szCs w:val="20"/>
                <w:color w:val="auto"/>
              </w:rPr>
            </w:pPr>
            <w:r>
              <w:rPr>
                <w:rFonts w:ascii="Arial" w:cs="Arial" w:eastAsia="Arial" w:hAnsi="Arial"/>
                <w:sz w:val="16"/>
                <w:szCs w:val="16"/>
                <w:b w:val="1"/>
                <w:bCs w:val="1"/>
                <w:color w:val="auto"/>
              </w:rPr>
              <w:t>475</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493</w:t>
            </w:r>
          </w:p>
        </w:tc>
      </w:tr>
      <w:tr>
        <w:trPr>
          <w:trHeight w:val="257"/>
        </w:trPr>
        <w:tc>
          <w:tcPr>
            <w:tcW w:w="6600" w:type="dxa"/>
            <w:vAlign w:val="bottom"/>
            <w:shd w:val="clear" w:color="auto" w:fill="CCEEFF"/>
          </w:tcPr>
          <w:p>
            <w:pPr>
              <w:spacing w:after="0"/>
              <w:rPr>
                <w:sz w:val="22"/>
                <w:szCs w:val="22"/>
                <w:color w:val="auto"/>
              </w:rPr>
            </w:pPr>
          </w:p>
        </w:tc>
        <w:tc>
          <w:tcPr>
            <w:tcW w:w="33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16"/>
        </w:trPr>
        <w:tc>
          <w:tcPr>
            <w:tcW w:w="66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Operating lease interest</w:t>
            </w:r>
            <w:r>
              <w:rPr>
                <w:rFonts w:ascii="Arial" w:cs="Arial" w:eastAsia="Arial" w:hAnsi="Arial"/>
                <w:sz w:val="21"/>
                <w:szCs w:val="21"/>
                <w:color w:val="auto"/>
                <w:vertAlign w:val="superscript"/>
              </w:rPr>
              <w:t>1</w:t>
            </w:r>
          </w:p>
        </w:tc>
        <w:tc>
          <w:tcPr>
            <w:tcW w:w="33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85</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w:t>
            </w:r>
          </w:p>
        </w:tc>
      </w:tr>
      <w:tr>
        <w:trPr>
          <w:trHeight w:val="20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operating profit</w:t>
            </w:r>
          </w:p>
        </w:tc>
        <w:tc>
          <w:tcPr>
            <w:tcW w:w="334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560</w:t>
            </w:r>
          </w:p>
        </w:tc>
        <w:tc>
          <w:tcPr>
            <w:tcW w:w="1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580</w:t>
            </w:r>
          </w:p>
        </w:tc>
      </w:tr>
      <w:tr>
        <w:trPr>
          <w:trHeight w:val="257"/>
        </w:trPr>
        <w:tc>
          <w:tcPr>
            <w:tcW w:w="66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6"/>
        </w:trPr>
        <w:tc>
          <w:tcPr>
            <w:tcW w:w="660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Estimated income tax expense</w:t>
            </w:r>
            <w:r>
              <w:rPr>
                <w:rFonts w:ascii="Arial" w:cs="Arial" w:eastAsia="Arial" w:hAnsi="Arial"/>
                <w:sz w:val="21"/>
                <w:szCs w:val="21"/>
                <w:color w:val="auto"/>
                <w:vertAlign w:val="superscript"/>
              </w:rPr>
              <w:t>2</w:t>
            </w:r>
          </w:p>
        </w:tc>
        <w:tc>
          <w:tcPr>
            <w:tcW w:w="33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(152)</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r>
      <w:tr>
        <w:trPr>
          <w:trHeight w:val="210"/>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net operating profit after tax</w:t>
            </w:r>
          </w:p>
        </w:tc>
        <w:tc>
          <w:tcPr>
            <w:tcW w:w="33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$408</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$421</w:t>
            </w:r>
          </w:p>
        </w:tc>
      </w:tr>
      <w:tr>
        <w:trPr>
          <w:trHeight w:val="236"/>
        </w:trPr>
        <w:tc>
          <w:tcPr>
            <w:tcW w:w="660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Average total assets</w:t>
            </w:r>
          </w:p>
        </w:tc>
        <w:tc>
          <w:tcPr>
            <w:tcW w:w="3340" w:type="dxa"/>
            <w:vAlign w:val="bottom"/>
          </w:tcPr>
          <w:p>
            <w:pPr>
              <w:jc w:val="right"/>
              <w:ind w:right="699"/>
              <w:spacing w:after="0"/>
              <w:rPr>
                <w:sz w:val="20"/>
                <w:szCs w:val="20"/>
                <w:color w:val="auto"/>
              </w:rPr>
            </w:pPr>
            <w:r>
              <w:rPr>
                <w:rFonts w:ascii="Arial" w:cs="Arial" w:eastAsia="Arial" w:hAnsi="Arial"/>
                <w:sz w:val="16"/>
                <w:szCs w:val="16"/>
                <w:b w:val="1"/>
                <w:bCs w:val="1"/>
                <w:color w:val="auto"/>
              </w:rPr>
              <w:t>$9,069</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$9,301</w:t>
            </w:r>
          </w:p>
        </w:tc>
      </w:tr>
      <w:tr>
        <w:trPr>
          <w:trHeight w:val="216"/>
        </w:trPr>
        <w:tc>
          <w:tcPr>
            <w:tcW w:w="66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Average deferred property incentives in excess of ROU assets</w:t>
            </w:r>
            <w:r>
              <w:rPr>
                <w:rFonts w:ascii="Arial" w:cs="Arial" w:eastAsia="Arial" w:hAnsi="Arial"/>
                <w:sz w:val="21"/>
                <w:szCs w:val="21"/>
                <w:color w:val="auto"/>
                <w:vertAlign w:val="superscript"/>
              </w:rPr>
              <w:t>3</w:t>
            </w:r>
          </w:p>
        </w:tc>
        <w:tc>
          <w:tcPr>
            <w:tcW w:w="334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(197)</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r>
      <w:tr>
        <w:trPr>
          <w:trHeight w:val="21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non-interest bearing current liabilities</w:t>
            </w:r>
          </w:p>
        </w:tc>
        <w:tc>
          <w:tcPr>
            <w:tcW w:w="33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(3,185)</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(3,352)</w:t>
            </w:r>
          </w:p>
        </w:tc>
      </w:tr>
      <w:tr>
        <w:trPr>
          <w:trHeight w:val="209"/>
        </w:trPr>
        <w:tc>
          <w:tcPr>
            <w:tcW w:w="6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invested capital</w:t>
            </w:r>
          </w:p>
        </w:tc>
        <w:tc>
          <w:tcPr>
            <w:tcW w:w="334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$5,687</w:t>
            </w: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$5,717</w:t>
            </w:r>
          </w:p>
        </w:tc>
      </w:tr>
      <w:tr>
        <w:trPr>
          <w:trHeight w:val="237"/>
        </w:trPr>
        <w:tc>
          <w:tcPr>
            <w:tcW w:w="6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Return on assets</w:t>
            </w:r>
          </w:p>
        </w:tc>
        <w:tc>
          <w:tcPr>
            <w:tcW w:w="334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2.7 %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ROIC</w:t>
            </w:r>
          </w:p>
        </w:tc>
        <w:tc>
          <w:tcPr>
            <w:tcW w:w="3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7.2 %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r>
    </w:tbl>
    <w:p>
      <w:pPr>
        <w:spacing w:after="0" w:line="85" w:lineRule="exact"/>
        <w:rPr>
          <w:sz w:val="20"/>
          <w:szCs w:val="20"/>
          <w:color w:val="auto"/>
        </w:rPr>
      </w:pPr>
    </w:p>
    <w:p>
      <w:pPr>
        <w:ind w:left="80" w:right="160" w:hanging="72"/>
        <w:spacing w:after="0" w:line="229" w:lineRule="auto"/>
        <w:tabs>
          <w:tab w:leader="none" w:pos="77"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Operating lease interest is a component of Operating Lease Cost recorded in occupancy costs. We add back operating lease interest for purposes of calculating adjusted net operating profit for consistency with the treatment of interest expense on our debt.</w:t>
      </w:r>
    </w:p>
    <w:p>
      <w:pPr>
        <w:ind w:left="80" w:right="240" w:hanging="72"/>
        <w:spacing w:after="0" w:line="255" w:lineRule="auto"/>
        <w:tabs>
          <w:tab w:leader="none" w:pos="77" w:val="left"/>
        </w:tabs>
        <w:numPr>
          <w:ilvl w:val="0"/>
          <w:numId w:val="23"/>
        </w:numPr>
        <w:rPr>
          <w:rFonts w:ascii="Arial" w:cs="Arial" w:eastAsia="Arial" w:hAnsi="Arial"/>
          <w:sz w:val="9"/>
          <w:szCs w:val="9"/>
          <w:color w:val="auto"/>
        </w:rPr>
      </w:pPr>
      <w:r>
        <w:rPr>
          <w:rFonts w:ascii="Arial" w:cs="Arial" w:eastAsia="Arial" w:hAnsi="Arial"/>
          <w:sz w:val="14"/>
          <w:szCs w:val="14"/>
          <w:color w:val="auto"/>
        </w:rPr>
        <w:t>Estimated income tax expense is calculated by multiplying the adjusted net operating profit by the effective tax rate for the trailing twelve-month periods ended January 28, 2023 and January 29, 2022. The effective tax rate is calculated by dividing income tax expense by earnings before income taxes for the same trailing twelve-month periods.</w:t>
      </w:r>
    </w:p>
    <w:p>
      <w:pPr>
        <w:ind w:left="80" w:right="500" w:hanging="72"/>
        <w:spacing w:after="0" w:line="234" w:lineRule="auto"/>
        <w:tabs>
          <w:tab w:leader="none" w:pos="77"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For leases with property incentives that exceed the ROU assets, we reclassify the amount from assets to other current liabilities and other liabilities on the Consolidated Balance Sheets. The current and non-current amounts are used to reduce average total assets above, as this better reflects how we manage our business.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In the short term, our ongoing working capital and capital expenditure requirements, and any dividend payments or share repurchases, are generally funded through cash flows generated from operations. In addition, we have access to the commercial paper market and can draw on our Revolver for working capital, capital expenditures and general corporate purposes. 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share repurchases and other future investments.</w:t>
      </w:r>
    </w:p>
    <w:p>
      <w:pPr>
        <w:spacing w:after="0" w:line="1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ended fiscal year 2022 with $687 in cash and cash equivalents and $800 of additional liquidity available on our Revolver. Cash and cash equivalents as of January 28, 2023 increased from $322 in 2021, driven by lower payments for merchandise inventory and our amended 2022 TD program agreement, partially offset by value returned to shareholders through dividends and share repurchases. We believe that our operating cash flows are sufficient to meet our cash requirements for the next 12 months and beyond. Our cash requirements are subject to change as business conditions warrant and opportunities arise and we may elect to raise additional funds in the future through the issuance of either debt or equity.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1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16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$946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160" w:type="dxa"/>
            <w:vAlign w:val="bottom"/>
          </w:tcPr>
          <w:p>
            <w:pPr>
              <w:jc w:val="right"/>
              <w:ind w:right="619"/>
              <w:spacing w:after="0"/>
              <w:rPr>
                <w:sz w:val="20"/>
                <w:szCs w:val="20"/>
                <w:color w:val="auto"/>
              </w:rPr>
            </w:pPr>
            <w:r>
              <w:rPr>
                <w:rFonts w:ascii="Arial" w:cs="Arial" w:eastAsia="Arial" w:hAnsi="Arial"/>
                <w:sz w:val="16"/>
                <w:szCs w:val="16"/>
                <w:b w:val="1"/>
                <w:bCs w:val="1"/>
                <w:color w:val="auto"/>
              </w:rPr>
              <w:t>(393)</w:t>
            </w:r>
          </w:p>
        </w:tc>
        <w:tc>
          <w:tcPr>
            <w:tcW w:w="11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6"/>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16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(186)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The majority of our operating cash inflows are derived from sales. We also receive cash payments for property incentives from developers and vendors. Our operating cash outflows generally consist of payments to our merchandise vendors (net of vendor allowances) and shipping carriers, payments to our employees for wages, salaries and other employee benefits and payments to our landlords for rent. Operating cash outflows also include payments for income taxes and interest payments on our short-term and long-term borrowings.</w:t>
      </w:r>
    </w:p>
    <w:p>
      <w:pPr>
        <w:spacing w:after="0" w:line="1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cash provided by operating activities increased $241 between 2022 and 2021 primarily due to lower payments for inventory and our amended 2022 TD program agreement, partially offset by the receipt of the income tax refund related to the loss carryback provision of the CARES Act in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Our investing cash outflows include payments for capital expenditures, including technology, stores and supply chain improvements. Our investing cash inflows are generally from proceeds from sales of property and equipment. Activity also includes the purchase and sale of financial interests of certain private companies and venture capital funds.</w:t>
      </w:r>
    </w:p>
    <w:p>
      <w:pPr>
        <w:spacing w:after="0" w:line="124"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Net cash used in investing activities decreased $128 between 2022 and 2021 primarily due to the sale of our interest in a corporate office building in 2022 and our investment in ASOS.com Ltd. in 2021 (see Note 1: Nature of Operations and Summary of Significant Accounting Policies in Item 8).</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net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9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90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$473</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$506</w:t>
            </w:r>
          </w:p>
        </w:tc>
      </w:tr>
      <w:tr>
        <w:trPr>
          <w:trHeight w:val="216"/>
        </w:trPr>
        <w:tc>
          <w:tcPr>
            <w:tcW w:w="61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Less: deferred property incentives</w:t>
            </w:r>
            <w:r>
              <w:rPr>
                <w:rFonts w:ascii="Arial" w:cs="Arial" w:eastAsia="Arial" w:hAnsi="Arial"/>
                <w:sz w:val="21"/>
                <w:szCs w:val="21"/>
                <w:color w:val="auto"/>
                <w:vertAlign w:val="superscript"/>
              </w:rPr>
              <w:t>1</w:t>
            </w:r>
          </w:p>
        </w:tc>
        <w:tc>
          <w:tcPr>
            <w:tcW w:w="3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w:t>
            </w: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 net</w:t>
            </w:r>
          </w:p>
        </w:tc>
        <w:tc>
          <w:tcPr>
            <w:tcW w:w="390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$453</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$496</w:t>
            </w:r>
          </w:p>
        </w:tc>
      </w:tr>
      <w:tr>
        <w:trPr>
          <w:trHeight w:val="236"/>
        </w:trPr>
        <w:tc>
          <w:tcPr>
            <w:tcW w:w="61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net category allocation:</w:t>
            </w:r>
          </w:p>
        </w:tc>
        <w:tc>
          <w:tcPr>
            <w:tcW w:w="3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100" w:type="dxa"/>
            <w:vAlign w:val="bottom"/>
          </w:tcPr>
          <w:p>
            <w:pPr>
              <w:ind w:left="220"/>
              <w:spacing w:after="0"/>
              <w:rPr>
                <w:sz w:val="20"/>
                <w:szCs w:val="20"/>
                <w:color w:val="auto"/>
              </w:rPr>
            </w:pPr>
            <w:r>
              <w:rPr>
                <w:rFonts w:ascii="Arial" w:cs="Arial" w:eastAsia="Arial" w:hAnsi="Arial"/>
                <w:sz w:val="16"/>
                <w:szCs w:val="16"/>
                <w:color w:val="auto"/>
              </w:rPr>
              <w:t>Technology</w:t>
            </w:r>
          </w:p>
        </w:tc>
        <w:tc>
          <w:tcPr>
            <w:tcW w:w="3900" w:type="dxa"/>
            <w:vAlign w:val="bottom"/>
          </w:tcPr>
          <w:p>
            <w:pPr>
              <w:jc w:val="right"/>
              <w:ind w:right="579"/>
              <w:spacing w:after="0"/>
              <w:rPr>
                <w:sz w:val="20"/>
                <w:szCs w:val="20"/>
                <w:color w:val="auto"/>
              </w:rPr>
            </w:pPr>
            <w:r>
              <w:rPr>
                <w:rFonts w:ascii="Arial" w:cs="Arial" w:eastAsia="Arial" w:hAnsi="Arial"/>
                <w:sz w:val="16"/>
                <w:szCs w:val="16"/>
                <w:b w:val="1"/>
                <w:bCs w:val="1"/>
                <w:color w:val="auto"/>
              </w:rPr>
              <w:t>66 %</w:t>
            </w:r>
          </w:p>
        </w:tc>
        <w:tc>
          <w:tcPr>
            <w:tcW w:w="1240" w:type="dxa"/>
            <w:vAlign w:val="bottom"/>
          </w:tcPr>
          <w:p>
            <w:pPr>
              <w:jc w:val="right"/>
              <w:spacing w:after="0"/>
              <w:rPr>
                <w:sz w:val="20"/>
                <w:szCs w:val="20"/>
                <w:color w:val="auto"/>
              </w:rPr>
            </w:pPr>
            <w:r>
              <w:rPr>
                <w:rFonts w:ascii="Arial" w:cs="Arial" w:eastAsia="Arial" w:hAnsi="Arial"/>
                <w:sz w:val="16"/>
                <w:szCs w:val="16"/>
                <w:color w:val="auto"/>
              </w:rPr>
              <w:t>61 %</w:t>
            </w: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stores, relocations, remodels and other</w:t>
            </w:r>
          </w:p>
        </w:tc>
        <w:tc>
          <w:tcPr>
            <w:tcW w:w="390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24 %</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61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Supply chain</w:t>
            </w:r>
          </w:p>
        </w:tc>
        <w:tc>
          <w:tcPr>
            <w:tcW w:w="39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10 %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90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100 %</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bl>
    <w:p>
      <w:pPr>
        <w:spacing w:after="0" w:line="72" w:lineRule="exact"/>
        <w:rPr>
          <w:sz w:val="20"/>
          <w:szCs w:val="20"/>
          <w:color w:val="auto"/>
        </w:rPr>
      </w:pPr>
    </w:p>
    <w:p>
      <w:pPr>
        <w:ind w:left="80" w:right="400" w:hanging="72"/>
        <w:spacing w:after="0" w:line="229" w:lineRule="auto"/>
        <w:tabs>
          <w:tab w:leader="none" w:pos="77"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Deferred property incentives are included in our cash provided by operations in our Consolidated Statements of Cash Flows in Item 8. We operationally view the property incentives we receive from our developers and vendors as an offset to our capital expenditures.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r>
              <w:rPr>
                <w:rFonts w:ascii="Arial" w:cs="Arial" w:eastAsia="Arial" w:hAnsi="Arial"/>
                <w:sz w:val="21"/>
                <w:szCs w:val="21"/>
                <w:color w:val="auto"/>
                <w:vertAlign w:val="superscript"/>
              </w:rPr>
              <w:t>1</w:t>
            </w: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55"/>
        </w:trPr>
        <w:tc>
          <w:tcPr>
            <w:tcW w:w="30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Capital expenditures as a % of net</w:t>
            </w:r>
          </w:p>
        </w:tc>
        <w:tc>
          <w:tcPr>
            <w:tcW w:w="15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3%-4%</w:t>
            </w:r>
          </w:p>
        </w:tc>
        <w:tc>
          <w:tcPr>
            <w:tcW w:w="14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3.1 %</w:t>
            </w:r>
          </w:p>
        </w:tc>
        <w:tc>
          <w:tcPr>
            <w:tcW w:w="140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color w:val="auto"/>
              </w:rPr>
              <w:t>3.5 %</w:t>
            </w:r>
          </w:p>
        </w:tc>
        <w:tc>
          <w:tcPr>
            <w:tcW w:w="14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3.7 %</w:t>
            </w:r>
          </w:p>
        </w:tc>
        <w:tc>
          <w:tcPr>
            <w:tcW w:w="14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6.2 %</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00" w:hanging="92"/>
        <w:spacing w:after="0"/>
        <w:tabs>
          <w:tab w:leader="none" w:pos="10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Rate represents amounts forecasted in 2023.</w:t>
      </w:r>
    </w:p>
    <w:p>
      <w:pPr>
        <w:spacing w:after="0" w:line="13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Capital expenditures as a percentage of net sales in 2022 were at the lower end of our outlook, and decreased compared with 2021 primarily due to decreases in supply chain expenditures and completion of investments in our New York City Nordstrom flagship store in 2022. Going forward, we expect capital expenditure requirements on average to range from 3% to 4% of net sales, and primarily support investments in technology and supply chain capabilities. Approximately $42 of our purchase obligation commitments relate to capital expenditures, all of which we expect to impact our liquidity in the next year (see Note 12: Commitments and Contingencies in Item 8).</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The majority of our financing activities include long-term debt or Revolver proceeds and/or payments, dividend payments and repurchases of common stock.</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Net cash used in financing activities decreased $358 between 2022 and 2021 primarily due to net long-term debt activity in 2021, partially offset by dividends paid in 2022, compared with none in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determining the sizing and timing of share repurchases, we analyze a number of different factors, including our liquidity position, current market and economic conditions, as well as alternative uses of capital, including those used to offset anticipated dilution from equity incentive plans. Share repurchases are made as conditions warrant, in the open market and are then retired. We repurchased 2.8 shares of our common stock for $62 in 2022 and had $438 remaining in share repurchase capacity as of January 28, 2023, compared with no share repurchases in 2021. The actual timing, price, manner and amounts of future share repurchases, if any, will be subject to the discretion of the Board of Directors, contractual commitments, market and economic conditions and applicable SEC rules (see Note 10: Shareholders’ Equity in Item 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determining the dividends to pay, we analyze our dividend payout ratio and dividend yield, while taking into consideration our current and projected operating performance and liquidity, subject to our Revolver covenants (see Note 5: Debt and Credit Facilities in Item 8). Our expected dividend payments in 2023 are a continuation of 50% of the pre-COVID levels. In 2022, we paid $119, or $0.76 per share, compared with no dividends in 2021 (see Note 10: Shareholders’ Equity in Item 8).</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We have various commitments and other executory contracts that are disclosed in the following Notes to Consolidated Financial Statements in Item 8:</w:t>
      </w:r>
    </w:p>
    <w:p>
      <w:pPr>
        <w:spacing w:after="0" w:line="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4: Leases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5: Debt and Credit Facilities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7: Self-Insurance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8: Supplemental Executive Retirement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11: Income Taxes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12: Commitments and Contingencies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 15: Subsequent Events</w:t>
      </w:r>
    </w:p>
    <w:p>
      <w:pPr>
        <w:spacing w:after="0" w:line="171" w:lineRule="exact"/>
        <w:rPr>
          <w:sz w:val="20"/>
          <w:szCs w:val="20"/>
          <w:color w:val="auto"/>
        </w:rPr>
      </w:pPr>
    </w:p>
    <w:p>
      <w:pPr>
        <w:ind w:right="1200"/>
        <w:spacing w:after="0" w:line="354" w:lineRule="auto"/>
        <w:rPr>
          <w:sz w:val="20"/>
          <w:szCs w:val="20"/>
          <w:color w:val="auto"/>
        </w:rPr>
      </w:pPr>
      <w:r>
        <w:rPr>
          <w:rFonts w:ascii="Arial" w:cs="Arial" w:eastAsia="Arial" w:hAnsi="Arial"/>
          <w:sz w:val="18"/>
          <w:szCs w:val="18"/>
          <w:color w:val="auto"/>
        </w:rPr>
        <w:t xml:space="preserve">Other commitments include $66 for deferred compensation and other accrued benefits, $9 of which is payable within one year. </w:t>
      </w:r>
      <w:r>
        <w:rPr>
          <w:rFonts w:ascii="Arial" w:cs="Arial" w:eastAsia="Arial" w:hAnsi="Arial"/>
          <w:sz w:val="18"/>
          <w:szCs w:val="18"/>
          <w:b w:val="1"/>
          <w:bCs w:val="1"/>
          <w:color w:val="auto"/>
        </w:rPr>
        <w:t>Off-Balance Sheet Arrangements</w:t>
      </w:r>
    </w:p>
    <w:p>
      <w:pPr>
        <w:spacing w:after="0" w:line="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In connection with our workers’ compensation programs, we have standby letters of credit issued on our behalf with $13 available and $2 outstanding as of January 28, 2023 (see Note 7: Self-Insurance in Item 8). In management’s opinion, we have no off-balance sheet arrangements that have a material current or future effect on our financial condition or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we believe it provides investors with a meaningful analysis of our ability to generate cash from our business.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calculating a non-GAAP financial measure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0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2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$946</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r>
      <w:tr>
        <w:trPr>
          <w:trHeight w:val="216"/>
        </w:trPr>
        <w:tc>
          <w:tcPr>
            <w:tcW w:w="61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4020" w:type="dxa"/>
            <w:vAlign w:val="bottom"/>
          </w:tcPr>
          <w:p>
            <w:pPr>
              <w:jc w:val="right"/>
              <w:ind w:right="619"/>
              <w:spacing w:after="0"/>
              <w:rPr>
                <w:sz w:val="20"/>
                <w:szCs w:val="20"/>
                <w:color w:val="auto"/>
              </w:rPr>
            </w:pPr>
            <w:r>
              <w:rPr>
                <w:rFonts w:ascii="Arial" w:cs="Arial" w:eastAsia="Arial" w:hAnsi="Arial"/>
                <w:sz w:val="16"/>
                <w:szCs w:val="16"/>
                <w:b w:val="1"/>
                <w:bCs w:val="1"/>
                <w:color w:val="auto"/>
              </w:rPr>
              <w:t>(473)</w:t>
            </w:r>
          </w:p>
        </w:tc>
        <w:tc>
          <w:tcPr>
            <w:tcW w:w="1100" w:type="dxa"/>
            <w:vAlign w:val="bottom"/>
          </w:tcPr>
          <w:p>
            <w:pPr>
              <w:jc w:val="right"/>
              <w:spacing w:after="0"/>
              <w:rPr>
                <w:sz w:val="20"/>
                <w:szCs w:val="20"/>
                <w:color w:val="auto"/>
              </w:rPr>
            </w:pPr>
            <w:r>
              <w:rPr>
                <w:rFonts w:ascii="Arial" w:cs="Arial" w:eastAsia="Arial" w:hAnsi="Arial"/>
                <w:sz w:val="16"/>
                <w:szCs w:val="16"/>
                <w:color w:val="auto"/>
              </w:rPr>
              <w:t>(506)</w:t>
            </w:r>
          </w:p>
        </w:tc>
      </w:tr>
      <w:tr>
        <w:trPr>
          <w:trHeight w:val="216"/>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 in cash book overdrafts</w:t>
            </w:r>
          </w:p>
        </w:tc>
        <w:tc>
          <w:tcPr>
            <w:tcW w:w="40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0"/>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40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$459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w:t>
            </w:r>
          </w:p>
        </w:tc>
      </w:tr>
      <w:tr>
        <w:trPr>
          <w:trHeight w:val="842"/>
        </w:trPr>
        <w:tc>
          <w:tcPr>
            <w:tcW w:w="6120" w:type="dxa"/>
            <w:vAlign w:val="bottom"/>
          </w:tcPr>
          <w:p>
            <w:pPr>
              <w:spacing w:after="0"/>
              <w:rPr>
                <w:sz w:val="20"/>
                <w:szCs w:val="20"/>
                <w:color w:val="auto"/>
              </w:rPr>
            </w:pPr>
            <w:r>
              <w:rPr>
                <w:rFonts w:ascii="Arial" w:cs="Arial" w:eastAsia="Arial" w:hAnsi="Arial"/>
                <w:sz w:val="16"/>
                <w:szCs w:val="16"/>
                <w:color w:val="auto"/>
              </w:rPr>
              <w:t>34</w:t>
            </w:r>
          </w:p>
        </w:tc>
        <w:tc>
          <w:tcPr>
            <w:tcW w:w="4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7"/>
        </w:trPr>
        <w:tc>
          <w:tcPr>
            <w:tcW w:w="61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Capacity and Activity</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During the second quarter of 2022, we terminated and replaced our prior revolving credit facility set to expire in September 2023 with a new $800 Revolver that expires in May 2027. As of January 28, 2023, we had no borrowings outstanding under our Revolver and no issuances outstanding under our commercial paper program. For more information about our credit facilities, see Note 5: Debt and Credit Facilities in Item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principal long-term debt and Revolver activity: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b w:val="1"/>
                <w:bCs w:val="1"/>
                <w:color w:val="auto"/>
              </w:rPr>
              <w:t>Long-term Debt</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Revolver</w:t>
            </w:r>
          </w:p>
        </w:tc>
        <w:tc>
          <w:tcPr>
            <w:tcW w:w="7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Quarter</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First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Second</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Third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Fourth</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First</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Second</w:t>
            </w: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Third</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Fourth</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5"/>
        </w:trPr>
        <w:tc>
          <w:tcPr>
            <w:tcW w:w="3580" w:type="dxa"/>
            <w:vAlign w:val="bottom"/>
          </w:tcPr>
          <w:p>
            <w:pPr>
              <w:ind w:left="240"/>
              <w:spacing w:after="0"/>
              <w:rPr>
                <w:sz w:val="20"/>
                <w:szCs w:val="20"/>
                <w:color w:val="auto"/>
              </w:rPr>
            </w:pPr>
            <w:r>
              <w:rPr>
                <w:rFonts w:ascii="Arial" w:cs="Arial" w:eastAsia="Arial" w:hAnsi="Arial"/>
                <w:sz w:val="16"/>
                <w:szCs w:val="16"/>
                <w:color w:val="auto"/>
              </w:rPr>
              <w:t>Borrowings</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$100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w:t>
            </w:r>
          </w:p>
        </w:tc>
        <w:tc>
          <w:tcPr>
            <w:tcW w:w="11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57"/>
        </w:trPr>
        <w:tc>
          <w:tcPr>
            <w:tcW w:w="3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1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5"/>
        </w:trPr>
        <w:tc>
          <w:tcPr>
            <w:tcW w:w="3580" w:type="dxa"/>
            <w:vAlign w:val="bottom"/>
          </w:tcPr>
          <w:p>
            <w:pPr>
              <w:ind w:left="240"/>
              <w:spacing w:after="0"/>
              <w:rPr>
                <w:sz w:val="20"/>
                <w:szCs w:val="20"/>
                <w:color w:val="auto"/>
              </w:rPr>
            </w:pPr>
            <w:r>
              <w:rPr>
                <w:rFonts w:ascii="Arial" w:cs="Arial" w:eastAsia="Arial" w:hAnsi="Arial"/>
                <w:sz w:val="16"/>
                <w:szCs w:val="16"/>
                <w:color w:val="auto"/>
              </w:rPr>
              <w:t>Borrowings</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675</w:t>
            </w:r>
          </w:p>
        </w:tc>
        <w:tc>
          <w:tcPr>
            <w:tcW w:w="10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200</w:t>
            </w: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9"/>
              <w:spacing w:after="0"/>
              <w:rPr>
                <w:sz w:val="20"/>
                <w:szCs w:val="20"/>
                <w:color w:val="auto"/>
              </w:rPr>
            </w:pPr>
            <w:r>
              <w:rPr>
                <w:rFonts w:ascii="Arial" w:cs="Arial" w:eastAsia="Arial" w:hAnsi="Arial"/>
                <w:sz w:val="16"/>
                <w:szCs w:val="16"/>
                <w:color w:val="auto"/>
              </w:rPr>
              <w:t>200</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5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Payments</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(600)</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(500)</w:t>
            </w:r>
          </w:p>
        </w:tc>
        <w:tc>
          <w:tcPr>
            <w:tcW w:w="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(200)</w:t>
            </w:r>
          </w:p>
        </w:tc>
        <w:tc>
          <w:tcPr>
            <w:tcW w:w="7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Credit Ratings and Revolver Covenants</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Changes in our credit ratings may impact our costs to borrow, whether our personal property secures our Revolver and whether and to what extent we are permitted to pay dividends or conduct share repurchases.</w:t>
      </w:r>
    </w:p>
    <w:p>
      <w:pPr>
        <w:spacing w:after="0" w:line="117" w:lineRule="exact"/>
        <w:rPr>
          <w:sz w:val="20"/>
          <w:szCs w:val="20"/>
          <w:color w:val="auto"/>
        </w:rPr>
      </w:pPr>
    </w:p>
    <w:p>
      <w:pPr>
        <w:ind w:right="200"/>
        <w:spacing w:after="0" w:line="292" w:lineRule="auto"/>
        <w:rPr>
          <w:sz w:val="20"/>
          <w:szCs w:val="20"/>
          <w:color w:val="auto"/>
        </w:rPr>
      </w:pPr>
      <w:r>
        <w:rPr>
          <w:rFonts w:ascii="Arial" w:cs="Arial" w:eastAsia="Arial" w:hAnsi="Arial"/>
          <w:sz w:val="17"/>
          <w:szCs w:val="17"/>
          <w:color w:val="auto"/>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Credit Ratings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Moody’s</w:t>
            </w:r>
          </w:p>
        </w:tc>
        <w:tc>
          <w:tcPr>
            <w:tcW w:w="5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Ba1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Standard &amp; Poor’s</w:t>
            </w:r>
          </w:p>
        </w:tc>
        <w:tc>
          <w:tcPr>
            <w:tcW w:w="5180" w:type="dxa"/>
            <w:vAlign w:val="bottom"/>
          </w:tcPr>
          <w:p>
            <w:pPr>
              <w:jc w:val="right"/>
              <w:ind w:right="479"/>
              <w:spacing w:after="0"/>
              <w:rPr>
                <w:sz w:val="20"/>
                <w:szCs w:val="20"/>
                <w:color w:val="auto"/>
              </w:rPr>
            </w:pPr>
            <w:r>
              <w:rPr>
                <w:rFonts w:ascii="Arial" w:cs="Arial" w:eastAsia="Arial" w:hAnsi="Arial"/>
                <w:sz w:val="16"/>
                <w:szCs w:val="16"/>
                <w:color w:val="auto"/>
              </w:rPr>
              <w:t>BB+</w:t>
            </w:r>
          </w:p>
        </w:tc>
        <w:tc>
          <w:tcPr>
            <w:tcW w:w="1220" w:type="dxa"/>
            <w:vAlign w:val="bottom"/>
          </w:tcPr>
          <w:p>
            <w:pPr>
              <w:jc w:val="right"/>
              <w:spacing w:after="0"/>
              <w:rPr>
                <w:sz w:val="20"/>
                <w:szCs w:val="20"/>
                <w:color w:val="auto"/>
              </w:rPr>
            </w:pPr>
            <w:r>
              <w:rPr>
                <w:rFonts w:ascii="Arial" w:cs="Arial" w:eastAsia="Arial" w:hAnsi="Arial"/>
                <w:sz w:val="16"/>
                <w:szCs w:val="16"/>
                <w:color w:val="auto"/>
              </w:rPr>
              <w:t>Negative</w:t>
            </w:r>
          </w:p>
        </w:tc>
      </w:tr>
      <w:tr>
        <w:trPr>
          <w:trHeight w:val="216"/>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Fitch</w:t>
            </w:r>
          </w:p>
        </w:tc>
        <w:tc>
          <w:tcPr>
            <w:tcW w:w="51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BB+</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bl>
    <w:p>
      <w:pPr>
        <w:spacing w:after="0" w:line="224" w:lineRule="exact"/>
        <w:rPr>
          <w:sz w:val="20"/>
          <w:szCs w:val="20"/>
          <w:color w:val="auto"/>
        </w:rPr>
      </w:pPr>
    </w:p>
    <w:p>
      <w:pPr>
        <w:jc w:val="both"/>
        <w:ind w:right="260"/>
        <w:spacing w:after="0" w:line="291" w:lineRule="auto"/>
        <w:rPr>
          <w:sz w:val="20"/>
          <w:szCs w:val="20"/>
          <w:color w:val="auto"/>
        </w:rPr>
      </w:pPr>
      <w:r>
        <w:rPr>
          <w:rFonts w:ascii="Arial" w:cs="Arial" w:eastAsia="Arial" w:hAnsi="Arial"/>
          <w:sz w:val="17"/>
          <w:szCs w:val="17"/>
          <w:color w:val="auto"/>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January 28, 2023, we were in compliance with all covenants. We have certain limitations with respect to the payment of dividends and share repurchases under our Revolver agreement. For more information about our Revolver covenants, see Note 5: Debt and Credit Facilities in Item 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March 1, 2023, we amended our Revolver agreement in contemplation of a wind-down of business operations in Canada. See 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in Item 8 for more information.</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as it provides a reflection of our creditworthiness which could impact our credit ratings and borrowing costs. This metric is calculated in accordance with the updates in our new Revolver covenant and is a key component in assessing whether our revolving credit facility is secured or unsecured, as well as our ability to make dividend payments and share repurchases. Our goal is to manage debt levels to achieve and maintain investment-grade credit ratings while operating with an efficient capital structure. For more information regarding our Revolver, see Note 5: Debt and Credit Facilities in Item 8.</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debt to EBITDAR is debt to net earnings. The following shows the components to reconcile the debt to net earnings calculation to Adjusted debt to EBITDAR: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Borders>
              <w:bottom w:val="single" w:sz="8" w:color="auto"/>
            </w:tcBorders>
          </w:tcPr>
          <w:p>
            <w:pPr>
              <w:spacing w:after="0"/>
              <w:rPr>
                <w:sz w:val="18"/>
                <w:szCs w:val="18"/>
                <w:color w:val="auto"/>
              </w:rPr>
            </w:pP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28, 2023</w:t>
            </w: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$2,856</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liabilities</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1,784</w:t>
            </w: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debt</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$4,640</w:t>
            </w:r>
          </w:p>
        </w:tc>
      </w:tr>
      <w:tr>
        <w:trPr>
          <w:trHeight w:val="257"/>
        </w:trPr>
        <w:tc>
          <w:tcPr>
            <w:tcW w:w="5700" w:type="dxa"/>
            <w:vAlign w:val="bottom"/>
          </w:tcPr>
          <w:p>
            <w:pPr>
              <w:spacing w:after="0"/>
              <w:rPr>
                <w:sz w:val="22"/>
                <w:szCs w:val="22"/>
                <w:color w:val="auto"/>
              </w:rPr>
            </w:pPr>
          </w:p>
        </w:tc>
        <w:tc>
          <w:tcPr>
            <w:tcW w:w="5540" w:type="dxa"/>
            <w:vAlign w:val="bottom"/>
          </w:tcPr>
          <w:p>
            <w:pPr>
              <w:spacing w:after="0"/>
              <w:rPr>
                <w:sz w:val="22"/>
                <w:szCs w:val="22"/>
                <w:color w:val="auto"/>
              </w:rPr>
            </w:pPr>
          </w:p>
        </w:tc>
      </w:tr>
      <w:tr>
        <w:trPr>
          <w:trHeight w:val="216"/>
        </w:trPr>
        <w:tc>
          <w:tcPr>
            <w:tcW w:w="5700" w:type="dxa"/>
            <w:vAlign w:val="bottom"/>
            <w:tcBorders>
              <w:bottom w:val="single" w:sz="8" w:color="auto"/>
            </w:tcBorders>
            <w:shd w:val="clear" w:color="auto" w:fill="CCEEFF"/>
          </w:tcPr>
          <w:p>
            <w:pPr>
              <w:spacing w:after="0"/>
              <w:rPr>
                <w:sz w:val="18"/>
                <w:szCs w:val="18"/>
                <w:color w:val="auto"/>
              </w:rPr>
            </w:pP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Four Quarters Ended January 28, 2023</w:t>
            </w:r>
          </w:p>
        </w:tc>
      </w:tr>
      <w:tr>
        <w:trPr>
          <w:trHeight w:val="209"/>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5540" w:type="dxa"/>
            <w:vAlign w:val="bottom"/>
          </w:tcPr>
          <w:p>
            <w:pPr>
              <w:jc w:val="right"/>
              <w:spacing w:after="0"/>
              <w:rPr>
                <w:sz w:val="20"/>
                <w:szCs w:val="20"/>
                <w:color w:val="auto"/>
              </w:rPr>
            </w:pPr>
            <w:r>
              <w:rPr>
                <w:rFonts w:ascii="Arial" w:cs="Arial" w:eastAsia="Arial" w:hAnsi="Arial"/>
                <w:sz w:val="16"/>
                <w:szCs w:val="16"/>
                <w:b w:val="1"/>
                <w:bCs w:val="1"/>
                <w:color w:val="auto"/>
              </w:rPr>
              <w:t>$245</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 net</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r>
      <w:tr>
        <w:trPr>
          <w:trHeight w:val="20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before interest and income taxes</w:t>
            </w: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465</w:t>
            </w:r>
          </w:p>
        </w:tc>
      </w:tr>
      <w:tr>
        <w:trPr>
          <w:trHeight w:val="237"/>
        </w:trPr>
        <w:tc>
          <w:tcPr>
            <w:tcW w:w="570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expenses</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w:t>
            </w: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5540" w:type="dxa"/>
            <w:vAlign w:val="bottom"/>
          </w:tcPr>
          <w:p>
            <w:pPr>
              <w:jc w:val="right"/>
              <w:spacing w:after="0"/>
              <w:rPr>
                <w:sz w:val="20"/>
                <w:szCs w:val="20"/>
                <w:color w:val="auto"/>
              </w:rPr>
            </w:pPr>
            <w:r>
              <w:rPr>
                <w:rFonts w:ascii="Arial" w:cs="Arial" w:eastAsia="Arial" w:hAnsi="Arial"/>
                <w:sz w:val="16"/>
                <w:szCs w:val="16"/>
                <w:b w:val="1"/>
                <w:bCs w:val="1"/>
                <w:color w:val="auto"/>
              </w:rPr>
              <w:t>280</w:t>
            </w:r>
          </w:p>
        </w:tc>
      </w:tr>
      <w:tr>
        <w:trPr>
          <w:trHeight w:val="216"/>
        </w:trPr>
        <w:tc>
          <w:tcPr>
            <w:tcW w:w="5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Amortization of developer reimbursements</w:t>
            </w:r>
            <w:r>
              <w:rPr>
                <w:rFonts w:ascii="Arial" w:cs="Arial" w:eastAsia="Arial" w:hAnsi="Arial"/>
                <w:sz w:val="21"/>
                <w:szCs w:val="21"/>
                <w:color w:val="auto"/>
                <w:vertAlign w:val="superscript"/>
              </w:rPr>
              <w:t>1</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r>
      <w:tr>
        <w:trPr>
          <w:trHeight w:val="216"/>
        </w:trPr>
        <w:tc>
          <w:tcPr>
            <w:tcW w:w="570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Other Revolver covenant adjustments</w:t>
            </w:r>
            <w:r>
              <w:rPr>
                <w:rFonts w:ascii="Arial" w:cs="Arial" w:eastAsia="Arial" w:hAnsi="Arial"/>
                <w:sz w:val="21"/>
                <w:szCs w:val="21"/>
                <w:color w:val="auto"/>
                <w:vertAlign w:val="superscript"/>
              </w:rPr>
              <w:t>2</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w:t>
            </w:r>
          </w:p>
        </w:tc>
      </w:tr>
      <w:tr>
        <w:trPr>
          <w:trHeight w:val="21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EBITDAR</w:t>
            </w:r>
          </w:p>
        </w:tc>
        <w:tc>
          <w:tcPr>
            <w:tcW w:w="5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$1,482</w:t>
            </w:r>
          </w:p>
        </w:tc>
      </w:tr>
      <w:tr>
        <w:trPr>
          <w:trHeight w:val="236"/>
        </w:trPr>
        <w:tc>
          <w:tcPr>
            <w:tcW w:w="5700" w:type="dxa"/>
            <w:vAlign w:val="bottom"/>
          </w:tcPr>
          <w:p>
            <w:pPr>
              <w:spacing w:after="0"/>
              <w:rPr>
                <w:sz w:val="20"/>
                <w:szCs w:val="20"/>
                <w:color w:val="auto"/>
              </w:rPr>
            </w:pPr>
          </w:p>
        </w:tc>
        <w:tc>
          <w:tcPr>
            <w:tcW w:w="5540" w:type="dxa"/>
            <w:vAlign w:val="bottom"/>
          </w:tcPr>
          <w:p>
            <w:pPr>
              <w:spacing w:after="0"/>
              <w:rPr>
                <w:sz w:val="20"/>
                <w:szCs w:val="20"/>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 to Net Earnings</w:t>
            </w:r>
          </w:p>
        </w:tc>
        <w:tc>
          <w:tcPr>
            <w:tcW w:w="5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debt to EBITDAR</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w:t>
            </w:r>
          </w:p>
        </w:tc>
      </w:tr>
    </w:tbl>
    <w:p>
      <w:pPr>
        <w:spacing w:after="0" w:line="85" w:lineRule="exact"/>
        <w:rPr>
          <w:sz w:val="20"/>
          <w:szCs w:val="20"/>
          <w:color w:val="auto"/>
        </w:rPr>
      </w:pPr>
    </w:p>
    <w:p>
      <w:pPr>
        <w:ind w:left="80" w:right="40" w:hanging="72"/>
        <w:spacing w:after="0" w:line="229" w:lineRule="auto"/>
        <w:tabs>
          <w:tab w:leader="none" w:pos="77"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Amortization of developer reimbursements is a non-cash reduction of Operating Lease Cost and is therefore added back to Operating Lease Cost for purposes of our Revolver covenant calculation.</w:t>
      </w:r>
    </w:p>
    <w:p>
      <w:pPr>
        <w:ind w:left="80" w:right="160" w:hanging="72"/>
        <w:spacing w:after="0" w:line="272" w:lineRule="auto"/>
        <w:tabs>
          <w:tab w:leader="none" w:pos="77" w:val="left"/>
        </w:tabs>
        <w:numPr>
          <w:ilvl w:val="0"/>
          <w:numId w:val="29"/>
        </w:numPr>
        <w:rPr>
          <w:rFonts w:ascii="Arial" w:cs="Arial" w:eastAsia="Arial" w:hAnsi="Arial"/>
          <w:sz w:val="9"/>
          <w:szCs w:val="9"/>
          <w:color w:val="auto"/>
        </w:rPr>
      </w:pPr>
      <w:r>
        <w:rPr>
          <w:rFonts w:ascii="Arial" w:cs="Arial" w:eastAsia="Arial" w:hAnsi="Arial"/>
          <w:sz w:val="14"/>
          <w:szCs w:val="14"/>
          <w:color w:val="auto"/>
        </w:rPr>
        <w:t>Other adjusting items to reconcile net earnings to Adjusted EBITDAR as defined by our Revolver covenant include interest income, certain non-cash charges and other gains and losses where relevant. For the four quarters ended January 28, 2023, other Revolver covenant adjustments primarily included costs associated with a supply chain technology and related asset impairment and the wind-down of Trunk Club, partially offset by a gain on sale of the Company’s interest in a corporate office building.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The following discussion highlights the estimates we believe are critical and should be read in conjunction with the Notes to Consolidated Financial Statements in Item 8. Our management has discussed the development and selection of these critical accounting estimates with the Audit and Finance Committee of our Board of Directors, and the Audit and Finance Committee has reviewed our disclosures that follow.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reduce sales and cost of sales by an estimate of future customer merchandise returns, which is calculated based on historical and expected return patterns, and record a sales return reserve and an estimated returns asset. We record the impact of the sales return reserve in our separate Nordstrom and Nordstrom Rack banners. The majority of our returns from both digital and physical sales come through our stores. Estimating future returns requires substantial judgment based on current and historical trends and actual returns may vary from our estimates. A 10% change in the sales return reserve, net of the estimated returns asset, would have an approximately $23 impact on our EBIT for the year ended January 28, 2023.</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Nordy Club Loyalty Program and Gift Cards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record breakage revenue for The Nordy Club, including unused points and unredeemed Nordstrom Notes, and gift cards based on historical and expected redemption trends. We have experienced an increase in redemption rates, leading to decreased breakage rates for The Nordy Club. A one percentage point change in our gift card breakage rate would impact our EBIT by approximately $42 for the year ended January 28,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Merchandise inventories are stated at the lower of cost or market value using the retail inventory method. Under the retail method, the valuation of inventories is determined by applying a calculated cost-to-retail ratio to the retail value of ending inventory. Inherent in the retail inventory method are certain management judgments that may affect the ending inventory valuation, as well as gross profit. To determine if the retail value of our inventory should be marked down, we consider current and anticipated demand, customer preferences, age of the merchandise and fashion trends. We record reserves for excess and obsolete inventory based on historical trends and specific identification.</w:t>
      </w:r>
    </w:p>
    <w:p>
      <w:pPr>
        <w:spacing w:after="0" w:line="11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take physical inventory counts at our stores and Supply Chain Network locations and adjust for differences between recorded amounts and counted amounts. Following each physical inventory cycle and using the most recent physical inventory count and historical results, we record an estimate for shrink based on a percentage of sales until the next physical inventory 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 w:lineRule="exact"/>
        <w:rPr>
          <w:sz w:val="20"/>
          <w:szCs w:val="20"/>
          <w:color w:val="auto"/>
        </w:rPr>
      </w:pPr>
    </w:p>
    <w:p>
      <w:pPr>
        <w:jc w:val="both"/>
        <w:ind w:right="480"/>
        <w:spacing w:after="0" w:line="258" w:lineRule="auto"/>
        <w:rPr>
          <w:sz w:val="20"/>
          <w:szCs w:val="20"/>
          <w:color w:val="auto"/>
        </w:rPr>
      </w:pPr>
      <w:r>
        <w:rPr>
          <w:rFonts w:ascii="Arial" w:cs="Arial" w:eastAsia="Arial" w:hAnsi="Arial"/>
          <w:sz w:val="18"/>
          <w:szCs w:val="18"/>
          <w:color w:val="auto"/>
        </w:rPr>
        <w:t>When facts and circumstances indicate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and capital expenditures.</w:t>
      </w:r>
    </w:p>
    <w:p>
      <w:pPr>
        <w:spacing w:after="0" w:line="12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These projections are inherently subject to uncertainties and while we believe the inputs and assumptions utilized in our future cash flows are reasonable, our estimates may change in the near term based on our current and future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pay income taxes based on the tax statutes, regulations and case law of the various jurisdictions in which we operate. Our income tax expense and deferred tax assets and liabilities reflect our best estimate of current and future taxes to be paid. Tax expense may be affected by numerous items, such as changes in tax law, changes in business operations, the results of tax audits and changes to our forecasts of income and loss due to economic and other conditions, such as COVID-19. Significant judgments and estimates are required in determining consolidated tax expense.</w:t>
      </w:r>
    </w:p>
    <w:p>
      <w:pPr>
        <w:spacing w:after="0" w:line="1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Deferred tax assets and liabilities arise from differences between the financial reporting and tax basis of assets and liabilities and for operating loss and tax credit carryforwards. The deferred tax assets and liabilities are calculated using the enacted tax rates and laws expected to be in effect when the differences are expected to reverse. In evaluating the likelihood of realizing the benefit of our deferred tax assets, we consider all available evidence, including historical results and projected future taxable income. The assumptions about future taxable income require the use of significant judgment and are consistent with the plans and estimates we are using to manage the underlying business.</w:t>
      </w:r>
    </w:p>
    <w:p>
      <w:pPr>
        <w:spacing w:after="0" w:line="12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recorded a valuation allowance against certain foreign deferred tax assets as of January 28, 2023 and January 29, 2022 and intend to maintain the valuation allowance until there is sufficient evidence to support its reversal. Increases or decreases in the valuation allowance will result in an increase or decrease in our effective tax rate in the period the change occurs. We believe there is a reasonable possibility within the next twelve months that sufficient negative evidence may become available that requires recording a valuation allowance against the remainder of our foreign deferred tax assets. See Note 15: Subsequent Events in Item 8 for more information.</w:t>
      </w:r>
    </w:p>
    <w:p>
      <w:pPr>
        <w:spacing w:after="0" w:line="1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benefits of uncertain tax positions are recorded in our financial statements only after determining it is more likely than not the uncertain tax positions would sustain challenge by taxing authorities. We are periodically audited by federal, state and foreign tax authorities related to our tax filing positions and allocation of income among various tax jurisdictions. Although we believe our liabilities for uncertain tax positions are reasonable, because of the complexity of some of these uncertainties, the ultimate resolution may result in an outcome that is materially different from our current estimated liability. Furthermore, we are unable to reasonably estimate the timing of related future cash payments. Any differences will be reflected as increases or decreases to income tax expense in the period of resolution.</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December 2022, the SEC adopted the final rule under SEC Release No. 33-11138, </w:t>
      </w:r>
      <w:r>
        <w:rPr>
          <w:rFonts w:ascii="Arial" w:cs="Arial" w:eastAsia="Arial" w:hAnsi="Arial"/>
          <w:sz w:val="18"/>
          <w:szCs w:val="18"/>
          <w:i w:val="1"/>
          <w:iCs w:val="1"/>
          <w:color w:val="auto"/>
        </w:rPr>
        <w:t>Insider Trading Arrangements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requires new disclosures regarding insider trading policies and procedures, the use of certain insider trading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and executive compensation regarding equity compensation awards made close in time to our disclosure of material nonpublic information. Quarterly disclosure requirements under this final rule will be effective for us in the second quarter of 2023 and annual disclosure requirements will be effective for us in the fourth quarter of 2023. The adoption of this final rule is not anticipated to have a material impact on our results of operations, liquidity or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Quantitative and Qualitative Disclosures About Market Risk.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our long-term debt of $2,856, our exposure to interest rate risk is primarily limited to changes in fair value. As our debt is primarily fixed-rate, changes in interest rates do not materially impact our cash flows. However, changes in interest rates increase or decrease the fair value of our debt, depending on whether market rates are lower or higher than our fixed rates. As of January 28, 2023, the fair value of our long-term debt was $2,278 (see Note 5: Debt and Credit Facilities and Note 6: Fair Value Measurements in Item 8).</w:t>
      </w:r>
    </w:p>
    <w:p>
      <w:pPr>
        <w:spacing w:after="0" w:line="1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exposed to interest rate risk primarily from changes in short-term interest rates. Interest rate fluctuations can affect our interest income and interest expense. As of January 28, 2023, we had cash and cash equivalents of $687 which generate interest income at variable rates and no borrowings outstanding under our Revolver, for which we pay interest at a variable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majority of our revenues, expenses and capital expenditures are transacted in U.S. Dollars. Our U.S. operations periodically enter into merchandise purchase orders denominated in British Pounds or Euros. From time to time, we may use forward contracts to hedge against fluctuations in foreign currency prices. As of January 28, 2023, our outstanding forward contracts did not have a material impact on our Consolidated Financial Statements.</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Canadian operations are comprised of the Nordstrom.ca website, six Nordstrom stores and seven Nordstrom Rack stores. Our Canadian operations enter into merchandise purchase orders denominated in U.S. Dollars for some portion of our inventory. As sales in Canada are denominated in the Canadian Dollar, gross profit for our Canadian operations can be impacted by foreign currency fluctuations. As of January 28, 2023, activities associated with foreign currency exchange risk have not had a material impact on our Consolidated Financial Statements (see Note 1: Nature of Operations and Summary of Significant Accounting Policies in Item 8.) On March 2, 2023, Nordstrom Canada commenced a wind-down of its business operations. See Note 15: Subsequent Events in Item 8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primary risk exposures or management of market risks since the prior year.</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200" w:type="dxa"/>
            <w:vAlign w:val="bottom"/>
            <w:tcBorders>
              <w:bottom w:val="single" w:sz="8" w:color="0000FF"/>
            </w:tcBorders>
            <w:shd w:val="clear" w:color="auto" w:fill="CCEEFF"/>
          </w:tcPr>
          <w:p>
            <w:pPr>
              <w:jc w:val="right"/>
              <w:spacing w:after="0"/>
              <w:rPr>
                <w:sz w:val="20"/>
                <w:szCs w:val="20"/>
                <w:color w:val="auto"/>
              </w:rPr>
            </w:pPr>
            <w:r>
              <w:rPr>
                <w:rFonts w:ascii="Arial" w:cs="Arial" w:eastAsia="Arial" w:hAnsi="Arial"/>
                <w:sz w:val="18"/>
                <w:szCs w:val="18"/>
                <w:color w:val="0000FF"/>
                <w:w w:val="89"/>
              </w:rPr>
              <w:t>40</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Consolidated Statements of Earnings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42</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Comprehensive Earnings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Consolidated Balance Sheets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43</w:t>
            </w:r>
          </w:p>
        </w:tc>
        <w:tc>
          <w:tcPr>
            <w:tcW w:w="20" w:type="dxa"/>
            <w:vAlign w:val="bottom"/>
            <w:tcBorders>
              <w:top w:val="single" w:sz="8" w:color="CCEEFF"/>
            </w:tcBorders>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10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Shareholders’ Equity</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44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Consolidated Statements of Cash Flows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45</w:t>
            </w:r>
          </w:p>
        </w:tc>
        <w:tc>
          <w:tcPr>
            <w:tcW w:w="20" w:type="dxa"/>
            <w:vAlign w:val="bottom"/>
            <w:tcBorders>
              <w:top w:val="single" w:sz="8" w:color="CCEEFF"/>
            </w:tcBorders>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1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1000" w:type="dxa"/>
            <w:vAlign w:val="bottom"/>
          </w:tcPr>
          <w:p>
            <w:pPr>
              <w:ind w:left="480"/>
              <w:spacing w:after="0" w:line="189" w:lineRule="exact"/>
              <w:rPr>
                <w:sz w:val="20"/>
                <w:szCs w:val="20"/>
                <w:color w:val="auto"/>
              </w:rPr>
            </w:pPr>
            <w:r>
              <w:rPr>
                <w:rFonts w:ascii="Arial" w:cs="Arial" w:eastAsia="Arial" w:hAnsi="Arial"/>
                <w:sz w:val="18"/>
                <w:szCs w:val="18"/>
                <w:color w:val="auto"/>
              </w:rPr>
              <w:t>Note 1: Nature of Operations and Summary of Significant Accounting Policies</w:t>
            </w:r>
          </w:p>
        </w:tc>
        <w:tc>
          <w:tcPr>
            <w:tcW w:w="20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46</w:t>
            </w:r>
          </w:p>
        </w:tc>
        <w:tc>
          <w:tcPr>
            <w:tcW w:w="20" w:type="dxa"/>
            <w:vAlign w:val="bottom"/>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2: Revenue</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3: Land, Property and Equipment</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54</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4: Leases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5: Debt and Credit Facilities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55</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6: Fair Value Measurements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7: Self-Insurance</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57</w:t>
            </w:r>
          </w:p>
        </w:tc>
        <w:tc>
          <w:tcPr>
            <w:tcW w:w="20" w:type="dxa"/>
            <w:vAlign w:val="bottom"/>
            <w:tcBorders>
              <w:top w:val="single" w:sz="8" w:color="CCEEFF"/>
            </w:tcBorders>
          </w:tcPr>
          <w:p>
            <w:pPr>
              <w:spacing w:after="0"/>
              <w:rPr>
                <w:sz w:val="16"/>
                <w:szCs w:val="16"/>
                <w:color w:val="auto"/>
              </w:rPr>
            </w:pPr>
          </w:p>
        </w:tc>
      </w:tr>
      <w:tr>
        <w:trPr>
          <w:trHeight w:val="20"/>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8: Supplemental Executive Retirement Plan</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58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9: Stock-based Compensation</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59</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10: Shareholders’ Equity</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11: Income Taxes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62</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12: Commitments and Contingencies</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13: Earnings Per Share</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64</w:t>
            </w:r>
          </w:p>
        </w:tc>
        <w:tc>
          <w:tcPr>
            <w:tcW w:w="20" w:type="dxa"/>
            <w:vAlign w:val="bottom"/>
            <w:tcBorders>
              <w:top w:val="single" w:sz="8" w:color="CCEEFF"/>
            </w:tcBorders>
          </w:tcPr>
          <w:p>
            <w:pPr>
              <w:spacing w:after="0"/>
              <w:rPr>
                <w:sz w:val="16"/>
                <w:szCs w:val="16"/>
                <w:color w:val="auto"/>
              </w:rPr>
            </w:pPr>
          </w:p>
        </w:tc>
      </w:tr>
      <w:tr>
        <w:trPr>
          <w:trHeight w:val="21"/>
        </w:trPr>
        <w:tc>
          <w:tcPr>
            <w:tcW w:w="1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4"/>
        </w:trPr>
        <w:tc>
          <w:tcPr>
            <w:tcW w:w="11000" w:type="dxa"/>
            <w:vAlign w:val="bottom"/>
            <w:tcBorders>
              <w:bottom w:val="single" w:sz="8" w:color="CCEEFF"/>
            </w:tcBorders>
            <w:shd w:val="clear" w:color="auto" w:fill="CCEEFF"/>
          </w:tcPr>
          <w:p>
            <w:pPr>
              <w:ind w:left="480"/>
              <w:spacing w:after="0" w:line="189" w:lineRule="exact"/>
              <w:rPr>
                <w:sz w:val="20"/>
                <w:szCs w:val="20"/>
                <w:color w:val="auto"/>
              </w:rPr>
            </w:pPr>
            <w:r>
              <w:rPr>
                <w:rFonts w:ascii="Arial" w:cs="Arial" w:eastAsia="Arial" w:hAnsi="Arial"/>
                <w:sz w:val="18"/>
                <w:szCs w:val="18"/>
                <w:color w:val="auto"/>
              </w:rPr>
              <w:t>Note 14: Segment Reporting</w:t>
            </w:r>
          </w:p>
        </w:tc>
        <w:tc>
          <w:tcPr>
            <w:tcW w:w="2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89"/>
              </w:rPr>
              <w:t>65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11000" w:type="dxa"/>
            <w:vAlign w:val="bottom"/>
            <w:tcBorders>
              <w:top w:val="single" w:sz="8" w:color="CCEEFF"/>
            </w:tcBorders>
          </w:tcPr>
          <w:p>
            <w:pPr>
              <w:ind w:left="480"/>
              <w:spacing w:after="0" w:line="189" w:lineRule="exact"/>
              <w:rPr>
                <w:sz w:val="20"/>
                <w:szCs w:val="20"/>
                <w:color w:val="auto"/>
              </w:rPr>
            </w:pPr>
            <w:r>
              <w:rPr>
                <w:rFonts w:ascii="Arial" w:cs="Arial" w:eastAsia="Arial" w:hAnsi="Arial"/>
                <w:sz w:val="18"/>
                <w:szCs w:val="18"/>
                <w:color w:val="auto"/>
              </w:rPr>
              <w:t>Note 15: Subsequent Events</w:t>
            </w:r>
          </w:p>
        </w:tc>
        <w:tc>
          <w:tcPr>
            <w:tcW w:w="200" w:type="dxa"/>
            <w:vAlign w:val="bottom"/>
            <w:tcBorders>
              <w:top w:val="single" w:sz="8" w:color="CCEEFF"/>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89"/>
              </w:rPr>
              <w:t>66</w:t>
            </w:r>
          </w:p>
        </w:tc>
        <w:tc>
          <w:tcPr>
            <w:tcW w:w="2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080"/>
        <w:spacing w:after="0" w:line="4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the Financial Statements</w:t>
      </w:r>
    </w:p>
    <w:p>
      <w:pPr>
        <w:spacing w:after="0" w:line="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audited the accompanying consolidated balance sheets of Nordstrom, Inc. and subsidiaries (the “Company”) as of January 28, 2023, and January 29, 2022, and the related consolidated statements of earnings, comprehensive earnings, shareholders’ equity, and cash flows, for each of the three years in the period ended January 28, 2023, and the related notes (collectively referred to as the “financial statements”). In our opinion, the financial statements present fairly, in all material respects, the financial position of the Company as of January 28, 2023, and January 29, 2022, and the results of its operations and its cash flows for each of the three years in the period ended January 28, 2023, in conformity with accounting principles generally accepted in the United States of America.</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28, 2023, based on the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March 10,</w:t>
      </w:r>
      <w:r>
        <w:rPr>
          <w:rFonts w:ascii="Arial" w:cs="Arial" w:eastAsia="Arial" w:hAnsi="Arial"/>
          <w:sz w:val="18"/>
          <w:szCs w:val="18"/>
          <w:i w:val="1"/>
          <w:iCs w:val="1"/>
          <w:color w:val="auto"/>
        </w:rPr>
        <w:t xml:space="preserve"> </w:t>
      </w:r>
      <w:r>
        <w:rPr>
          <w:rFonts w:ascii="Arial" w:cs="Arial" w:eastAsia="Arial" w:hAnsi="Arial"/>
          <w:sz w:val="18"/>
          <w:szCs w:val="18"/>
          <w:color w:val="auto"/>
        </w:rPr>
        <w:t>2023,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critical audit matter communicated below arose from the current-period audit of the financial statements that was communicated or required to be communicated to the Audit and Finance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right="5280"/>
        <w:spacing w:after="0" w:line="460" w:lineRule="auto"/>
        <w:rPr>
          <w:sz w:val="20"/>
          <w:szCs w:val="20"/>
          <w:color w:val="auto"/>
        </w:rPr>
      </w:pPr>
      <w:r>
        <w:rPr>
          <w:rFonts w:ascii="Arial" w:cs="Arial" w:eastAsia="Arial" w:hAnsi="Arial"/>
          <w:sz w:val="18"/>
          <w:szCs w:val="18"/>
          <w:b w:val="1"/>
          <w:bCs w:val="1"/>
          <w:i w:val="1"/>
          <w:iCs w:val="1"/>
          <w:color w:val="auto"/>
        </w:rPr>
        <w:t xml:space="preserve">Merchandise Inventories—Refer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merchandise inventories are generally stated at the lower of cost or market using the retail inventory method (“RIM”). Under the RIM, the valuation of inventories is determined by applying a calculated cost-to-retail ratio to the retail value of ending inventory. The value of the Company’s inventory on the balance sheet is then reduced by a charge to cost of sales for retail inventory markdowns taken on the selling price. To determine if the retail value of its inventory should be marked down, the Company considers many factors, including current and anticipated demand, customer preferences, age of the merchandise and fashion trends. Recorded markdowns represent one of the most significant inputs into the RIM calculation due to their impact on inventory valuation. Accordingly, the Company’s process of recording markdowns is subjective, particularly as it relates to timing of markdowns.</w:t>
      </w:r>
    </w:p>
    <w:p>
      <w:pPr>
        <w:spacing w:after="0" w:line="14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Given the management judgments necessary to identify and record markdowns in a timely manner, performing audit procedures to evaluate the timeliness of markdowns required a high degree of auditor judgment.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timing of markdowns taken, included the following, among others:</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designed to ensure that markdowns are recorded timely.</w:t>
      </w:r>
    </w:p>
    <w:p>
      <w:pPr>
        <w:spacing w:after="0" w:line="63" w:lineRule="exact"/>
        <w:rPr>
          <w:rFonts w:ascii="Arial" w:cs="Arial" w:eastAsia="Arial" w:hAnsi="Arial"/>
          <w:sz w:val="18"/>
          <w:szCs w:val="18"/>
          <w:color w:val="auto"/>
        </w:rPr>
      </w:pPr>
    </w:p>
    <w:p>
      <w:pPr>
        <w:ind w:left="660" w:right="120" w:hanging="328"/>
        <w:spacing w:after="0" w:line="262" w:lineRule="auto"/>
        <w:tabs>
          <w:tab w:leader="none" w:pos="6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reasonableness of the timing of markdowns recorded by performing analytical procedures to compare current period trends to historical trends at varying levels of disaggregation (i.e., total company, operating segment, and business unit level) across multiple fiscal periods, including, but not limited to, metrics such as markdowns relative to sales trends, inventory turnover, and inventory aging.</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management’s ability to identify triggering events and accurately forecast markdown activity by: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Comparing actual markdowns recorded to management’s historical forecasts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Reading information included in Company press releases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Reading internal communications to management and the Board of Directors</w:t>
      </w:r>
    </w:p>
    <w:p>
      <w:pPr>
        <w:spacing w:after="0" w:line="63" w:lineRule="exact"/>
        <w:rPr>
          <w:rFonts w:ascii="Arial" w:cs="Arial" w:eastAsia="Arial" w:hAnsi="Arial"/>
          <w:sz w:val="18"/>
          <w:szCs w:val="18"/>
          <w:color w:val="auto"/>
        </w:rPr>
      </w:pPr>
    </w:p>
    <w:p>
      <w:pPr>
        <w:ind w:left="660" w:right="640" w:hanging="328"/>
        <w:spacing w:after="0" w:line="287" w:lineRule="auto"/>
        <w:tabs>
          <w:tab w:leader="none" w:pos="6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performed a retrospective review of markdowns recorded in periods subsequent to fiscal year-end to assess whether any unusual trends occurred that would indicate untimely markdowns.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1970.</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Earnings</w:t>
      </w:r>
    </w:p>
    <w:p>
      <w:pPr>
        <w:spacing w:after="0"/>
        <w:rPr>
          <w:sz w:val="20"/>
          <w:szCs w:val="20"/>
          <w:color w:val="auto"/>
        </w:rPr>
      </w:pPr>
      <w:r>
        <w:rPr>
          <w:rFonts w:ascii="Arial" w:cs="Arial" w:eastAsia="Arial" w:hAnsi="Arial"/>
          <w:sz w:val="18"/>
          <w:szCs w:val="18"/>
          <w:color w:val="auto"/>
        </w:rPr>
        <w:t>(In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7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7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$15,092</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$14,402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$10,357</w:t>
            </w:r>
          </w:p>
        </w:tc>
      </w:tr>
      <w:tr>
        <w:trPr>
          <w:trHeight w:val="216"/>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card revenues, net</w:t>
            </w: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438</w:t>
            </w: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387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15,530</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14,789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10,715</w:t>
            </w:r>
          </w:p>
        </w:tc>
      </w:tr>
      <w:tr>
        <w:trPr>
          <w:trHeight w:val="216"/>
        </w:trPr>
        <w:tc>
          <w:tcPr>
            <w:tcW w:w="5480" w:type="dxa"/>
            <w:vAlign w:val="bottom"/>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780" w:type="dxa"/>
            <w:vAlign w:val="bottom"/>
          </w:tcPr>
          <w:p>
            <w:pPr>
              <w:jc w:val="right"/>
              <w:ind w:right="499"/>
              <w:spacing w:after="0"/>
              <w:rPr>
                <w:sz w:val="20"/>
                <w:szCs w:val="20"/>
                <w:color w:val="auto"/>
              </w:rPr>
            </w:pPr>
            <w:r>
              <w:rPr>
                <w:rFonts w:ascii="Arial" w:cs="Arial" w:eastAsia="Arial" w:hAnsi="Arial"/>
                <w:sz w:val="16"/>
                <w:szCs w:val="16"/>
                <w:b w:val="1"/>
                <w:bCs w:val="1"/>
                <w:color w:val="auto"/>
              </w:rPr>
              <w:t>(10,019)</w:t>
            </w:r>
          </w:p>
        </w:tc>
        <w:tc>
          <w:tcPr>
            <w:tcW w:w="1760" w:type="dxa"/>
            <w:vAlign w:val="bottom"/>
          </w:tcPr>
          <w:p>
            <w:pPr>
              <w:jc w:val="right"/>
              <w:ind w:right="499"/>
              <w:spacing w:after="0"/>
              <w:rPr>
                <w:sz w:val="20"/>
                <w:szCs w:val="20"/>
                <w:color w:val="auto"/>
              </w:rPr>
            </w:pPr>
            <w:r>
              <w:rPr>
                <w:rFonts w:ascii="Arial" w:cs="Arial" w:eastAsia="Arial" w:hAnsi="Arial"/>
                <w:sz w:val="16"/>
                <w:szCs w:val="16"/>
                <w:color w:val="auto"/>
              </w:rPr>
              <w:t>(9,344)</w:t>
            </w:r>
          </w:p>
        </w:tc>
        <w:tc>
          <w:tcPr>
            <w:tcW w:w="1220" w:type="dxa"/>
            <w:vAlign w:val="bottom"/>
          </w:tcPr>
          <w:p>
            <w:pPr>
              <w:jc w:val="right"/>
              <w:spacing w:after="0"/>
              <w:rPr>
                <w:sz w:val="20"/>
                <w:szCs w:val="20"/>
                <w:color w:val="auto"/>
              </w:rPr>
            </w:pPr>
            <w:r>
              <w:rPr>
                <w:rFonts w:ascii="Arial" w:cs="Arial" w:eastAsia="Arial" w:hAnsi="Arial"/>
                <w:sz w:val="16"/>
                <w:szCs w:val="16"/>
                <w:color w:val="auto"/>
              </w:rPr>
              <w:t>(7,600)</w:t>
            </w:r>
          </w:p>
        </w:tc>
      </w:tr>
      <w:tr>
        <w:trPr>
          <w:trHeight w:val="216"/>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(5,046)</w:t>
            </w:r>
          </w:p>
        </w:tc>
        <w:tc>
          <w:tcPr>
            <w:tcW w:w="17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(4,953)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(4,162)</w:t>
            </w: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2780" w:type="dxa"/>
            <w:vAlign w:val="bottom"/>
          </w:tcPr>
          <w:p>
            <w:pPr>
              <w:jc w:val="right"/>
              <w:ind w:right="539"/>
              <w:spacing w:after="0"/>
              <w:rPr>
                <w:sz w:val="20"/>
                <w:szCs w:val="20"/>
                <w:color w:val="auto"/>
              </w:rPr>
            </w:pPr>
            <w:r>
              <w:rPr>
                <w:rFonts w:ascii="Arial" w:cs="Arial" w:eastAsia="Arial" w:hAnsi="Arial"/>
                <w:sz w:val="16"/>
                <w:szCs w:val="16"/>
                <w:b w:val="1"/>
                <w:bCs w:val="1"/>
                <w:color w:val="auto"/>
              </w:rPr>
              <w:t>465</w:t>
            </w:r>
          </w:p>
        </w:tc>
        <w:tc>
          <w:tcPr>
            <w:tcW w:w="1760" w:type="dxa"/>
            <w:vAlign w:val="bottom"/>
          </w:tcPr>
          <w:p>
            <w:pPr>
              <w:jc w:val="right"/>
              <w:ind w:right="539"/>
              <w:spacing w:after="0"/>
              <w:rPr>
                <w:sz w:val="20"/>
                <w:szCs w:val="20"/>
                <w:color w:val="auto"/>
              </w:rPr>
            </w:pPr>
            <w:r>
              <w:rPr>
                <w:rFonts w:ascii="Arial" w:cs="Arial" w:eastAsia="Arial" w:hAnsi="Arial"/>
                <w:sz w:val="16"/>
                <w:szCs w:val="16"/>
                <w:color w:val="auto"/>
              </w:rPr>
              <w:t>492</w:t>
            </w:r>
          </w:p>
        </w:tc>
        <w:tc>
          <w:tcPr>
            <w:tcW w:w="122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16"/>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(128)</w:t>
            </w:r>
          </w:p>
        </w:tc>
        <w:tc>
          <w:tcPr>
            <w:tcW w:w="17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(246)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auto"/>
              </w:rPr>
              <w:t>Earnings (loss) before income taxes</w:t>
            </w:r>
          </w:p>
        </w:tc>
        <w:tc>
          <w:tcPr>
            <w:tcW w:w="2780" w:type="dxa"/>
            <w:vAlign w:val="bottom"/>
          </w:tcPr>
          <w:p>
            <w:pPr>
              <w:jc w:val="right"/>
              <w:ind w:right="539"/>
              <w:spacing w:after="0"/>
              <w:rPr>
                <w:sz w:val="20"/>
                <w:szCs w:val="20"/>
                <w:color w:val="auto"/>
              </w:rPr>
            </w:pPr>
            <w:r>
              <w:rPr>
                <w:rFonts w:ascii="Arial" w:cs="Arial" w:eastAsia="Arial" w:hAnsi="Arial"/>
                <w:sz w:val="16"/>
                <w:szCs w:val="16"/>
                <w:b w:val="1"/>
                <w:bCs w:val="1"/>
                <w:color w:val="auto"/>
              </w:rPr>
              <w:t>337</w:t>
            </w:r>
          </w:p>
        </w:tc>
        <w:tc>
          <w:tcPr>
            <w:tcW w:w="1760" w:type="dxa"/>
            <w:vAlign w:val="bottom"/>
          </w:tcPr>
          <w:p>
            <w:pPr>
              <w:jc w:val="right"/>
              <w:ind w:right="539"/>
              <w:spacing w:after="0"/>
              <w:rPr>
                <w:sz w:val="20"/>
                <w:szCs w:val="20"/>
                <w:color w:val="auto"/>
              </w:rPr>
            </w:pPr>
            <w:r>
              <w:rPr>
                <w:rFonts w:ascii="Arial" w:cs="Arial" w:eastAsia="Arial" w:hAnsi="Arial"/>
                <w:sz w:val="16"/>
                <w:szCs w:val="16"/>
                <w:color w:val="auto"/>
              </w:rPr>
              <w:t>246</w:t>
            </w:r>
          </w:p>
        </w:tc>
        <w:tc>
          <w:tcPr>
            <w:tcW w:w="1220" w:type="dxa"/>
            <w:vAlign w:val="bottom"/>
          </w:tcPr>
          <w:p>
            <w:pPr>
              <w:jc w:val="right"/>
              <w:spacing w:after="0"/>
              <w:rPr>
                <w:sz w:val="20"/>
                <w:szCs w:val="20"/>
                <w:color w:val="auto"/>
              </w:rPr>
            </w:pPr>
            <w:r>
              <w:rPr>
                <w:rFonts w:ascii="Arial" w:cs="Arial" w:eastAsia="Arial" w:hAnsi="Arial"/>
                <w:sz w:val="16"/>
                <w:szCs w:val="16"/>
                <w:color w:val="auto"/>
              </w:rPr>
              <w:t>(1,228)</w:t>
            </w:r>
          </w:p>
        </w:tc>
      </w:tr>
      <w:tr>
        <w:trPr>
          <w:trHeight w:val="216"/>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7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(92)</w:t>
            </w:r>
          </w:p>
        </w:tc>
        <w:tc>
          <w:tcPr>
            <w:tcW w:w="176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(68)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09"/>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earnings (loss)</w:t>
            </w: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$245</w:t>
            </w: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$178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r>
      <w:tr>
        <w:trPr>
          <w:trHeight w:val="237"/>
        </w:trPr>
        <w:tc>
          <w:tcPr>
            <w:tcW w:w="54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Earnings (loss) per share:</w:t>
            </w:r>
          </w:p>
        </w:tc>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$1.53</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$1.12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6"/>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w:t>
            </w: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$1.51</w:t>
            </w: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r>
      <w:tr>
        <w:trPr>
          <w:trHeight w:val="236"/>
        </w:trPr>
        <w:tc>
          <w:tcPr>
            <w:tcW w:w="548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Weighted-average shares outstanding:</w:t>
            </w:r>
          </w:p>
        </w:tc>
        <w:tc>
          <w:tcPr>
            <w:tcW w:w="2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5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7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160.1</w:t>
            </w:r>
          </w:p>
        </w:tc>
        <w:tc>
          <w:tcPr>
            <w:tcW w:w="17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159.0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16"/>
        </w:trPr>
        <w:tc>
          <w:tcPr>
            <w:tcW w:w="5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w:t>
            </w:r>
          </w:p>
        </w:tc>
        <w:tc>
          <w:tcPr>
            <w:tcW w:w="2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162.1</w:t>
            </w:r>
          </w:p>
        </w:tc>
        <w:tc>
          <w:tcPr>
            <w:tcW w:w="17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162.5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Earnings</w:t>
      </w:r>
    </w:p>
    <w:p>
      <w:pPr>
        <w:spacing w:after="0"/>
        <w:rPr>
          <w:sz w:val="20"/>
          <w:szCs w:val="20"/>
          <w:color w:val="auto"/>
        </w:rPr>
      </w:pPr>
      <w:r>
        <w:rPr>
          <w:rFonts w:ascii="Arial" w:cs="Arial" w:eastAsia="Arial" w:hAnsi="Arial"/>
          <w:sz w:val="18"/>
          <w:szCs w:val="18"/>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24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$245</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$178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16"/>
        </w:trPr>
        <w:tc>
          <w:tcPr>
            <w:tcW w:w="5960" w:type="dxa"/>
            <w:vAlign w:val="bottom"/>
          </w:tcPr>
          <w:p>
            <w:pPr>
              <w:ind w:left="20"/>
              <w:spacing w:after="0"/>
              <w:rPr>
                <w:sz w:val="20"/>
                <w:szCs w:val="20"/>
                <w:color w:val="auto"/>
              </w:rPr>
            </w:pPr>
            <w:r>
              <w:rPr>
                <w:rFonts w:ascii="Arial" w:cs="Arial" w:eastAsia="Arial" w:hAnsi="Arial"/>
                <w:sz w:val="16"/>
                <w:szCs w:val="16"/>
                <w:color w:val="auto"/>
              </w:rPr>
              <w:t>Postretirement plan adjustments, net of tax of ($12), ($6) and $0</w:t>
            </w:r>
          </w:p>
        </w:tc>
        <w:tc>
          <w:tcPr>
            <w:tcW w:w="2400" w:type="dxa"/>
            <w:vAlign w:val="bottom"/>
          </w:tcPr>
          <w:p>
            <w:pPr>
              <w:jc w:val="right"/>
              <w:ind w:right="639"/>
              <w:spacing w:after="0"/>
              <w:rPr>
                <w:sz w:val="20"/>
                <w:szCs w:val="20"/>
                <w:color w:val="auto"/>
              </w:rPr>
            </w:pPr>
            <w:r>
              <w:rPr>
                <w:rFonts w:ascii="Arial" w:cs="Arial" w:eastAsia="Arial" w:hAnsi="Arial"/>
                <w:sz w:val="16"/>
                <w:szCs w:val="16"/>
                <w:b w:val="1"/>
                <w:bCs w:val="1"/>
                <w:color w:val="auto"/>
              </w:rPr>
              <w:t>32</w:t>
            </w: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18</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4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(8)</w:t>
            </w: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net earnings (loss)</w:t>
            </w:r>
          </w:p>
        </w:tc>
        <w:tc>
          <w:tcPr>
            <w:tcW w:w="2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$269</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$198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rPr>
          <w:sz w:val="20"/>
          <w:szCs w:val="20"/>
          <w:color w:val="auto"/>
        </w:rPr>
      </w:pPr>
      <w:r>
        <w:rPr>
          <w:rFonts w:ascii="Arial" w:cs="Arial" w:eastAsia="Arial" w:hAnsi="Arial"/>
          <w:sz w:val="18"/>
          <w:szCs w:val="18"/>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$687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16"/>
        </w:trPr>
        <w:tc>
          <w:tcPr>
            <w:tcW w:w="788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265</w:t>
            </w:r>
          </w:p>
        </w:tc>
        <w:tc>
          <w:tcPr>
            <w:tcW w:w="15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inventories</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1,941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r>
      <w:tr>
        <w:trPr>
          <w:trHeight w:val="216"/>
        </w:trPr>
        <w:tc>
          <w:tcPr>
            <w:tcW w:w="7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316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3,209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w:t>
            </w:r>
          </w:p>
        </w:tc>
      </w:tr>
      <w:tr>
        <w:trPr>
          <w:trHeight w:val="257"/>
        </w:trPr>
        <w:tc>
          <w:tcPr>
            <w:tcW w:w="7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property and equipment, net</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3,351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w:t>
            </w:r>
          </w:p>
        </w:tc>
      </w:tr>
      <w:tr>
        <w:trPr>
          <w:trHeight w:val="216"/>
        </w:trPr>
        <w:tc>
          <w:tcPr>
            <w:tcW w:w="78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1,470</w:t>
            </w:r>
          </w:p>
        </w:tc>
        <w:tc>
          <w:tcPr>
            <w:tcW w:w="156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6"/>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assets</w:t>
            </w: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466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209"/>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$8,745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$8,869</w:t>
            </w:r>
          </w:p>
        </w:tc>
      </w:tr>
      <w:tr>
        <w:trPr>
          <w:trHeight w:val="237"/>
        </w:trPr>
        <w:tc>
          <w:tcPr>
            <w:tcW w:w="7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7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$1,238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w:t>
            </w:r>
          </w:p>
        </w:tc>
      </w:tr>
      <w:tr>
        <w:trPr>
          <w:trHeight w:val="216"/>
        </w:trPr>
        <w:tc>
          <w:tcPr>
            <w:tcW w:w="7880" w:type="dxa"/>
            <w:vAlign w:val="bottom"/>
          </w:tcPr>
          <w:p>
            <w:pPr>
              <w:ind w:left="220"/>
              <w:spacing w:after="0"/>
              <w:rPr>
                <w:sz w:val="20"/>
                <w:szCs w:val="20"/>
                <w:color w:val="auto"/>
              </w:rPr>
            </w:pPr>
            <w:r>
              <w:rPr>
                <w:rFonts w:ascii="Arial" w:cs="Arial" w:eastAsia="Arial" w:hAnsi="Arial"/>
                <w:sz w:val="16"/>
                <w:szCs w:val="16"/>
                <w:color w:val="auto"/>
              </w:rPr>
              <w:t>Accrued salaries, wages and related benefits</w:t>
            </w: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291</w:t>
            </w:r>
          </w:p>
        </w:tc>
        <w:tc>
          <w:tcPr>
            <w:tcW w:w="15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258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16"/>
        </w:trPr>
        <w:tc>
          <w:tcPr>
            <w:tcW w:w="7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current liabilities</w:t>
            </w: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1,203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r>
      <w:tr>
        <w:trPr>
          <w:trHeight w:val="209"/>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2,990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r>
      <w:tr>
        <w:trPr>
          <w:trHeight w:val="257"/>
        </w:trPr>
        <w:tc>
          <w:tcPr>
            <w:tcW w:w="7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2,856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r>
      <w:tr>
        <w:trPr>
          <w:trHeight w:val="216"/>
        </w:trPr>
        <w:tc>
          <w:tcPr>
            <w:tcW w:w="788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1,526</w:t>
            </w:r>
          </w:p>
        </w:tc>
        <w:tc>
          <w:tcPr>
            <w:tcW w:w="1560" w:type="dxa"/>
            <w:vAlign w:val="bottom"/>
          </w:tcPr>
          <w:p>
            <w:pPr>
              <w:jc w:val="right"/>
              <w:spacing w:after="0"/>
              <w:rPr>
                <w:sz w:val="20"/>
                <w:szCs w:val="20"/>
                <w:color w:val="auto"/>
              </w:rPr>
            </w:pPr>
            <w:r>
              <w:rPr>
                <w:rFonts w:ascii="Arial" w:cs="Arial" w:eastAsia="Arial" w:hAnsi="Arial"/>
                <w:sz w:val="16"/>
                <w:szCs w:val="16"/>
                <w:color w:val="auto"/>
              </w:rPr>
              <w:t>1,556</w:t>
            </w: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634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r>
      <w:tr>
        <w:trPr>
          <w:trHeight w:val="257"/>
        </w:trPr>
        <w:tc>
          <w:tcPr>
            <w:tcW w:w="7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1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57"/>
        </w:trPr>
        <w:tc>
          <w:tcPr>
            <w:tcW w:w="7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7880" w:type="dxa"/>
            <w:vAlign w:val="bottom"/>
          </w:tcPr>
          <w:p>
            <w:pPr>
              <w:ind w:left="220"/>
              <w:spacing w:after="0"/>
              <w:rPr>
                <w:sz w:val="20"/>
                <w:szCs w:val="20"/>
                <w:color w:val="auto"/>
              </w:rPr>
            </w:pPr>
            <w:r>
              <w:rPr>
                <w:rFonts w:ascii="Arial" w:cs="Arial" w:eastAsia="Arial" w:hAnsi="Arial"/>
                <w:sz w:val="16"/>
                <w:szCs w:val="16"/>
                <w:color w:val="auto"/>
              </w:rPr>
              <w:t>Common stock, no par value: 1,000 shares authorized; 160.1 and 159.4 shares issued and outstanding</w:t>
            </w:r>
          </w:p>
        </w:tc>
        <w:tc>
          <w:tcPr>
            <w:tcW w:w="1800" w:type="dxa"/>
            <w:vAlign w:val="bottom"/>
          </w:tcPr>
          <w:p>
            <w:pPr>
              <w:jc w:val="right"/>
              <w:ind w:right="199"/>
              <w:spacing w:after="0"/>
              <w:rPr>
                <w:sz w:val="20"/>
                <w:szCs w:val="20"/>
                <w:color w:val="auto"/>
              </w:rPr>
            </w:pPr>
            <w:r>
              <w:rPr>
                <w:rFonts w:ascii="Arial" w:cs="Arial" w:eastAsia="Arial" w:hAnsi="Arial"/>
                <w:sz w:val="16"/>
                <w:szCs w:val="16"/>
                <w:b w:val="1"/>
                <w:bCs w:val="1"/>
                <w:color w:val="auto"/>
              </w:rPr>
              <w:t>3,353</w:t>
            </w:r>
          </w:p>
        </w:tc>
        <w:tc>
          <w:tcPr>
            <w:tcW w:w="1560" w:type="dxa"/>
            <w:vAlign w:val="bottom"/>
          </w:tcPr>
          <w:p>
            <w:pPr>
              <w:jc w:val="right"/>
              <w:spacing w:after="0"/>
              <w:rPr>
                <w:sz w:val="20"/>
                <w:szCs w:val="20"/>
                <w:color w:val="auto"/>
              </w:rPr>
            </w:pPr>
            <w:r>
              <w:rPr>
                <w:rFonts w:ascii="Arial" w:cs="Arial" w:eastAsia="Arial" w:hAnsi="Arial"/>
                <w:sz w:val="16"/>
                <w:szCs w:val="16"/>
                <w:color w:val="auto"/>
              </w:rPr>
              <w:t>3,283</w:t>
            </w:r>
          </w:p>
        </w:tc>
      </w:tr>
      <w:tr>
        <w:trPr>
          <w:trHeight w:val="216"/>
        </w:trPr>
        <w:tc>
          <w:tcPr>
            <w:tcW w:w="7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deficit</w:t>
            </w:r>
          </w:p>
        </w:tc>
        <w:tc>
          <w:tcPr>
            <w:tcW w:w="18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(2,588)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w:t>
            </w:r>
          </w:p>
        </w:tc>
      </w:tr>
      <w:tr>
        <w:trPr>
          <w:trHeight w:val="216"/>
        </w:trPr>
        <w:tc>
          <w:tcPr>
            <w:tcW w:w="78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7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shareholders’ equity</w:t>
            </w:r>
          </w:p>
        </w:tc>
        <w:tc>
          <w:tcPr>
            <w:tcW w:w="18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739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$8,745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 ended</w:t>
            </w:r>
          </w:p>
        </w:tc>
        <w:tc>
          <w:tcPr>
            <w:tcW w:w="3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January 28, 2023</w:t>
            </w: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29,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30, 2021</w:t>
            </w: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3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3160" w:type="dxa"/>
            <w:vAlign w:val="bottom"/>
          </w:tcPr>
          <w:p>
            <w:pPr>
              <w:jc w:val="right"/>
              <w:ind w:right="199"/>
              <w:spacing w:after="0"/>
              <w:rPr>
                <w:sz w:val="20"/>
                <w:szCs w:val="20"/>
                <w:color w:val="auto"/>
              </w:rPr>
            </w:pPr>
            <w:r>
              <w:rPr>
                <w:rFonts w:ascii="Arial" w:cs="Arial" w:eastAsia="Arial" w:hAnsi="Arial"/>
                <w:sz w:val="16"/>
                <w:szCs w:val="16"/>
                <w:b w:val="1"/>
                <w:bCs w:val="1"/>
                <w:color w:val="auto"/>
              </w:rPr>
              <w:t>$3,283</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$3,205</w:t>
            </w:r>
          </w:p>
        </w:tc>
        <w:tc>
          <w:tcPr>
            <w:tcW w:w="1560" w:type="dxa"/>
            <w:vAlign w:val="bottom"/>
          </w:tcPr>
          <w:p>
            <w:pPr>
              <w:jc w:val="right"/>
              <w:spacing w:after="0"/>
              <w:rPr>
                <w:sz w:val="20"/>
                <w:szCs w:val="20"/>
                <w:color w:val="auto"/>
              </w:rPr>
            </w:pPr>
            <w:r>
              <w:rPr>
                <w:rFonts w:ascii="Arial" w:cs="Arial" w:eastAsia="Arial" w:hAnsi="Arial"/>
                <w:sz w:val="16"/>
                <w:szCs w:val="16"/>
                <w:color w:val="auto"/>
              </w:rPr>
              <w:t>$3,129</w:t>
            </w: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under stock compensation plans</w:t>
            </w:r>
          </w:p>
        </w:tc>
        <w:tc>
          <w:tcPr>
            <w:tcW w:w="31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29</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Stock-based compensation</w:t>
            </w:r>
          </w:p>
        </w:tc>
        <w:tc>
          <w:tcPr>
            <w:tcW w:w="3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41</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0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3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$3,353</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$3,283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$3,205</w:t>
            </w:r>
          </w:p>
        </w:tc>
      </w:tr>
      <w:tr>
        <w:trPr>
          <w:trHeight w:val="237"/>
        </w:trPr>
        <w:tc>
          <w:tcPr>
            <w:tcW w:w="47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Accumulated deficit</w:t>
            </w:r>
          </w:p>
        </w:tc>
        <w:tc>
          <w:tcPr>
            <w:tcW w:w="3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Balance, beginning of year</w:t>
            </w:r>
          </w:p>
        </w:tc>
        <w:tc>
          <w:tcPr>
            <w:tcW w:w="3160" w:type="dxa"/>
            <w:vAlign w:val="bottom"/>
          </w:tcPr>
          <w:p>
            <w:pPr>
              <w:jc w:val="right"/>
              <w:ind w:right="159"/>
              <w:spacing w:after="0"/>
              <w:rPr>
                <w:sz w:val="20"/>
                <w:szCs w:val="20"/>
                <w:color w:val="auto"/>
              </w:rPr>
            </w:pPr>
            <w:r>
              <w:rPr>
                <w:rFonts w:ascii="Arial" w:cs="Arial" w:eastAsia="Arial" w:hAnsi="Arial"/>
                <w:sz w:val="16"/>
                <w:szCs w:val="16"/>
                <w:b w:val="1"/>
                <w:bCs w:val="1"/>
                <w:color w:val="auto"/>
              </w:rPr>
              <w:t>($2,652)</w:t>
            </w:r>
          </w:p>
        </w:tc>
        <w:tc>
          <w:tcPr>
            <w:tcW w:w="1740" w:type="dxa"/>
            <w:vAlign w:val="bottom"/>
          </w:tcPr>
          <w:p>
            <w:pPr>
              <w:jc w:val="right"/>
              <w:ind w:right="139"/>
              <w:spacing w:after="0"/>
              <w:rPr>
                <w:sz w:val="20"/>
                <w:szCs w:val="20"/>
                <w:color w:val="auto"/>
              </w:rPr>
            </w:pPr>
            <w:r>
              <w:rPr>
                <w:rFonts w:ascii="Arial" w:cs="Arial" w:eastAsia="Arial" w:hAnsi="Arial"/>
                <w:sz w:val="16"/>
                <w:szCs w:val="16"/>
                <w:color w:val="auto"/>
              </w:rPr>
              <w:t>($2,830)</w:t>
            </w:r>
          </w:p>
        </w:tc>
        <w:tc>
          <w:tcPr>
            <w:tcW w:w="1560" w:type="dxa"/>
            <w:vAlign w:val="bottom"/>
          </w:tcPr>
          <w:p>
            <w:pPr>
              <w:jc w:val="right"/>
              <w:spacing w:after="0"/>
              <w:rPr>
                <w:sz w:val="20"/>
                <w:szCs w:val="20"/>
                <w:color w:val="auto"/>
              </w:rPr>
            </w:pPr>
            <w:r>
              <w:rPr>
                <w:rFonts w:ascii="Arial" w:cs="Arial" w:eastAsia="Arial" w:hAnsi="Arial"/>
                <w:sz w:val="16"/>
                <w:szCs w:val="16"/>
                <w:color w:val="auto"/>
              </w:rPr>
              <w:t>($2,082)</w:t>
            </w: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(loss)</w:t>
            </w:r>
          </w:p>
        </w:tc>
        <w:tc>
          <w:tcPr>
            <w:tcW w:w="31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245</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Dividends</w:t>
            </w:r>
          </w:p>
        </w:tc>
        <w:tc>
          <w:tcPr>
            <w:tcW w:w="3160" w:type="dxa"/>
            <w:vAlign w:val="bottom"/>
          </w:tcPr>
          <w:p>
            <w:pPr>
              <w:jc w:val="right"/>
              <w:ind w:right="159"/>
              <w:spacing w:after="0"/>
              <w:rPr>
                <w:sz w:val="20"/>
                <w:szCs w:val="20"/>
                <w:color w:val="auto"/>
              </w:rPr>
            </w:pPr>
            <w:r>
              <w:rPr>
                <w:rFonts w:ascii="Arial" w:cs="Arial" w:eastAsia="Arial" w:hAnsi="Arial"/>
                <w:sz w:val="16"/>
                <w:szCs w:val="16"/>
                <w:b w:val="1"/>
                <w:bCs w:val="1"/>
                <w:color w:val="auto"/>
              </w:rPr>
              <w:t>(119)</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3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(62)</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3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($2,588)</w:t>
            </w: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($2,652)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($2,830)</w:t>
            </w:r>
          </w:p>
        </w:tc>
      </w:tr>
      <w:tr>
        <w:trPr>
          <w:trHeight w:val="237"/>
        </w:trPr>
        <w:tc>
          <w:tcPr>
            <w:tcW w:w="47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year</w:t>
            </w:r>
          </w:p>
        </w:tc>
        <w:tc>
          <w:tcPr>
            <w:tcW w:w="31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($50)</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earnings (loss)</w:t>
            </w:r>
          </w:p>
        </w:tc>
        <w:tc>
          <w:tcPr>
            <w:tcW w:w="3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24</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end of year</w:t>
            </w:r>
          </w:p>
        </w:tc>
        <w:tc>
          <w:tcPr>
            <w:tcW w:w="31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($26)</w:t>
            </w:r>
          </w:p>
        </w:tc>
        <w:tc>
          <w:tcPr>
            <w:tcW w:w="1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7"/>
        </w:trPr>
        <w:tc>
          <w:tcPr>
            <w:tcW w:w="47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09"/>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$739</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37"/>
        </w:trPr>
        <w:tc>
          <w:tcPr>
            <w:tcW w:w="47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4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Dividends per share</w:t>
            </w:r>
          </w:p>
        </w:tc>
        <w:tc>
          <w:tcPr>
            <w:tcW w:w="3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$0.76</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rPr>
          <w:sz w:val="20"/>
          <w:szCs w:val="20"/>
          <w:color w:val="auto"/>
        </w:rPr>
      </w:pPr>
      <w:r>
        <w:rPr>
          <w:rFonts w:ascii="Arial" w:cs="Arial" w:eastAsia="Arial" w:hAnsi="Arial"/>
          <w:sz w:val="18"/>
          <w:szCs w:val="18"/>
          <w:color w:val="auto"/>
        </w:rPr>
        <w:t>(In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color w:val="auto"/>
              </w:rPr>
              <w:t>Net earnings (loss)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$245</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$178</w:t>
            </w:r>
          </w:p>
        </w:tc>
        <w:tc>
          <w:tcPr>
            <w:tcW w:w="1080" w:type="dxa"/>
            <w:vAlign w:val="bottom"/>
          </w:tcPr>
          <w:p>
            <w:pPr>
              <w:jc w:val="right"/>
              <w:spacing w:after="0"/>
              <w:rPr>
                <w:sz w:val="20"/>
                <w:szCs w:val="20"/>
                <w:color w:val="auto"/>
              </w:rPr>
            </w:pPr>
            <w:r>
              <w:rPr>
                <w:rFonts w:ascii="Arial" w:cs="Arial" w:eastAsia="Arial" w:hAnsi="Arial"/>
                <w:sz w:val="16"/>
                <w:szCs w:val="16"/>
                <w:color w:val="auto"/>
              </w:rPr>
              <w:t>($690)</w:t>
            </w:r>
          </w:p>
        </w:tc>
      </w:tr>
      <w:tr>
        <w:trPr>
          <w:trHeight w:val="162"/>
        </w:trPr>
        <w:tc>
          <w:tcPr>
            <w:tcW w:w="6560" w:type="dxa"/>
            <w:vAlign w:val="bottom"/>
            <w:shd w:val="clear" w:color="auto" w:fill="CCEEFF"/>
          </w:tcPr>
          <w:p>
            <w:pPr>
              <w:ind w:left="100"/>
              <w:spacing w:after="0" w:line="162" w:lineRule="exact"/>
              <w:rPr>
                <w:sz w:val="20"/>
                <w:szCs w:val="20"/>
                <w:color w:val="auto"/>
              </w:rPr>
            </w:pPr>
            <w:r>
              <w:rPr>
                <w:rFonts w:ascii="Arial" w:cs="Arial" w:eastAsia="Arial" w:hAnsi="Arial"/>
                <w:sz w:val="16"/>
                <w:szCs w:val="16"/>
                <w:color w:val="auto"/>
              </w:rPr>
              <w:t>Adjustments to reconcile net earnings (loss) to net cash provided by (used in)</w:t>
            </w:r>
          </w:p>
        </w:tc>
        <w:tc>
          <w:tcPr>
            <w:tcW w:w="19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6"/>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activities: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Depreciation and amortization expenses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604</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615</w:t>
            </w:r>
          </w:p>
        </w:tc>
        <w:tc>
          <w:tcPr>
            <w:tcW w:w="108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192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80</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Right-of-use asset amortization</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185</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175</w:t>
            </w:r>
          </w:p>
        </w:tc>
        <w:tc>
          <w:tcPr>
            <w:tcW w:w="108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net</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(83)</w:t>
            </w:r>
          </w:p>
        </w:tc>
        <w:tc>
          <w:tcPr>
            <w:tcW w:w="16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59</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79</w:t>
            </w: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(46)</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81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65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receivable, net</w:t>
            </w:r>
          </w:p>
        </w:tc>
        <w:tc>
          <w:tcPr>
            <w:tcW w:w="192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23</w:t>
            </w:r>
          </w:p>
        </w:tc>
        <w:tc>
          <w:tcPr>
            <w:tcW w:w="16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6560" w:type="dxa"/>
            <w:vAlign w:val="bottom"/>
          </w:tcPr>
          <w:p>
            <w:pPr>
              <w:ind w:left="480"/>
              <w:spacing w:after="0"/>
              <w:rPr>
                <w:sz w:val="20"/>
                <w:szCs w:val="20"/>
                <w:color w:val="auto"/>
              </w:rPr>
            </w:pPr>
            <w:r>
              <w:rPr>
                <w:rFonts w:ascii="Arial" w:cs="Arial" w:eastAsia="Arial" w:hAnsi="Arial"/>
                <w:sz w:val="16"/>
                <w:szCs w:val="16"/>
                <w:color w:val="auto"/>
              </w:rPr>
              <w:t>Merchandise inventories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265</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(383)</w:t>
            </w:r>
          </w:p>
        </w:tc>
        <w:tc>
          <w:tcPr>
            <w:tcW w:w="10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6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(24)</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542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w:t>
            </w:r>
          </w:p>
        </w:tc>
      </w:tr>
      <w:tr>
        <w:trPr>
          <w:trHeight w:val="216"/>
        </w:trPr>
        <w:tc>
          <w:tcPr>
            <w:tcW w:w="656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(190)</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(400)</w:t>
            </w:r>
          </w:p>
        </w:tc>
        <w:tc>
          <w:tcPr>
            <w:tcW w:w="1080" w:type="dxa"/>
            <w:vAlign w:val="bottom"/>
          </w:tcPr>
          <w:p>
            <w:pPr>
              <w:jc w:val="right"/>
              <w:spacing w:after="0"/>
              <w:rPr>
                <w:sz w:val="20"/>
                <w:szCs w:val="20"/>
                <w:color w:val="auto"/>
              </w:rPr>
            </w:pPr>
            <w:r>
              <w:rPr>
                <w:rFonts w:ascii="Arial" w:cs="Arial" w:eastAsia="Arial" w:hAnsi="Arial"/>
                <w:sz w:val="16"/>
                <w:szCs w:val="16"/>
                <w:color w:val="auto"/>
              </w:rPr>
              <w:t>432</w:t>
            </w:r>
          </w:p>
        </w:tc>
      </w:tr>
      <w:tr>
        <w:trPr>
          <w:trHeight w:val="216"/>
        </w:trPr>
        <w:tc>
          <w:tcPr>
            <w:tcW w:w="6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salaries, wages and related benefits</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(94)</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6"/>
        </w:trPr>
        <w:tc>
          <w:tcPr>
            <w:tcW w:w="6560" w:type="dxa"/>
            <w:vAlign w:val="bottom"/>
          </w:tcPr>
          <w:p>
            <w:pPr>
              <w:ind w:left="480"/>
              <w:spacing w:after="0"/>
              <w:rPr>
                <w:sz w:val="20"/>
                <w:szCs w:val="20"/>
                <w:color w:val="auto"/>
              </w:rPr>
            </w:pPr>
            <w:r>
              <w:rPr>
                <w:rFonts w:ascii="Arial" w:cs="Arial" w:eastAsia="Arial" w:hAnsi="Arial"/>
                <w:sz w:val="16"/>
                <w:szCs w:val="16"/>
                <w:color w:val="auto"/>
              </w:rPr>
              <w:t>Other current liabilities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44</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112</w:t>
            </w:r>
          </w:p>
        </w:tc>
        <w:tc>
          <w:tcPr>
            <w:tcW w:w="10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6"/>
        </w:trPr>
        <w:tc>
          <w:tcPr>
            <w:tcW w:w="65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Lease liabilities</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(269)</w:t>
            </w:r>
          </w:p>
        </w:tc>
        <w:tc>
          <w:tcPr>
            <w:tcW w:w="16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(284)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6"/>
        </w:trPr>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liabilities</w:t>
            </w:r>
          </w:p>
        </w:tc>
        <w:tc>
          <w:tcPr>
            <w:tcW w:w="19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147</w:t>
            </w: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9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946</w:t>
            </w:r>
          </w:p>
        </w:tc>
        <w:tc>
          <w:tcPr>
            <w:tcW w:w="1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705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196"/>
        </w:trPr>
        <w:tc>
          <w:tcPr>
            <w:tcW w:w="6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(473)</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(506)</w:t>
            </w:r>
          </w:p>
        </w:tc>
        <w:tc>
          <w:tcPr>
            <w:tcW w:w="108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16"/>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Proceeds from the sale of assets and other, net</w:t>
            </w:r>
          </w:p>
        </w:tc>
        <w:tc>
          <w:tcPr>
            <w:tcW w:w="19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80</w:t>
            </w:r>
          </w:p>
        </w:tc>
        <w:tc>
          <w:tcPr>
            <w:tcW w:w="16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(15)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(393)</w:t>
            </w: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(521)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196"/>
        </w:trPr>
        <w:tc>
          <w:tcPr>
            <w:tcW w:w="65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revolving line of credit</w:t>
            </w:r>
          </w:p>
        </w:tc>
        <w:tc>
          <w:tcPr>
            <w:tcW w:w="192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100</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Payments on revolving line of credit</w:t>
            </w: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(100)</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(400)</w:t>
            </w:r>
          </w:p>
        </w:tc>
        <w:tc>
          <w:tcPr>
            <w:tcW w:w="108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long-term borrowings</w:t>
            </w:r>
          </w:p>
        </w:tc>
        <w:tc>
          <w:tcPr>
            <w:tcW w:w="192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675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Principal payments on long-term borrowings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(1,100)</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cash book overdrafts</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(14)</w:t>
            </w:r>
          </w:p>
        </w:tc>
        <w:tc>
          <w:tcPr>
            <w:tcW w:w="16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Cash dividends paid</w:t>
            </w: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(119)</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repurchase of common stock</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(62)</w:t>
            </w:r>
          </w:p>
        </w:tc>
        <w:tc>
          <w:tcPr>
            <w:tcW w:w="16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Proceeds from issuances under stock compensation plans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29</w:t>
            </w:r>
          </w:p>
        </w:tc>
        <w:tc>
          <w:tcPr>
            <w:tcW w:w="1680" w:type="dxa"/>
            <w:vAlign w:val="bottom"/>
          </w:tcPr>
          <w:p>
            <w:pPr>
              <w:jc w:val="right"/>
              <w:ind w:right="579"/>
              <w:spacing w:after="0"/>
              <w:rPr>
                <w:sz w:val="20"/>
                <w:szCs w:val="20"/>
                <w:color w:val="auto"/>
              </w:rPr>
            </w:pPr>
            <w:r>
              <w:rPr>
                <w:rFonts w:ascii="Arial" w:cs="Arial" w:eastAsia="Arial" w:hAnsi="Arial"/>
                <w:sz w:val="16"/>
                <w:szCs w:val="16"/>
                <w:color w:val="auto"/>
              </w:rPr>
              <w:t>14</w:t>
            </w: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 withholding on share-based awards</w:t>
            </w: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(16)</w:t>
            </w:r>
          </w:p>
        </w:tc>
        <w:tc>
          <w:tcPr>
            <w:tcW w:w="168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65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Make-whole premium payment and other, net</w:t>
            </w: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(4)</w:t>
            </w:r>
          </w:p>
        </w:tc>
        <w:tc>
          <w:tcPr>
            <w:tcW w:w="16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(86)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19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(186)</w:t>
            </w:r>
          </w:p>
        </w:tc>
        <w:tc>
          <w:tcPr>
            <w:tcW w:w="16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(544)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196"/>
        </w:trPr>
        <w:tc>
          <w:tcPr>
            <w:tcW w:w="65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9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w:t>
            </w:r>
          </w:p>
        </w:tc>
        <w:tc>
          <w:tcPr>
            <w:tcW w:w="1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365</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(359)</w:t>
            </w:r>
          </w:p>
        </w:tc>
        <w:tc>
          <w:tcPr>
            <w:tcW w:w="108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9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322</w:t>
            </w:r>
          </w:p>
        </w:tc>
        <w:tc>
          <w:tcPr>
            <w:tcW w:w="1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681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1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year</w:t>
            </w:r>
          </w:p>
        </w:tc>
        <w:tc>
          <w:tcPr>
            <w:tcW w:w="19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$687</w:t>
            </w:r>
          </w:p>
        </w:tc>
        <w:tc>
          <w:tcPr>
            <w:tcW w:w="16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$322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196"/>
        </w:trPr>
        <w:tc>
          <w:tcPr>
            <w:tcW w:w="656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1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(received) during the year for:</w:t>
            </w:r>
          </w:p>
        </w:tc>
        <w:tc>
          <w:tcPr>
            <w:tcW w:w="19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560" w:type="dxa"/>
            <w:vAlign w:val="bottom"/>
          </w:tcPr>
          <w:p>
            <w:pPr>
              <w:ind w:left="220"/>
              <w:spacing w:after="0"/>
              <w:rPr>
                <w:sz w:val="20"/>
                <w:szCs w:val="20"/>
                <w:color w:val="auto"/>
              </w:rPr>
            </w:pPr>
            <w:r>
              <w:rPr>
                <w:rFonts w:ascii="Arial" w:cs="Arial" w:eastAsia="Arial" w:hAnsi="Arial"/>
                <w:sz w:val="16"/>
                <w:szCs w:val="16"/>
                <w:color w:val="auto"/>
              </w:rPr>
              <w:t>Income taxes, net of refunds</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$211</w:t>
            </w:r>
          </w:p>
        </w:tc>
        <w:tc>
          <w:tcPr>
            <w:tcW w:w="1680" w:type="dxa"/>
            <w:vAlign w:val="bottom"/>
          </w:tcPr>
          <w:p>
            <w:pPr>
              <w:jc w:val="right"/>
              <w:ind w:right="519"/>
              <w:spacing w:after="0"/>
              <w:rPr>
                <w:sz w:val="20"/>
                <w:szCs w:val="20"/>
                <w:color w:val="auto"/>
              </w:rPr>
            </w:pPr>
            <w:r>
              <w:rPr>
                <w:rFonts w:ascii="Arial" w:cs="Arial" w:eastAsia="Arial" w:hAnsi="Arial"/>
                <w:sz w:val="16"/>
                <w:szCs w:val="16"/>
                <w:color w:val="auto"/>
              </w:rPr>
              <w:t>($485)</w:t>
            </w: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6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Interest, net of capitalized interest</w:t>
            </w:r>
          </w:p>
        </w:tc>
        <w:tc>
          <w:tcPr>
            <w:tcW w:w="19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136</w:t>
            </w:r>
          </w:p>
        </w:tc>
        <w:tc>
          <w:tcPr>
            <w:tcW w:w="16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164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3120"/>
        <w:spacing w:after="0" w:line="354" w:lineRule="auto"/>
        <w:rPr>
          <w:sz w:val="20"/>
          <w:szCs w:val="20"/>
          <w:color w:val="auto"/>
        </w:rPr>
      </w:pPr>
      <w:r>
        <w:rPr>
          <w:rFonts w:ascii="Arial" w:cs="Arial" w:eastAsia="Arial" w:hAnsi="Arial"/>
          <w:sz w:val="18"/>
          <w:szCs w:val="18"/>
          <w:b w:val="1"/>
          <w:bCs w:val="1"/>
          <w:color w:val="auto"/>
        </w:rPr>
        <w:t>NOTE 1: NATURE OF OPERATIONS AND SUMMARY OF SIGNIFICANT ACCOUNTING POLICIES The Company</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Founded in 1901 as a retail shoe business in Seattle, Washington, our Company is a leading fashion retailer that offers an extensive selection of high-quality brand-name and private label merchandise for women, men, young adults and children, with a focus on apparel, shoes, beauty, accessories and home goods. This breadth of merchandise allows us to serve a wide range of customers who appreciate quality fashion and a superior shopping experience. We offer brand-name and private label merchandise across our digital and physical assets in both our Nordstrom and Nordstrom Rack banners. Our facilities and stores are located in 40 states in the U.S. and three provinces in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Nordstrom includes:</w:t>
      </w:r>
    </w:p>
    <w:p>
      <w:pPr>
        <w:spacing w:after="0" w:line="63" w:lineRule="exact"/>
        <w:rPr>
          <w:sz w:val="20"/>
          <w:szCs w:val="20"/>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Nordstrom.com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Nordstrom.ca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94 Nordstrom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six Nordstrom stores and seven Nordstrom Rack stores in Canada</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seven Nordstrom Locals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one ASOS | Nordstrom store</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TrunkClub.com – prior to October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Nordstrom Rack includes:</w:t>
      </w:r>
    </w:p>
    <w:p>
      <w:pPr>
        <w:spacing w:after="0" w:line="63" w:lineRule="exact"/>
        <w:rPr>
          <w:sz w:val="20"/>
          <w:szCs w:val="20"/>
          <w:color w:val="auto"/>
        </w:rPr>
      </w:pPr>
    </w:p>
    <w:p>
      <w:pPr>
        <w:ind w:left="340" w:hanging="17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NordstromRack.com website and mobile application</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241 Nordstrom Rack stores in the U.S.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two Last Chance clearance stores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HauteLook.com – prior to the first quarter of 2021</w:t>
      </w:r>
    </w:p>
    <w:p>
      <w:pPr>
        <w:spacing w:after="0" w:line="1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On March 2, 2023, Nordstrom Canada commenced a wind-down of its business operations (see Note 15: Subsequent Events for more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p>
      <w:pPr>
        <w:ind w:right="660"/>
        <w:spacing w:after="0" w:line="266" w:lineRule="auto"/>
        <w:rPr>
          <w:sz w:val="20"/>
          <w:szCs w:val="20"/>
          <w:color w:val="auto"/>
        </w:rPr>
      </w:pPr>
      <w:r>
        <w:rPr>
          <w:rFonts w:ascii="Arial" w:cs="Arial" w:eastAsia="Arial" w:hAnsi="Arial"/>
          <w:sz w:val="18"/>
          <w:szCs w:val="18"/>
          <w:color w:val="auto"/>
        </w:rPr>
        <w:t>We operate on a 52/53-week fiscal year ending on the Saturday closest to January 31st. References to 2022 and all years within this document are based on a 52-week fiscal year, except for fiscal year 2023 which is a 53-week 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color w:val="auto"/>
        </w:rPr>
        <w:t>The Consolidated Financial Statements include the balances of Nordstrom, Inc. and its subsidiaries and are presented in U.S. dollars. All intercompany transactions and balances are eliminated in consolidation.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and actual results may differ from these estimates and assumptions. Our most significant accounting judgments and estimates include revenue recognition, inventory valuation, long-lived asset recoverability and income taxes, all of which involve assumptions about future events.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recognize sales revenue net of estimated returns and excluding sales taxes. Revenue from sales shipped to customers from our Supply Chain Network facilities, stores and directly from our vendors, which includes shipping revenue when applicable, is recognized at shipping point, the point in time where control has transferred to the customer. Costs to ship orders to customers are expensed as a fulfillment activity at shipping point, commissions from sales at our Nordstrom stores are expensed at the point of sale and both are recorded in SG&amp;A expenses.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reduce sales and cost of sales by an estimate of future customer merchandise returns, which is calculated based on historical and expected return patterns, and record a sales return reserve and an estimated returns asset. Our sales return reserve is classified in other current liabilities and our estimated returns asset, calculated based on the cost of merchandise sold, is classified in prepaid expenses and other on the Consolidated Balance Sheets. As of January 28, 2023 and January 29, 2022, our sales return reserve was $415 and $411, and our estimated returns asset was $179 and $186. Due to the seasonality of our business, these balances typically increase when higher sales occur in the last month of a period, such as during the Anniversary Sale which usually occurs at the end of the second quarter, and decrease in the following period. We record the impact of the sales return reserve in our separate Nordstrom and Nordstrom Rack banners. The majority of our returns from both digital and physical sales come through our stores.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Loyalty Program</w:t>
      </w:r>
    </w:p>
    <w:p>
      <w:pPr>
        <w:spacing w:after="0" w:line="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and Nordstrom Rack. The Nordy Club benefits vary based on the level of customer spend, and include bonus points days and shopping and fashion events.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offer customers access to a variety of payment products and services, including a selection of Nordstrom-branded Visa® credit cards in the U.S. and Canada, as well as a Nordstrom-branded private 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 and stylist benefits and incremental accumulation of points toward Nordstrom Notes.</w:t>
      </w:r>
    </w:p>
    <w:p>
      <w:pPr>
        <w:spacing w:after="0" w:line="1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our customers earn points and Nordstrom Notes in The Nordy Club, a portion of underlying sales revenue is deferred based on an estimated stand-alone selling price of points, Nordstrom Notes and other loyalty benefits, such as alterations. We recognize the revenue and related cost of sale when the Nordstrom Notes are ultimately redeemed and reduce our contract liability. We include the deferred revenue in other current liabilities on the Consolidated Balance Sheets. We record breakage revenue of unused points and unredeemed Nordstrom Notes based on expected customer redemption. We estimate, based on historical and expected usage, that approximately 7% of Nordstrom Notes and points will be unredeemed. Estimating future breakage rates requires judgment based on current and historical trends, and actual breakage rates may vary from our estimates. Other benefits of the loyalty program, including shopping and fashion events, are recorded in SG&amp;A expenses as these are not a material right of the program.</w:t>
      </w:r>
    </w:p>
    <w:p>
      <w:pPr>
        <w:spacing w:after="0" w:line="13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of January 28, 2023 and January 29, 2022, our outstanding performance obligation for The Nordy Club, which consists primarily of unredeemed points and Nordstrom Notes at retail value, was $115 and $112. Almost all Nordstrom Notes redemptions occur within eleven months of issuance.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Gift Cards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record deferred revenue from the sale of gift cards at the time of purchase. As gift cards are redeemed, we recognize revenue and reduce our contract liability. Although our gift cards do not have an expiration date, we include this deferred revenue in other current liabilities on the Consolidated Balance Sheets as customers can redeem gift cards at any time. We record breakage revenue on unused gift cards based on expected customer redemption. We estimate, based on historical usage, that 3% of gift cards will be unredeemed and recognized as revenue. Estimating future breakage rates requires judgment based on current and historical trends and actual breakage rates may vary from our estimates. Breakage income was $40, $39 and $81 in 2022, 2021 and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28, 2023 and January 29, 2022, our outstanding performance obligation for unredeemed gift cards was $370 and $366.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Almost all gift card redemptions occur within two years of issuance.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Card Revenues, net</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Although the primary purpose of offering our credit cards is to foster greater customer loyalty and drive more sales, we also receive credit card revenue through our program agreement with TD, whereby TD is the exclusive issuer of our consumer credit cards and we perform account servicing functions. Credit card revenues, net include our portion of the ongoing credit card revenue, net of credit losses, pursuant to our program agreement with TD. In the fourth quarter of 2022, we amended our program agreement with TD. The original agreement was scheduled to expire in April 2024 and the amendment extends the term through September 2026. In connection with the amendment, we recorded deferred revenue, which will be recognized in full over the term of the agreement as we perform account servicing functions.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Cost of sales primarily includes the purchase and manufacturing costs of inventory sold, net of vendor allowances, and in-bound freight and duty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Buying and Occupancy Costs</w:t>
      </w:r>
    </w:p>
    <w:p>
      <w:pPr>
        <w:spacing w:after="0" w:line="27"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Buying costs consist primarily of compensation and other costs incurred by our merchandising and product development groups. Occupancy costs include rent, depreciation, property taxes and facility operating costs of our retail, corporate center and Supply Chain Network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primarily of compensation and benefits, marketing, outbound supply chain and technology costs.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In 2020, we recorded $88 of restructuring costs in connection with our regional and corporate reorganization, including $25 recorded in cost of sales and related buying and occupancy costs and $63 in SG&amp;A on the Consolidated Statement of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Advertising production costs for internet, magazines, store events and other media are expensed the first time the advertisement is run. Online marketing costs are expensed when incurred. Total advertising expenses, net of vendor allowances, of $309, $300 and $283 in 2022, 2021 and 2020 were included in SG&amp;A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Fulfillment Costs</w:t>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Our shipping and fulfillment costs include payments to third-party shippers and costs to hold, move and prepare merchandise for shipment. These costs do not include in-bound freight to our Supply Chain Network facilities, which we include in the cost of our inventory. Shipping and fulfillment costs of $885, $993 and $828 in 2022, 2021 and 2020 were included in SG&amp;A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Allowances</w:t>
      </w:r>
    </w:p>
    <w:p>
      <w:pPr>
        <w:spacing w:after="0" w:line="2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receive allowances from merchandise vendors for purchase price adjustments, beauty expenses, advertising programs and various other expenses. Purchase price adjustments are recorded as a reduction of cost of sales at the point they have been earned and the related merchandise has been marked down or sold. Allowances for beauty expenses, advertising programs and other expenses are recorded in SG&amp;A expenses as a reduction of the related costs when incurred.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Vendor allowances earned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7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 adjustments</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$120</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$108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Beauty expenses</w:t>
            </w:r>
          </w:p>
        </w:tc>
        <w:tc>
          <w:tcPr>
            <w:tcW w:w="3700" w:type="dxa"/>
            <w:vAlign w:val="bottom"/>
          </w:tcPr>
          <w:p>
            <w:pPr>
              <w:jc w:val="right"/>
              <w:ind w:right="639"/>
              <w:spacing w:after="0"/>
              <w:rPr>
                <w:sz w:val="20"/>
                <w:szCs w:val="20"/>
                <w:color w:val="auto"/>
              </w:rPr>
            </w:pPr>
            <w:r>
              <w:rPr>
                <w:rFonts w:ascii="Arial" w:cs="Arial" w:eastAsia="Arial" w:hAnsi="Arial"/>
                <w:sz w:val="16"/>
                <w:szCs w:val="16"/>
                <w:b w:val="1"/>
                <w:bCs w:val="1"/>
                <w:color w:val="auto"/>
              </w:rPr>
              <w:t>111</w:t>
            </w:r>
          </w:p>
        </w:tc>
        <w:tc>
          <w:tcPr>
            <w:tcW w:w="1780" w:type="dxa"/>
            <w:vAlign w:val="bottom"/>
          </w:tcPr>
          <w:p>
            <w:pPr>
              <w:jc w:val="right"/>
              <w:ind w:right="659"/>
              <w:spacing w:after="0"/>
              <w:rPr>
                <w:sz w:val="20"/>
                <w:szCs w:val="20"/>
                <w:color w:val="auto"/>
              </w:rPr>
            </w:pPr>
            <w:r>
              <w:rPr>
                <w:rFonts w:ascii="Arial" w:cs="Arial" w:eastAsia="Arial" w:hAnsi="Arial"/>
                <w:sz w:val="16"/>
                <w:szCs w:val="16"/>
                <w:color w:val="auto"/>
              </w:rPr>
              <w:t>103</w:t>
            </w: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w:t>
            </w:r>
          </w:p>
        </w:tc>
        <w:tc>
          <w:tcPr>
            <w:tcW w:w="37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112</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110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7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vendor allowances</w:t>
            </w:r>
          </w:p>
        </w:tc>
        <w:tc>
          <w:tcPr>
            <w:tcW w:w="37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$345</w:t>
            </w:r>
          </w:p>
        </w:tc>
        <w:tc>
          <w:tcPr>
            <w:tcW w:w="17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$324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bl>
    <w:p>
      <w:pPr>
        <w:spacing w:after="0" w:line="23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Advertising includes NMN, where vendors pay a fee for use of our first party data. Funds received from vendors are recorded as a reduction of the campaign cost in SG&amp;A expenses and media fees are recorded as a reduction of cost of sales.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provide a 401(k) plan for our employees that allows for employee elective contributions and our matching contributions. Employee elective contributions are funded through voluntary payroll deductions. Total expenses related to Company contributions were $71 and $67 in 2022 and 2021 and were included in both buying and occupancy costs and SG&amp;A expenses on our Consolidated Statements of Earnings. In 2020, due to COVID-19 and the steps we took to strengthen our financial flexibility, we temporarily paused our employer match contribution and incurred no expenses related to Company contributions.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2019 Plan authorizes the grant of stock options, PSUs, RSUs, stock appreciation rights and both restricted and unrestricted shares of common stock to employees and nonemployee directors. We grant stock-based awards under our 2019 Plan and employees may purchase our stock at a discount under our ESPP. We predominantly recognize stock-based compensation expense related to stock-based awards at their estimated grant date fair value, recorded on a straight-line basis over the requisite service period. Compensation expense for certain award holders is accelerated based upon age and years of service. Compensation expense for PSUs is adjusted based on the payout percentage of the PSU grant subject to achieving specific performance measures. The total compensation expense is reduced by actual forfeitures as they occur.</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primarily estimate the grant date fair value of stock options using the Binomial Lattice-based valuation model, but for our price-hurdle grants in 2021, we estimate the grant date fair value using the Monte Carlo simulation valuation model. The grant date fair value of RSUs and PSUs is determined based on the number of RSUs or PSUs granted and the quoted price of our common stock on the date of grant, less the estimated present value of dividends over the vesting period. PSUs granted are classified as equity.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on the following line items of our Consolidated Statements of Shareholders’ Equity and our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as follows:</w:t>
      </w:r>
    </w:p>
    <w:p>
      <w:pPr>
        <w:spacing w:after="0" w:line="4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under stock compensation plans — includes common stock option exercises and purchases of shares under the ESPP</w:t>
      </w:r>
    </w:p>
    <w:p>
      <w:pPr>
        <w:spacing w:after="0" w:line="63" w:lineRule="exact"/>
        <w:rPr>
          <w:rFonts w:ascii="Arial" w:cs="Arial" w:eastAsia="Arial" w:hAnsi="Arial"/>
          <w:sz w:val="18"/>
          <w:szCs w:val="18"/>
          <w:color w:val="auto"/>
        </w:rPr>
      </w:pPr>
    </w:p>
    <w:p>
      <w:pPr>
        <w:ind w:left="660" w:right="480" w:hanging="328"/>
        <w:spacing w:after="0" w:line="287" w:lineRule="auto"/>
        <w:tabs>
          <w:tab w:leader="none" w:pos="6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Stock-based compensation — primarily includes stock-based compensation expense for our common stock options, RSUs and PSUs, partially offset by shares withheld for taxes on RSUs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Store Opening Costs</w:t>
      </w:r>
    </w:p>
    <w:p>
      <w:pPr>
        <w:spacing w:after="0" w:line="2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Non-capital expenditures associated with opening new stores, including marketing expenses, relocation expenses and occupancy costs, are charged to expense as incurred. These costs are included in both buying and occupancy costs and SG&amp;A expenses, according to their nature as disclosed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w:t>
      </w:r>
    </w:p>
    <w:p>
      <w:pPr>
        <w:spacing w:after="0" w:line="1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we believe is cumulatively greater than 50% likely to be realized. Interest and penalties related to income tax matters are classified as a component of income tax expense.</w:t>
      </w:r>
    </w:p>
    <w:p>
      <w:pPr>
        <w:spacing w:after="0" w:line="12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CARES Act</w:t>
      </w:r>
    </w:p>
    <w:p>
      <w:pPr>
        <w:spacing w:after="0" w:line="27"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On March 27, 2020, the CARES Act was signed into law. Among other provisions, the CARES Act provided for payroll tax credits for employee retention, deferral of payroll taxes and several income tax provisions including allowing for carryback of certain operating losses.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accordance with our overall approach for determining our income tax provision, which uses an estimated annual effective tax rate based on our best estimates and adjusts for discrete taxable events that occur during the quarter, we made a reasonable estimate of the impacts of the CARES Act in our 2020 results. As of January 29, 2022, we completed our accounting for the impacts of the CARES Act, resulting in no material changes to previously recorded estimated amounts.</w:t>
      </w:r>
    </w:p>
    <w:p>
      <w:pPr>
        <w:spacing w:after="0" w:line="12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2020, we recognized $69 in employee retention payroll tax credits and elected to defer payment of the employer portion of social security taxes, both as provided for under the CARES Act and other COVID-19 related stimulus. In 2021, we recognized an additional $7 in COVID-19 payroll-related stimulus and paid in full the deferred employer portion of social security taxes.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Earnings per basic share is computed using the weighted-average number of common shares outstanding during the year. Earnings per diluted share uses the weighted-average number of common shares outstanding during the year plus dilutive common stock equivalents, primarily RSUs and stock options. Dilutive common stock is calculated using the treasury stock method and includes outstanding RSUs and options that would reduce the amount of earnings for which each share is entitled. Anti-dilutive shares (including stock options and other shares) are excluded from the calculation of diluted shares and earnings per diluted share because their impact could increase earnings per diluted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Net Earnings</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Comprehensive net earnings consist of net earnings and other gains and losses affecting equity that are excluded from net earnings. These consist of postretirement plan adjustments, net of related income tax effects, and foreign currency translation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Cash equivalents are short-term investments with an original maturity of three months or less from the date of purchase and are carried at cost, which approximates fair value. At the end of 2022 and 2021, checks not yet presented for payment drawn in excess of our bank deposit balances were $60 and $74 and included within accounts payable on our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Accounts receivable, net primarily includes receivables from TD related to our program agreement, non-Nordstrom-branded credit and debit cards and developer reimbursements.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Inventories</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Merchandise inventories are stated at the lower of cost or market value using the retail inventory method. Under the retail method, the valuation of inventories is determined by applying a calculated cost-to-retail ratio to the retail value of ending inventory. The value of our inventory on the balance sheet is also reduced by a charge to cost of sales for retail inventory markdowns taken on the selling price. To determine if the retail value of our inventory should be marked down, we consider current and anticipated demand, customer preferences, age of the merchandise and fashion trends. We record reserves for excess and obsolete inventory based on historical trends and specific identification.</w:t>
      </w:r>
    </w:p>
    <w:p>
      <w:pPr>
        <w:spacing w:after="0" w:line="13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take physical inventory counts at our stores and Supply Chain Network locations and adjust for differences between recorded amounts and counted amounts. Following each physical inventory cycle and using the most recent physical inventory count and historical results, we record an estimate for shrink based on a percentage of sales until the next physical inventory 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leases, which consist primarily of operating leases, on the Consolidated Balance Sheets as operating lease ROU assets and operating lease liabilities, both of which include current and noncurrent portions. Operating lease liabilities are initially recognized based on the net present value of the fixed portion of our lease and common area maintenance payments from lease commencement through the lease term. To calculate the net present value, we apply an incremental borrowing rate. The incremental borrowing rate is determined using a portfolio approach based on the rate of interest we would pay to borrow an amount equal to the lease payments on a collateralized basis over a similar term. We use quoted interest rates obtained from financial institutions as an input to derive our incremental borrowing rate as the discount rate for the lease. We recognize ROU assets based on operating lease liabilities reduced by property incentives. We test ROU assets for impairment in the same manner as long-lived assets and exclude the related operating lease liability and operating lease payments in our analysis.</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We also lease equipment and have service contracts including transportation agreements and warehouse agreements where we control identified assets such as vehicles, warehouse space and equipment and therefore represent embedded leases.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Equipment</w:t>
      </w:r>
    </w:p>
    <w:p>
      <w:pPr>
        <w:spacing w:after="0" w:line="27" w:lineRule="exact"/>
        <w:rPr>
          <w:sz w:val="20"/>
          <w:szCs w:val="20"/>
          <w:color w:val="auto"/>
        </w:rPr>
      </w:pPr>
    </w:p>
    <w:p>
      <w:pPr>
        <w:jc w:val="both"/>
        <w:ind w:right="520"/>
        <w:spacing w:after="0" w:line="258" w:lineRule="auto"/>
        <w:rPr>
          <w:sz w:val="20"/>
          <w:szCs w:val="20"/>
          <w:color w:val="auto"/>
        </w:rPr>
      </w:pPr>
      <w:r>
        <w:rPr>
          <w:rFonts w:ascii="Arial" w:cs="Arial" w:eastAsia="Arial" w:hAnsi="Arial"/>
          <w:sz w:val="18"/>
          <w:szCs w:val="18"/>
          <w:color w:val="auto"/>
        </w:rPr>
        <w:t>Land is recorded at historical cost, while property and equipment are recorded at cost less accumulated depreciation and amortization. Capitalized software includes the costs of developing or obtaining internal-use software, including external direct costs of materials and services and internal payroll costs related to the software project.</w:t>
      </w:r>
    </w:p>
    <w:p>
      <w:pPr>
        <w:spacing w:after="0" w:line="124"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We capitalize interest on construction in progress and software projects during the period in which expenditures have been made, activities are in progress to prepare the asset for its intended use and actual interest costs are being incurred. Depreciation and amortization are computed using the straight-line method over the asset’s estimated useful life, which is determined by asset category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Life (in years)</w:t>
            </w:r>
          </w:p>
        </w:tc>
      </w:tr>
      <w:tr>
        <w:trPr>
          <w:trHeight w:val="20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Store fixtures and equipment</w:t>
            </w:r>
          </w:p>
        </w:tc>
        <w:tc>
          <w:tcPr>
            <w:tcW w:w="5100" w:type="dxa"/>
            <w:vAlign w:val="bottom"/>
          </w:tcPr>
          <w:p>
            <w:pPr>
              <w:jc w:val="right"/>
              <w:spacing w:after="0"/>
              <w:rPr>
                <w:sz w:val="20"/>
                <w:szCs w:val="20"/>
                <w:color w:val="auto"/>
              </w:rPr>
            </w:pPr>
            <w:r>
              <w:rPr>
                <w:rFonts w:ascii="Arial" w:cs="Arial" w:eastAsia="Arial" w:hAnsi="Arial"/>
                <w:sz w:val="16"/>
                <w:szCs w:val="16"/>
                <w:color w:val="auto"/>
              </w:rPr>
              <w:t>3 – 15</w:t>
            </w:r>
          </w:p>
        </w:tc>
      </w:tr>
      <w:tr>
        <w:trPr>
          <w:trHeight w:val="217"/>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40</w:t>
            </w:r>
          </w:p>
        </w:tc>
      </w:tr>
      <w:tr>
        <w:trPr>
          <w:trHeight w:val="215"/>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Capitalized software</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 7</w:t>
            </w:r>
          </w:p>
        </w:tc>
      </w:tr>
    </w:tbl>
    <w:p>
      <w:pPr>
        <w:spacing w:after="0" w:line="23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Leasehold improvements and leased property and equipment that are purchased at the inception of the lease, or during the lease term, are amortized over the shorter of the lease term or the asset life. Lease terms include the fixed, non-cancellable term of a lease, plus any renewal periods determined to be reasonably assured.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When facts and circumstances indicate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and capital expenditures. These projections are inherently subject to uncertainties and while we believe the inputs and assumptions utilized in our future cash flows are reasonable, our estimates may change in the near term based on our current and future performance. Land, property and equipment are grouped at the lowest level at which there are identifiable cash flows when assessing impairment, while cash flows for our retail store assets are identified at the individual store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related to asset impairment charges: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18"/>
                <w:szCs w:val="18"/>
                <w:color w:val="auto"/>
              </w:rPr>
            </w:pPr>
          </w:p>
        </w:tc>
        <w:tc>
          <w:tcPr>
            <w:tcW w:w="2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r>
      <w:tr>
        <w:trPr>
          <w:trHeight w:val="210"/>
        </w:trPr>
        <w:tc>
          <w:tcPr>
            <w:tcW w:w="58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Supply Chain</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Trunk Club</w:t>
            </w: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Stores</w:t>
            </w:r>
          </w:p>
        </w:tc>
      </w:tr>
      <w:tr>
        <w:trPr>
          <w:trHeight w:val="209"/>
        </w:trPr>
        <w:tc>
          <w:tcPr>
            <w:tcW w:w="58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Long-lived asset impairment</w:t>
            </w:r>
            <w:r>
              <w:rPr>
                <w:rFonts w:ascii="Arial" w:cs="Arial" w:eastAsia="Arial" w:hAnsi="Arial"/>
                <w:sz w:val="21"/>
                <w:szCs w:val="21"/>
                <w:color w:val="auto"/>
                <w:vertAlign w:val="superscript"/>
              </w:rPr>
              <w:t>1</w:t>
            </w:r>
          </w:p>
        </w:tc>
        <w:tc>
          <w:tcPr>
            <w:tcW w:w="230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$58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586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Operating lease ROU asset impairment</w:t>
            </w:r>
            <w:r>
              <w:rPr>
                <w:rFonts w:ascii="Arial" w:cs="Arial" w:eastAsia="Arial" w:hAnsi="Arial"/>
                <w:sz w:val="21"/>
                <w:szCs w:val="21"/>
                <w:color w:val="auto"/>
                <w:vertAlign w:val="superscript"/>
              </w:rPr>
              <w:t>1</w:t>
            </w:r>
          </w:p>
        </w:tc>
        <w:tc>
          <w:tcPr>
            <w:tcW w:w="2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12</w:t>
            </w: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 impairment</w:t>
            </w:r>
          </w:p>
        </w:tc>
        <w:tc>
          <w:tcPr>
            <w:tcW w:w="23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$70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r>
    </w:tbl>
    <w:p>
      <w:pPr>
        <w:spacing w:after="0" w:line="72" w:lineRule="exact"/>
        <w:rPr>
          <w:sz w:val="20"/>
          <w:szCs w:val="20"/>
          <w:color w:val="auto"/>
        </w:rPr>
      </w:pPr>
    </w:p>
    <w:p>
      <w:pPr>
        <w:ind w:left="80" w:hanging="72"/>
        <w:spacing w:after="0"/>
        <w:tabs>
          <w:tab w:leader="none" w:pos="80" w:val="left"/>
        </w:tabs>
        <w:numPr>
          <w:ilvl w:val="0"/>
          <w:numId w:val="34"/>
        </w:numPr>
        <w:rPr>
          <w:rFonts w:ascii="Arial" w:cs="Arial" w:eastAsia="Arial" w:hAnsi="Arial"/>
          <w:sz w:val="9"/>
          <w:szCs w:val="9"/>
          <w:color w:val="auto"/>
        </w:rPr>
      </w:pPr>
      <w:r>
        <w:rPr>
          <w:rFonts w:ascii="Arial" w:cs="Arial" w:eastAsia="Arial" w:hAnsi="Arial"/>
          <w:sz w:val="14"/>
          <w:szCs w:val="14"/>
          <w:color w:val="auto"/>
        </w:rPr>
        <w:t>After impairment, the carrying value of the remaining long-lived tangible and ROU assets were not 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Impairment</w:t>
      </w:r>
    </w:p>
    <w:p>
      <w:pPr>
        <w:spacing w:after="0" w:line="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third quarter of 2022, as part of our supply chain optimization initiatives, we decommissioned certain supply chain technology and related assets and incurred a non-cash impairment charge to adjust the carrying values to their estimated fair values. These charges are included in our Corporate/Other SG&amp;A expense on the Consolidated Statement of Earnings and asset impairment on the Consolidated Statement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Trunk Club Wind-down</w:t>
      </w:r>
    </w:p>
    <w:p>
      <w:pPr>
        <w:spacing w:after="0" w:line="2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During the first quarter of 2022, in conjunction with the decision to sunset the Trunk Club brand, we incurred non-cash impairment charges related to a Trunk Club property to adjust the carrying values to their estimated fair value. These charges are included in our Retail segment SG&amp;A expense on the Consolidated Statement of Earnings and asset impairment on the Consolidated Statement of Cash Flows.</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second quarter of 2022, we also incurred additional costs of $8 associated with the wind-down of Trunk Club. These expenses are primarily included in our Retail segment cost of sales and related buying and occupancy costs on the Consolidated Statement of Earnings. These charges are classified as operating on the Consolidated Statement of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Store Closures</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2020, as we optimized our mix of physical and digital assets to align with longer-term customer trends, we closed 16 Nordstrom stores, six Trunk Club clubhouses and three Jeffrey boutiques. In conjunction with these closures, we incurred non-cash impairment charges on long-lived tangible and ROU assets, primarily associated with the Nordstrom store closures, to adjust the carrying values to their estimated fair value. These charges are primarily included in our Retail segment SG&amp;A expense on the Consolidated Statement of Earnings.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Goodwill represents the excess of acquisition cost over the fair value of the related net assets acquired and is not subject to amortization. We review our goodwill annually for impairment, as of the first day of the fourth quarter, or when circumstances indicate that the carrying value may exceed the fair value. We perform this evaluation at the Nordstrom and NordstromRack.com reporting unit level, all within our Retail segment. When evaluating these assets for impairment, we may first perform a qualitative assessment to determine whether it is more likely than not that a reporting unit is impaired. If we determine that it is more likely than not that the carrying value exceeds the fair value of the reporting unit, we perform a quantitative fair value test. We may also choose to bypass this qualitative assessment and perform the quantitative assessment.</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January 28, 2023 and January 29, 2022, we had goodwill of $249. To determine fair value, we compare the carrying value of the reporting unit to its estimated fair value, which is based on the expected present value of future cash flows (income approach), comparable public companies (market approach) or a combination of both. Determining fair value using these approaches requires management assumptions, estimations and judgements regarding factors like overall economic conditions, prospective financial information, growth rates, terminal value, discount rates and market multiples. If fair value is lower than the carrying value, an impairment charge is recognized in an amount equal to that excess, limited to the total amount of goodwill allocated to that reporting unit. Based on the results of our tests, fair value exceeded carrying value, and we therefore had no goodwill impairment in 2022, 2021 or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From time to time, we invest in financial interests of certain private companies and venture capital funds that align with our business and omni-channel strategies, which are recorded in other assets in the Consolidated Balance Sheets and proceeds from the sale of assets and other, net on the Consolidated Statements of Cash Flows. In July 2021, we acquired a minority interest in the Topshop, Topman, Miss Selfridge and HIIT brands through a strategic partnership with ASOS.com Ltd.</w:t>
      </w:r>
    </w:p>
    <w:p>
      <w:pPr>
        <w:spacing w:after="0" w:line="12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January 28, 2023 and January 29, 2022, we held $42 and $35 of equity interests in certain venture capital funds, which are recorded at fair value using the practical expedient estimate of NAV or its equivalent. We had $11 and $4 in unfunded commitments related to these investments as of January 28, 2023 and January 29, 2022.</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first quarter of 2022, in connection with the sale of a limited partnership interest in a corporate office building, we recognized a gain of $51 in our Corporate/Other SG&amp;A expense in the Consolidated Statement of Earnings and $73 in proceeds from the sale of assets and other, net on the Consolidated Statement of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retain a portion of the risk for certain losses related to employee health and welfare, workers’ compensation and other liability claims. Liabilities associated with these losses include undiscounted estimates of both losses reported and losses incurred but not yet reported. We estimate our ultimate cost using an actuarially-based analysis of claims experience, regulatory changes and other relevant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January 28, 2023, our Canadian operations were comprised of the Nordstrom.ca website, six Nordstrom stores and seven Nordstrom Rack stores. The functional currency of our Canadian operations is the Canadian Dollar. We translate assets and liabilities into U.S. Dollars using the exchange rate in effect at the balance sheet date, while we translate revenues and expenses using an average exchange rate for the period. We record these translation adjustments as a component of accumulated other comprehensive loss on the Consolidated Balance Sheets. On March 2, 2023, Nordstrom Canada commenced a wind-down of its business operations (see Note 15: Subsequent Events for more information).</w:t>
      </w:r>
    </w:p>
    <w:p>
      <w:pPr>
        <w:spacing w:after="0" w:line="1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our U.S. operations incur certain expenditures denominated in Canadian Dollars and our Canadian operations incur certain expenditures denominated in U.S. Dollars. This activity results in transaction gains and losses that arise from exchange rate fluctuations, which are recorded as gains or losses in the Consolidated Statements of Earnings.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Contract liabilities represent our obligation to transfer goods or services to customers and include deferred revenue for The Nordy Club (including points and Nordstrom Notes), gift cards and our amended 2022 TD program agreement. Our contract liabilities are classified on the Consolidated Balance Sheets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Other current liabilities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 liabilities</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30, 2021</w:t>
            </w:r>
          </w:p>
        </w:tc>
        <w:tc>
          <w:tcPr>
            <w:tcW w:w="4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$478</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Balance as of January 29, 2022</w:t>
            </w:r>
          </w:p>
        </w:tc>
        <w:tc>
          <w:tcPr>
            <w:tcW w:w="4740" w:type="dxa"/>
            <w:vAlign w:val="bottom"/>
          </w:tcPr>
          <w:p>
            <w:pPr>
              <w:jc w:val="right"/>
              <w:ind w:right="399"/>
              <w:spacing w:after="0"/>
              <w:rPr>
                <w:sz w:val="20"/>
                <w:szCs w:val="20"/>
                <w:color w:val="auto"/>
              </w:rPr>
            </w:pPr>
            <w:r>
              <w:rPr>
                <w:rFonts w:ascii="Arial" w:cs="Arial" w:eastAsia="Arial" w:hAnsi="Arial"/>
                <w:sz w:val="16"/>
                <w:szCs w:val="16"/>
                <w:color w:val="auto"/>
              </w:rPr>
              <w:t>478</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28, 2023</w:t>
            </w:r>
          </w:p>
        </w:tc>
        <w:tc>
          <w:tcPr>
            <w:tcW w:w="47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536</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w:t>
            </w:r>
          </w:p>
        </w:tc>
      </w:tr>
    </w:tbl>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Contract liabilities increased during 2022 primarily as a result of deferred revenue recorded in connection with our amended 2022 TD program agreement. Revenues recognized from our beginning contract liability balance were $265 and $244 for the years ended January 28, 2023 and January 29,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7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w:t>
            </w:r>
          </w:p>
        </w:tc>
        <w:tc>
          <w:tcPr>
            <w:tcW w:w="33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$10,279</w:t>
            </w:r>
          </w:p>
        </w:tc>
        <w:tc>
          <w:tcPr>
            <w:tcW w:w="1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$9,640</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$6,997</w:t>
            </w:r>
          </w:p>
        </w:tc>
      </w:tr>
      <w:tr>
        <w:trPr>
          <w:trHeight w:val="21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Nordstrom Rack</w:t>
            </w:r>
          </w:p>
        </w:tc>
        <w:tc>
          <w:tcPr>
            <w:tcW w:w="3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4,813</w:t>
            </w:r>
          </w:p>
        </w:tc>
        <w:tc>
          <w:tcPr>
            <w:tcW w:w="17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4,762</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3,360</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sales</w:t>
            </w:r>
          </w:p>
        </w:tc>
        <w:tc>
          <w:tcPr>
            <w:tcW w:w="33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$15,092</w:t>
            </w:r>
          </w:p>
        </w:tc>
        <w:tc>
          <w:tcPr>
            <w:tcW w:w="17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$14,402</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$10,357</w:t>
            </w:r>
          </w:p>
        </w:tc>
      </w:tr>
      <w:tr>
        <w:trPr>
          <w:trHeight w:val="216"/>
        </w:trPr>
        <w:tc>
          <w:tcPr>
            <w:tcW w:w="48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Digital sales as a % of total net sales</w:t>
            </w:r>
          </w:p>
        </w:tc>
        <w:tc>
          <w:tcPr>
            <w:tcW w:w="33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38%</w:t>
            </w:r>
          </w:p>
        </w:tc>
        <w:tc>
          <w:tcPr>
            <w:tcW w:w="17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42%</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0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8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Women’s Apparel</w:t>
            </w:r>
          </w:p>
        </w:tc>
        <w:tc>
          <w:tcPr>
            <w:tcW w:w="40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28%</w:t>
            </w:r>
          </w:p>
        </w:tc>
        <w:tc>
          <w:tcPr>
            <w:tcW w:w="18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28%</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Shoes</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26%</w:t>
            </w:r>
          </w:p>
        </w:tc>
        <w:tc>
          <w:tcPr>
            <w:tcW w:w="1840" w:type="dxa"/>
            <w:vAlign w:val="bottom"/>
          </w:tcPr>
          <w:p>
            <w:pPr>
              <w:jc w:val="right"/>
              <w:ind w:right="719"/>
              <w:spacing w:after="0"/>
              <w:rPr>
                <w:sz w:val="20"/>
                <w:szCs w:val="20"/>
                <w:color w:val="auto"/>
              </w:rPr>
            </w:pPr>
            <w:r>
              <w:rPr>
                <w:rFonts w:ascii="Arial" w:cs="Arial" w:eastAsia="Arial" w:hAnsi="Arial"/>
                <w:sz w:val="16"/>
                <w:szCs w:val="16"/>
                <w:color w:val="auto"/>
              </w:rPr>
              <w:t>25%</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Men’s Apparel</w:t>
            </w:r>
          </w:p>
        </w:tc>
        <w:tc>
          <w:tcPr>
            <w:tcW w:w="40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15%</w:t>
            </w:r>
          </w:p>
        </w:tc>
        <w:tc>
          <w:tcPr>
            <w:tcW w:w="18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14%</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Accessories</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13%</w:t>
            </w:r>
          </w:p>
        </w:tc>
        <w:tc>
          <w:tcPr>
            <w:tcW w:w="1840" w:type="dxa"/>
            <w:vAlign w:val="bottom"/>
          </w:tcPr>
          <w:p>
            <w:pPr>
              <w:jc w:val="right"/>
              <w:ind w:right="719"/>
              <w:spacing w:after="0"/>
              <w:rPr>
                <w:sz w:val="20"/>
                <w:szCs w:val="20"/>
                <w:color w:val="auto"/>
              </w:rPr>
            </w:pPr>
            <w:r>
              <w:rPr>
                <w:rFonts w:ascii="Arial" w:cs="Arial" w:eastAsia="Arial" w:hAnsi="Arial"/>
                <w:sz w:val="16"/>
                <w:szCs w:val="16"/>
                <w:color w:val="auto"/>
              </w:rPr>
              <w:t>14%</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Beauty</w:t>
            </w:r>
          </w:p>
        </w:tc>
        <w:tc>
          <w:tcPr>
            <w:tcW w:w="404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12%</w:t>
            </w:r>
          </w:p>
        </w:tc>
        <w:tc>
          <w:tcPr>
            <w:tcW w:w="18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12%</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Kids’ Apparel</w:t>
            </w:r>
          </w:p>
        </w:tc>
        <w:tc>
          <w:tcPr>
            <w:tcW w:w="4040" w:type="dxa"/>
            <w:vAlign w:val="bottom"/>
          </w:tcPr>
          <w:p>
            <w:pPr>
              <w:jc w:val="right"/>
              <w:ind w:right="719"/>
              <w:spacing w:after="0"/>
              <w:rPr>
                <w:sz w:val="20"/>
                <w:szCs w:val="20"/>
                <w:color w:val="auto"/>
              </w:rPr>
            </w:pPr>
            <w:r>
              <w:rPr>
                <w:rFonts w:ascii="Arial" w:cs="Arial" w:eastAsia="Arial" w:hAnsi="Arial"/>
                <w:sz w:val="16"/>
                <w:szCs w:val="16"/>
                <w:b w:val="1"/>
                <w:bCs w:val="1"/>
                <w:color w:val="auto"/>
              </w:rPr>
              <w:t>3%</w:t>
            </w:r>
          </w:p>
        </w:tc>
        <w:tc>
          <w:tcPr>
            <w:tcW w:w="1840" w:type="dxa"/>
            <w:vAlign w:val="bottom"/>
          </w:tcPr>
          <w:p>
            <w:pPr>
              <w:jc w:val="right"/>
              <w:ind w:right="719"/>
              <w:spacing w:after="0"/>
              <w:rPr>
                <w:sz w:val="20"/>
                <w:szCs w:val="20"/>
                <w:color w:val="auto"/>
              </w:rPr>
            </w:pPr>
            <w:r>
              <w:rPr>
                <w:rFonts w:ascii="Arial" w:cs="Arial" w:eastAsia="Arial" w:hAnsi="Arial"/>
                <w:sz w:val="16"/>
                <w:szCs w:val="16"/>
                <w:color w:val="auto"/>
              </w:rPr>
              <w:t>4%</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0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3%</w:t>
            </w:r>
          </w:p>
        </w:tc>
        <w:tc>
          <w:tcPr>
            <w:tcW w:w="184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3%</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10"/>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net sales</w:t>
            </w:r>
          </w:p>
        </w:tc>
        <w:tc>
          <w:tcPr>
            <w:tcW w:w="40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100 %</w:t>
            </w:r>
          </w:p>
        </w:tc>
        <w:tc>
          <w:tcPr>
            <w:tcW w:w="1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100 %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LAND, PROPERTY AND EQUIPMENT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 property and equipment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38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Buildings and building improvements</w:t>
            </w:r>
          </w:p>
        </w:tc>
        <w:tc>
          <w:tcPr>
            <w:tcW w:w="3820" w:type="dxa"/>
            <w:vAlign w:val="bottom"/>
          </w:tcPr>
          <w:p>
            <w:pPr>
              <w:jc w:val="right"/>
              <w:ind w:right="199"/>
              <w:spacing w:after="0"/>
              <w:rPr>
                <w:sz w:val="20"/>
                <w:szCs w:val="20"/>
                <w:color w:val="auto"/>
              </w:rPr>
            </w:pPr>
            <w:r>
              <w:rPr>
                <w:rFonts w:ascii="Arial" w:cs="Arial" w:eastAsia="Arial" w:hAnsi="Arial"/>
                <w:sz w:val="16"/>
                <w:szCs w:val="16"/>
                <w:b w:val="1"/>
                <w:bCs w:val="1"/>
                <w:color w:val="auto"/>
              </w:rPr>
              <w:t>1,352</w:t>
            </w:r>
          </w:p>
        </w:tc>
        <w:tc>
          <w:tcPr>
            <w:tcW w:w="156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8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3,389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w:t>
            </w: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Store fixtures and equipment</w:t>
            </w:r>
          </w:p>
        </w:tc>
        <w:tc>
          <w:tcPr>
            <w:tcW w:w="3820" w:type="dxa"/>
            <w:vAlign w:val="bottom"/>
          </w:tcPr>
          <w:p>
            <w:pPr>
              <w:jc w:val="right"/>
              <w:ind w:right="199"/>
              <w:spacing w:after="0"/>
              <w:rPr>
                <w:sz w:val="20"/>
                <w:szCs w:val="20"/>
                <w:color w:val="auto"/>
              </w:rPr>
            </w:pPr>
            <w:r>
              <w:rPr>
                <w:rFonts w:ascii="Arial" w:cs="Arial" w:eastAsia="Arial" w:hAnsi="Arial"/>
                <w:sz w:val="16"/>
                <w:szCs w:val="16"/>
                <w:b w:val="1"/>
                <w:bCs w:val="1"/>
                <w:color w:val="auto"/>
              </w:rPr>
              <w:t>4,138</w:t>
            </w:r>
          </w:p>
        </w:tc>
        <w:tc>
          <w:tcPr>
            <w:tcW w:w="1560" w:type="dxa"/>
            <w:vAlign w:val="bottom"/>
          </w:tcPr>
          <w:p>
            <w:pPr>
              <w:jc w:val="right"/>
              <w:spacing w:after="0"/>
              <w:rPr>
                <w:sz w:val="20"/>
                <w:szCs w:val="20"/>
                <w:color w:val="auto"/>
              </w:rPr>
            </w:pPr>
            <w:r>
              <w:rPr>
                <w:rFonts w:ascii="Arial" w:cs="Arial" w:eastAsia="Arial" w:hAnsi="Arial"/>
                <w:sz w:val="16"/>
                <w:szCs w:val="16"/>
                <w:color w:val="auto"/>
              </w:rPr>
              <w:t>4,038</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38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2,151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w:t>
            </w:r>
          </w:p>
        </w:tc>
      </w:tr>
      <w:tr>
        <w:trPr>
          <w:trHeight w:val="216"/>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progress</w:t>
            </w:r>
          </w:p>
        </w:tc>
        <w:tc>
          <w:tcPr>
            <w:tcW w:w="3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r>
      <w:tr>
        <w:trPr>
          <w:trHeight w:val="209"/>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Land, property and equipment</w:t>
            </w:r>
          </w:p>
        </w:tc>
        <w:tc>
          <w:tcPr>
            <w:tcW w:w="3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11,640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11,299</w:t>
            </w: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(8,289)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(7,737)</w:t>
            </w: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Land, property and equipment, net</w:t>
            </w:r>
          </w:p>
        </w:tc>
        <w:tc>
          <w:tcPr>
            <w:tcW w:w="38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$3,351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$3,562</w:t>
            </w:r>
          </w:p>
        </w:tc>
      </w:tr>
    </w:tbl>
    <w:p>
      <w:pPr>
        <w:spacing w:after="0" w:line="23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Our net non-cash investing activities primarily related to Nordstrom New York City flagship store and our Supply Chain Network capital expenditure accruals and resulted in a decrease to accounts payable of $48 in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We lease the land, buildings, or land and buildings for many of our stores, office facilities and Supply Chain Network facilities, as well as equipment. The following table summarizes the majority of our fixed, non-cancellable lease terms:</w:t>
      </w:r>
    </w:p>
    <w:tbl>
      <w:tblPr>
        <w:tblLayout w:type="fixed"/>
        <w:tblInd w:w="0" w:type="dxa"/>
        <w:tblCellMar>
          <w:top w:w="0" w:type="dxa"/>
          <w:left w:w="0" w:type="dxa"/>
          <w:bottom w:w="0" w:type="dxa"/>
          <w:right w:w="0" w:type="dxa"/>
        </w:tblCellMar>
      </w:tblPr>
      <w:tr>
        <w:trPr>
          <w:trHeight w:val="21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 Type</w:t>
            </w:r>
          </w:p>
        </w:tc>
        <w:tc>
          <w:tcPr>
            <w:tcW w:w="4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Lease Term (in years)</w:t>
            </w:r>
          </w:p>
        </w:tc>
      </w:tr>
      <w:tr>
        <w:trPr>
          <w:trHeight w:val="20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Nordstrom stores</w:t>
            </w:r>
          </w:p>
        </w:tc>
        <w:tc>
          <w:tcPr>
            <w:tcW w:w="4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30</w:t>
            </w:r>
          </w:p>
        </w:tc>
      </w:tr>
      <w:tr>
        <w:trPr>
          <w:trHeight w:val="215"/>
        </w:trPr>
        <w:tc>
          <w:tcPr>
            <w:tcW w:w="6300" w:type="dxa"/>
            <w:vAlign w:val="bottom"/>
          </w:tcPr>
          <w:p>
            <w:pPr>
              <w:ind w:left="20"/>
              <w:spacing w:after="0"/>
              <w:rPr>
                <w:sz w:val="20"/>
                <w:szCs w:val="20"/>
                <w:color w:val="auto"/>
              </w:rPr>
            </w:pPr>
            <w:r>
              <w:rPr>
                <w:rFonts w:ascii="Arial" w:cs="Arial" w:eastAsia="Arial" w:hAnsi="Arial"/>
                <w:sz w:val="16"/>
                <w:szCs w:val="16"/>
                <w:color w:val="auto"/>
              </w:rPr>
              <w:t>Nordstrom Rack stores</w:t>
            </w:r>
          </w:p>
        </w:tc>
        <w:tc>
          <w:tcPr>
            <w:tcW w:w="4940" w:type="dxa"/>
            <w:vAlign w:val="bottom"/>
            <w:gridSpan w:val="2"/>
          </w:tcPr>
          <w:p>
            <w:pPr>
              <w:jc w:val="right"/>
              <w:spacing w:after="0"/>
              <w:rPr>
                <w:sz w:val="20"/>
                <w:szCs w:val="20"/>
                <w:color w:val="auto"/>
              </w:rPr>
            </w:pPr>
            <w:r>
              <w:rPr>
                <w:rFonts w:ascii="Arial" w:cs="Arial" w:eastAsia="Arial" w:hAnsi="Arial"/>
                <w:sz w:val="16"/>
                <w:szCs w:val="16"/>
                <w:color w:val="auto"/>
              </w:rPr>
              <w:t>Approximately 10</w:t>
            </w:r>
          </w:p>
        </w:tc>
      </w:tr>
      <w:tr>
        <w:trPr>
          <w:trHeight w:val="216"/>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Office and Supply Chain Network facilities</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20</w:t>
            </w:r>
          </w:p>
        </w:tc>
      </w:tr>
    </w:tbl>
    <w:p>
      <w:pPr>
        <w:spacing w:after="0" w:line="22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Many of our leases include options that allow us to extend the lease term beyond the initial commitment period. At the commencement of a lease, we generally include only the initial lease term as we have determined that options to extend are not reasonably certain to occur. The exercise of lease renewal options is generally at our sole discretion. At the renewal of an expiring lease, we reassess our options in the agreement and include all reasonably certain extensions in the measurement of our lease term.</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Most of our leases also require us to pay certain expenses, such as common area maintenance charges, real estate taxes and other executory costs, the fixed portion of which is included in Operating Lease Cost. We recognize Operating Lease Cost, which is primarily included in occupancy costs, on a straight-line basis over the lease term. Variable lease cost includes payments for variable common area maintenance charges and additional payments based on a percentage of sales, which are recognized when probable. Our lease agreements do not contain any material residual value guarantees or material restrictive covenants.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lease cost: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9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392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$280</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$265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4440" w:type="dxa"/>
            <w:vAlign w:val="bottom"/>
          </w:tcPr>
          <w:p>
            <w:pPr>
              <w:ind w:left="20"/>
              <w:spacing w:after="0" w:line="216" w:lineRule="exact"/>
              <w:rPr>
                <w:sz w:val="20"/>
                <w:szCs w:val="20"/>
                <w:color w:val="auto"/>
              </w:rPr>
            </w:pPr>
            <w:r>
              <w:rPr>
                <w:rFonts w:ascii="Arial" w:cs="Arial" w:eastAsia="Arial" w:hAnsi="Arial"/>
                <w:sz w:val="16"/>
                <w:szCs w:val="16"/>
                <w:color w:val="auto"/>
              </w:rPr>
              <w:t>Variable lease cost</w:t>
            </w:r>
            <w:r>
              <w:rPr>
                <w:rFonts w:ascii="Arial" w:cs="Arial" w:eastAsia="Arial" w:hAnsi="Arial"/>
                <w:sz w:val="21"/>
                <w:szCs w:val="21"/>
                <w:color w:val="auto"/>
                <w:vertAlign w:val="superscript"/>
              </w:rPr>
              <w:t>1</w:t>
            </w:r>
          </w:p>
        </w:tc>
        <w:tc>
          <w:tcPr>
            <w:tcW w:w="3920" w:type="dxa"/>
            <w:vAlign w:val="bottom"/>
          </w:tcPr>
          <w:p>
            <w:pPr>
              <w:jc w:val="right"/>
              <w:ind w:right="639"/>
              <w:spacing w:after="0"/>
              <w:rPr>
                <w:sz w:val="20"/>
                <w:szCs w:val="20"/>
                <w:color w:val="auto"/>
              </w:rPr>
            </w:pPr>
            <w:r>
              <w:rPr>
                <w:rFonts w:ascii="Arial" w:cs="Arial" w:eastAsia="Arial" w:hAnsi="Arial"/>
                <w:sz w:val="16"/>
                <w:szCs w:val="16"/>
                <w:b w:val="1"/>
                <w:bCs w:val="1"/>
                <w:color w:val="auto"/>
              </w:rPr>
              <w:t>97</w:t>
            </w:r>
          </w:p>
        </w:tc>
        <w:tc>
          <w:tcPr>
            <w:tcW w:w="1780" w:type="dxa"/>
            <w:vAlign w:val="bottom"/>
          </w:tcPr>
          <w:p>
            <w:pPr>
              <w:jc w:val="right"/>
              <w:ind w:right="659"/>
              <w:spacing w:after="0"/>
              <w:rPr>
                <w:sz w:val="20"/>
                <w:szCs w:val="20"/>
                <w:color w:val="auto"/>
              </w:rPr>
            </w:pPr>
            <w:r>
              <w:rPr>
                <w:rFonts w:ascii="Arial" w:cs="Arial" w:eastAsia="Arial" w:hAnsi="Arial"/>
                <w:sz w:val="16"/>
                <w:szCs w:val="16"/>
                <w:color w:val="auto"/>
              </w:rPr>
              <w:t>100</w:t>
            </w: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Sublease income</w:t>
            </w:r>
          </w:p>
        </w:tc>
        <w:tc>
          <w:tcPr>
            <w:tcW w:w="392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(19)</w:t>
            </w:r>
          </w:p>
        </w:tc>
        <w:tc>
          <w:tcPr>
            <w:tcW w:w="17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(20)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lease cost, net</w:t>
            </w:r>
          </w:p>
        </w:tc>
        <w:tc>
          <w:tcPr>
            <w:tcW w:w="39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$358</w:t>
            </w:r>
          </w:p>
        </w:tc>
        <w:tc>
          <w:tcPr>
            <w:tcW w:w="17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$345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bl>
    <w:p>
      <w:pPr>
        <w:spacing w:after="0" w:line="57" w:lineRule="exact"/>
        <w:rPr>
          <w:sz w:val="20"/>
          <w:szCs w:val="20"/>
          <w:color w:val="auto"/>
        </w:rPr>
      </w:pPr>
    </w:p>
    <w:p>
      <w:pPr>
        <w:ind w:left="100" w:hanging="92"/>
        <w:spacing w:after="0"/>
        <w:tabs>
          <w:tab w:leader="none" w:pos="10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Variable lease cost includes short-term lease cost, which was immaterial in 2022, 2021 and 2020.</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future lease payments as of January 28, 2023:</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Operating Leases</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$339</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2024</w:t>
            </w:r>
          </w:p>
        </w:tc>
        <w:tc>
          <w:tcPr>
            <w:tcW w:w="4880" w:type="dxa"/>
            <w:vAlign w:val="bottom"/>
          </w:tcPr>
          <w:p>
            <w:pPr>
              <w:jc w:val="right"/>
              <w:spacing w:after="0"/>
              <w:rPr>
                <w:sz w:val="20"/>
                <w:szCs w:val="20"/>
                <w:color w:val="auto"/>
              </w:rPr>
            </w:pPr>
            <w:r>
              <w:rPr>
                <w:rFonts w:ascii="Arial" w:cs="Arial" w:eastAsia="Arial" w:hAnsi="Arial"/>
                <w:sz w:val="16"/>
                <w:szCs w:val="16"/>
                <w:b w:val="1"/>
                <w:bCs w:val="1"/>
                <w:color w:val="auto"/>
              </w:rPr>
              <w:t>344</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295</w:t>
            </w:r>
          </w:p>
        </w:tc>
      </w:tr>
      <w:tr>
        <w:trPr>
          <w:trHeight w:val="216"/>
        </w:trPr>
        <w:tc>
          <w:tcPr>
            <w:tcW w:w="6360" w:type="dxa"/>
            <w:vAlign w:val="bottom"/>
          </w:tcPr>
          <w:p>
            <w:pPr>
              <w:ind w:left="20"/>
              <w:spacing w:after="0"/>
              <w:rPr>
                <w:sz w:val="20"/>
                <w:szCs w:val="20"/>
                <w:color w:val="auto"/>
              </w:rPr>
            </w:pPr>
            <w:r>
              <w:rPr>
                <w:rFonts w:ascii="Arial" w:cs="Arial" w:eastAsia="Arial" w:hAnsi="Arial"/>
                <w:sz w:val="16"/>
                <w:szCs w:val="16"/>
                <w:color w:val="auto"/>
              </w:rPr>
              <w:t>2026</w:t>
            </w:r>
          </w:p>
        </w:tc>
        <w:tc>
          <w:tcPr>
            <w:tcW w:w="4880" w:type="dxa"/>
            <w:vAlign w:val="bottom"/>
          </w:tcPr>
          <w:p>
            <w:pPr>
              <w:jc w:val="right"/>
              <w:spacing w:after="0"/>
              <w:rPr>
                <w:sz w:val="20"/>
                <w:szCs w:val="20"/>
                <w:color w:val="auto"/>
              </w:rPr>
            </w:pPr>
            <w:r>
              <w:rPr>
                <w:rFonts w:ascii="Arial" w:cs="Arial" w:eastAsia="Arial" w:hAnsi="Arial"/>
                <w:sz w:val="16"/>
                <w:szCs w:val="16"/>
                <w:b w:val="1"/>
                <w:bCs w:val="1"/>
                <w:color w:val="auto"/>
              </w:rPr>
              <w:t>247</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r>
      <w:tr>
        <w:trPr>
          <w:trHeight w:val="21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793</w:t>
            </w:r>
          </w:p>
        </w:tc>
      </w:tr>
      <w:tr>
        <w:trPr>
          <w:trHeight w:val="209"/>
        </w:trPr>
        <w:tc>
          <w:tcPr>
            <w:tcW w:w="6360" w:type="dxa"/>
            <w:vAlign w:val="bottom"/>
            <w:tcBorders>
              <w:bottom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Total lease payments</w:t>
            </w:r>
            <w:r>
              <w:rPr>
                <w:rFonts w:ascii="Arial" w:cs="Arial" w:eastAsia="Arial" w:hAnsi="Arial"/>
                <w:sz w:val="21"/>
                <w:szCs w:val="21"/>
                <w:color w:val="auto"/>
                <w:vertAlign w:val="superscript"/>
              </w:rPr>
              <w:t>1,2</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2,216</w:t>
            </w:r>
          </w:p>
        </w:tc>
      </w:tr>
      <w:tr>
        <w:trPr>
          <w:trHeight w:val="237"/>
        </w:trPr>
        <w:tc>
          <w:tcPr>
            <w:tcW w:w="636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216"/>
        </w:trPr>
        <w:tc>
          <w:tcPr>
            <w:tcW w:w="6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amount representing interest</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(432)</w:t>
            </w:r>
          </w:p>
        </w:tc>
      </w:tr>
      <w:tr>
        <w:trPr>
          <w:trHeight w:val="209"/>
        </w:trPr>
        <w:tc>
          <w:tcPr>
            <w:tcW w:w="6360" w:type="dxa"/>
            <w:vAlign w:val="bottom"/>
            <w:tcBorders>
              <w:bottom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Present value of net lease payments</w:t>
            </w:r>
            <w:r>
              <w:rPr>
                <w:rFonts w:ascii="Arial" w:cs="Arial" w:eastAsia="Arial" w:hAnsi="Arial"/>
                <w:sz w:val="21"/>
                <w:szCs w:val="21"/>
                <w:color w:val="auto"/>
                <w:vertAlign w:val="superscript"/>
              </w:rPr>
              <w:t>3</w:t>
            </w:r>
          </w:p>
        </w:tc>
        <w:tc>
          <w:tcPr>
            <w:tcW w:w="4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$1,784</w:t>
            </w:r>
          </w:p>
        </w:tc>
      </w:tr>
    </w:tbl>
    <w:p>
      <w:pPr>
        <w:spacing w:after="0" w:line="43" w:lineRule="exact"/>
        <w:rPr>
          <w:sz w:val="20"/>
          <w:szCs w:val="20"/>
          <w:color w:val="auto"/>
        </w:rPr>
      </w:pPr>
    </w:p>
    <w:p>
      <w:pPr>
        <w:ind w:left="80" w:hanging="72"/>
        <w:spacing w:after="0"/>
        <w:tabs>
          <w:tab w:leader="none" w:pos="8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Total lease payments do not include payments for variable lease costs that are required by most of our lease agreements.</w:t>
      </w:r>
    </w:p>
    <w:p>
      <w:pPr>
        <w:ind w:left="100" w:hanging="92"/>
        <w:spacing w:after="0"/>
        <w:tabs>
          <w:tab w:leader="none" w:pos="100" w:val="left"/>
        </w:tabs>
        <w:numPr>
          <w:ilvl w:val="0"/>
          <w:numId w:val="37"/>
        </w:numPr>
        <w:rPr>
          <w:rFonts w:ascii="Arial" w:cs="Arial" w:eastAsia="Arial" w:hAnsi="Arial"/>
          <w:sz w:val="9"/>
          <w:szCs w:val="9"/>
          <w:color w:val="auto"/>
        </w:rPr>
      </w:pPr>
      <w:r>
        <w:rPr>
          <w:rFonts w:ascii="Arial" w:cs="Arial" w:eastAsia="Arial" w:hAnsi="Arial"/>
          <w:sz w:val="14"/>
          <w:szCs w:val="14"/>
          <w:color w:val="auto"/>
        </w:rPr>
        <w:t>Total lease payments include Nordstrom Canada future lease payments. On March 2, 2023, Nordstrom Canada commenced a wind-down of its business operations (see Note</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15: Subsequent Events for more information).</w:t>
      </w:r>
    </w:p>
    <w:p>
      <w:pPr>
        <w:ind w:left="100" w:hanging="92"/>
        <w:spacing w:after="0" w:line="209" w:lineRule="auto"/>
        <w:tabs>
          <w:tab w:leader="none" w:pos="10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Net lease payments exclude $101 of lease payments for operating leases that were signed but not yet commenced as of January 28, 2023.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supplemental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related to operating lease liabilities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$354</w:t>
            </w:r>
          </w:p>
        </w:tc>
        <w:tc>
          <w:tcPr>
            <w:tcW w:w="2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$371</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$332</w:t>
            </w: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interest</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2140" w:type="dxa"/>
            <w:vAlign w:val="bottom"/>
          </w:tcPr>
          <w:p>
            <w:pPr>
              <w:jc w:val="right"/>
              <w:ind w:right="399"/>
              <w:spacing w:after="0"/>
              <w:rPr>
                <w:sz w:val="20"/>
                <w:szCs w:val="20"/>
                <w:color w:val="auto"/>
              </w:rPr>
            </w:pPr>
            <w:r>
              <w:rPr>
                <w:rFonts w:ascii="Arial" w:cs="Arial" w:eastAsia="Arial" w:hAnsi="Arial"/>
                <w:sz w:val="16"/>
                <w:szCs w:val="16"/>
                <w:color w:val="auto"/>
              </w:rPr>
              <w:t>87</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95</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arising from lease agreements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260</w:t>
            </w:r>
          </w:p>
        </w:tc>
        <w:tc>
          <w:tcPr>
            <w:tcW w:w="21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137</w:t>
            </w:r>
          </w:p>
        </w:tc>
        <w:tc>
          <w:tcPr>
            <w:tcW w:w="1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w:t>
            </w:r>
          </w:p>
        </w:tc>
      </w:tr>
      <w:tr>
        <w:trPr>
          <w:trHeight w:val="432"/>
        </w:trPr>
        <w:tc>
          <w:tcPr>
            <w:tcW w:w="5560" w:type="dxa"/>
            <w:vAlign w:val="bottom"/>
            <w:tcBorders>
              <w:bottom w:val="single" w:sz="8" w:color="CCEEFF"/>
            </w:tcBorders>
          </w:tcPr>
          <w:p>
            <w:pPr>
              <w:spacing w:after="0"/>
              <w:rPr>
                <w:sz w:val="24"/>
                <w:szCs w:val="24"/>
                <w:color w:val="auto"/>
              </w:rPr>
            </w:pPr>
          </w:p>
        </w:tc>
        <w:tc>
          <w:tcPr>
            <w:tcW w:w="1940" w:type="dxa"/>
            <w:vAlign w:val="bottom"/>
            <w:tcBorders>
              <w:bottom w:val="single" w:sz="8" w:color="CCEEFF"/>
            </w:tcBorders>
          </w:tcPr>
          <w:p>
            <w:pPr>
              <w:spacing w:after="0"/>
              <w:rPr>
                <w:sz w:val="24"/>
                <w:szCs w:val="24"/>
                <w:color w:val="auto"/>
              </w:rPr>
            </w:pP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January 28, 2023</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194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years</w:t>
            </w:r>
          </w:p>
        </w:tc>
      </w:tr>
      <w:tr>
        <w:trPr>
          <w:trHeight w:val="21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w:t>
            </w:r>
          </w:p>
        </w:tc>
        <w:tc>
          <w:tcPr>
            <w:tcW w:w="19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4.9 %</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unamortized discount:</w:t>
            </w:r>
          </w:p>
        </w:tc>
        <w:tc>
          <w:tcPr>
            <w:tcW w:w="3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880" w:type="dxa"/>
            <w:vAlign w:val="bottom"/>
          </w:tcPr>
          <w:p>
            <w:pPr>
              <w:ind w:left="480"/>
              <w:spacing w:after="0"/>
              <w:rPr>
                <w:sz w:val="20"/>
                <w:szCs w:val="20"/>
                <w:color w:val="auto"/>
              </w:rPr>
            </w:pPr>
            <w:r>
              <w:rPr>
                <w:rFonts w:ascii="Arial" w:cs="Arial" w:eastAsia="Arial" w:hAnsi="Arial"/>
                <w:sz w:val="16"/>
                <w:szCs w:val="16"/>
                <w:color w:val="auto"/>
              </w:rPr>
              <w:t>Senior notes, 2.30%, due April 2024</w:t>
            </w:r>
          </w:p>
        </w:tc>
        <w:tc>
          <w:tcPr>
            <w:tcW w:w="3800" w:type="dxa"/>
            <w:vAlign w:val="bottom"/>
          </w:tcPr>
          <w:p>
            <w:pPr>
              <w:jc w:val="right"/>
              <w:ind w:right="199"/>
              <w:spacing w:after="0"/>
              <w:rPr>
                <w:sz w:val="20"/>
                <w:szCs w:val="20"/>
                <w:color w:val="auto"/>
              </w:rPr>
            </w:pPr>
            <w:r>
              <w:rPr>
                <w:rFonts w:ascii="Arial" w:cs="Arial" w:eastAsia="Arial" w:hAnsi="Arial"/>
                <w:sz w:val="16"/>
                <w:szCs w:val="16"/>
                <w:b w:val="1"/>
                <w:bCs w:val="1"/>
                <w:color w:val="auto"/>
              </w:rPr>
              <w:t>$250</w:t>
            </w:r>
          </w:p>
        </w:tc>
        <w:tc>
          <w:tcPr>
            <w:tcW w:w="15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5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4.00%, due March 2027</w:t>
            </w:r>
          </w:p>
        </w:tc>
        <w:tc>
          <w:tcPr>
            <w:tcW w:w="3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349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6"/>
        </w:trPr>
        <w:tc>
          <w:tcPr>
            <w:tcW w:w="5880" w:type="dxa"/>
            <w:vAlign w:val="bottom"/>
          </w:tcPr>
          <w:p>
            <w:pPr>
              <w:ind w:left="480"/>
              <w:spacing w:after="0"/>
              <w:rPr>
                <w:sz w:val="20"/>
                <w:szCs w:val="20"/>
                <w:color w:val="auto"/>
              </w:rPr>
            </w:pPr>
            <w:r>
              <w:rPr>
                <w:rFonts w:ascii="Arial" w:cs="Arial" w:eastAsia="Arial" w:hAnsi="Arial"/>
                <w:sz w:val="16"/>
                <w:szCs w:val="16"/>
                <w:color w:val="auto"/>
              </w:rPr>
              <w:t>Senior debentures, 6.95%, due March 2028</w:t>
            </w:r>
          </w:p>
        </w:tc>
        <w:tc>
          <w:tcPr>
            <w:tcW w:w="3800" w:type="dxa"/>
            <w:vAlign w:val="bottom"/>
          </w:tcPr>
          <w:p>
            <w:pPr>
              <w:jc w:val="right"/>
              <w:ind w:right="199"/>
              <w:spacing w:after="0"/>
              <w:rPr>
                <w:sz w:val="20"/>
                <w:szCs w:val="20"/>
                <w:color w:val="auto"/>
              </w:rPr>
            </w:pPr>
            <w:r>
              <w:rPr>
                <w:rFonts w:ascii="Arial" w:cs="Arial" w:eastAsia="Arial" w:hAnsi="Arial"/>
                <w:sz w:val="16"/>
                <w:szCs w:val="16"/>
                <w:b w:val="1"/>
                <w:bCs w:val="1"/>
                <w:color w:val="auto"/>
              </w:rPr>
              <w:t>300</w:t>
            </w:r>
          </w:p>
        </w:tc>
        <w:tc>
          <w:tcPr>
            <w:tcW w:w="15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5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4.375%, due April 2030</w:t>
            </w:r>
          </w:p>
        </w:tc>
        <w:tc>
          <w:tcPr>
            <w:tcW w:w="3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500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880" w:type="dxa"/>
            <w:vAlign w:val="bottom"/>
          </w:tcPr>
          <w:p>
            <w:pPr>
              <w:ind w:left="480"/>
              <w:spacing w:after="0"/>
              <w:rPr>
                <w:sz w:val="20"/>
                <w:szCs w:val="20"/>
                <w:color w:val="auto"/>
              </w:rPr>
            </w:pPr>
            <w:r>
              <w:rPr>
                <w:rFonts w:ascii="Arial" w:cs="Arial" w:eastAsia="Arial" w:hAnsi="Arial"/>
                <w:sz w:val="16"/>
                <w:szCs w:val="16"/>
                <w:color w:val="auto"/>
              </w:rPr>
              <w:t>Senior notes, 4.25%, due August 2031</w:t>
            </w:r>
          </w:p>
        </w:tc>
        <w:tc>
          <w:tcPr>
            <w:tcW w:w="3800" w:type="dxa"/>
            <w:vAlign w:val="bottom"/>
          </w:tcPr>
          <w:p>
            <w:pPr>
              <w:jc w:val="right"/>
              <w:ind w:right="199"/>
              <w:spacing w:after="0"/>
              <w:rPr>
                <w:sz w:val="20"/>
                <w:szCs w:val="20"/>
                <w:color w:val="auto"/>
              </w:rPr>
            </w:pPr>
            <w:r>
              <w:rPr>
                <w:rFonts w:ascii="Arial" w:cs="Arial" w:eastAsia="Arial" w:hAnsi="Arial"/>
                <w:sz w:val="16"/>
                <w:szCs w:val="16"/>
                <w:b w:val="1"/>
                <w:bCs w:val="1"/>
                <w:color w:val="auto"/>
              </w:rPr>
              <w:t>425</w:t>
            </w:r>
          </w:p>
        </w:tc>
        <w:tc>
          <w:tcPr>
            <w:tcW w:w="156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6"/>
        </w:trPr>
        <w:tc>
          <w:tcPr>
            <w:tcW w:w="5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Senior notes, 7.00%, due January 2038</w:t>
            </w:r>
          </w:p>
        </w:tc>
        <w:tc>
          <w:tcPr>
            <w:tcW w:w="38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147</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5880" w:type="dxa"/>
            <w:vAlign w:val="bottom"/>
          </w:tcPr>
          <w:p>
            <w:pPr>
              <w:ind w:left="480"/>
              <w:spacing w:after="0" w:line="216" w:lineRule="exact"/>
              <w:rPr>
                <w:sz w:val="20"/>
                <w:szCs w:val="20"/>
                <w:color w:val="auto"/>
              </w:rPr>
            </w:pPr>
            <w:r>
              <w:rPr>
                <w:rFonts w:ascii="Arial" w:cs="Arial" w:eastAsia="Arial" w:hAnsi="Arial"/>
                <w:sz w:val="16"/>
                <w:szCs w:val="16"/>
                <w:color w:val="auto"/>
              </w:rPr>
              <w:t>Senior notes, 5.00%, due January 2044</w:t>
            </w:r>
            <w:r>
              <w:rPr>
                <w:rFonts w:ascii="Arial" w:cs="Arial" w:eastAsia="Arial" w:hAnsi="Arial"/>
                <w:sz w:val="21"/>
                <w:szCs w:val="21"/>
                <w:color w:val="auto"/>
                <w:vertAlign w:val="superscript"/>
              </w:rPr>
              <w:t>1</w:t>
            </w:r>
          </w:p>
        </w:tc>
        <w:tc>
          <w:tcPr>
            <w:tcW w:w="3800" w:type="dxa"/>
            <w:vAlign w:val="bottom"/>
          </w:tcPr>
          <w:p>
            <w:pPr>
              <w:jc w:val="right"/>
              <w:ind w:right="199"/>
              <w:spacing w:after="0"/>
              <w:rPr>
                <w:sz w:val="20"/>
                <w:szCs w:val="20"/>
                <w:color w:val="auto"/>
              </w:rPr>
            </w:pPr>
            <w:r>
              <w:rPr>
                <w:rFonts w:ascii="Arial" w:cs="Arial" w:eastAsia="Arial" w:hAnsi="Arial"/>
                <w:sz w:val="16"/>
                <w:szCs w:val="16"/>
                <w:b w:val="1"/>
                <w:bCs w:val="1"/>
                <w:color w:val="auto"/>
              </w:rPr>
              <w:t>905</w:t>
            </w:r>
          </w:p>
        </w:tc>
        <w:tc>
          <w:tcPr>
            <w:tcW w:w="156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21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Deferred bond issuance costs</w:t>
            </w:r>
          </w:p>
        </w:tc>
        <w:tc>
          <w:tcPr>
            <w:tcW w:w="38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3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$2,856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w:t>
            </w:r>
          </w:p>
        </w:tc>
      </w:tr>
    </w:tbl>
    <w:p>
      <w:pPr>
        <w:spacing w:after="0" w:line="30" w:lineRule="exact"/>
        <w:rPr>
          <w:sz w:val="20"/>
          <w:szCs w:val="20"/>
          <w:color w:val="auto"/>
        </w:rPr>
      </w:pPr>
    </w:p>
    <w:p>
      <w:pPr>
        <w:ind w:left="100" w:hanging="92"/>
        <w:spacing w:after="0"/>
        <w:tabs>
          <w:tab w:leader="none" w:pos="10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The unamortized discount on these notes was $61 and $63 as of January 28, 2023 and January 29, 2022.</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Required principal payments on long-term debt are as follows: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Fiscal year</w:t>
      </w:r>
      <w:r>
        <w:rPr>
          <w:rFonts w:ascii="Arial" w:cs="Arial" w:eastAsia="Arial" w:hAnsi="Arial"/>
          <w:sz w:val="21"/>
          <w:szCs w:val="21"/>
          <w:color w:val="auto"/>
          <w:vertAlign w:val="superscript"/>
        </w:rPr>
        <w:t>1</w:t>
      </w:r>
    </w:p>
    <w:tbl>
      <w:tblPr>
        <w:tblLayout w:type="fixed"/>
        <w:tblInd w:w="0" w:type="dxa"/>
        <w:tblCellMar>
          <w:top w:w="0" w:type="dxa"/>
          <w:left w:w="0" w:type="dxa"/>
          <w:bottom w:w="0" w:type="dxa"/>
          <w:right w:w="0" w:type="dxa"/>
        </w:tblCellMar>
      </w:tblP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2024</w:t>
            </w:r>
          </w:p>
        </w:tc>
        <w:tc>
          <w:tcPr>
            <w:tcW w:w="5460" w:type="dxa"/>
            <w:vAlign w:val="bottom"/>
          </w:tcPr>
          <w:p>
            <w:pPr>
              <w:jc w:val="right"/>
              <w:spacing w:after="0"/>
              <w:rPr>
                <w:sz w:val="20"/>
                <w:szCs w:val="20"/>
                <w:color w:val="auto"/>
              </w:rPr>
            </w:pPr>
            <w:r>
              <w:rPr>
                <w:rFonts w:ascii="Arial" w:cs="Arial" w:eastAsia="Arial" w:hAnsi="Arial"/>
                <w:sz w:val="16"/>
                <w:szCs w:val="16"/>
                <w:b w:val="1"/>
                <w:bCs w:val="1"/>
                <w:color w:val="auto"/>
              </w:rPr>
              <w:t>250</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5760" w:type="dxa"/>
            <w:vAlign w:val="bottom"/>
          </w:tcPr>
          <w:p>
            <w:pPr>
              <w:ind w:left="20"/>
              <w:spacing w:after="0"/>
              <w:rPr>
                <w:sz w:val="20"/>
                <w:szCs w:val="20"/>
                <w:color w:val="auto"/>
              </w:rPr>
            </w:pPr>
            <w:r>
              <w:rPr>
                <w:rFonts w:ascii="Arial" w:cs="Arial" w:eastAsia="Arial" w:hAnsi="Arial"/>
                <w:sz w:val="16"/>
                <w:szCs w:val="16"/>
                <w:color w:val="auto"/>
              </w:rPr>
              <w:t>2026</w:t>
            </w:r>
          </w:p>
        </w:tc>
        <w:tc>
          <w:tcPr>
            <w:tcW w:w="54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r>
      <w:tr>
        <w:trPr>
          <w:trHeight w:val="21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5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2,339</w:t>
            </w:r>
          </w:p>
        </w:tc>
      </w:tr>
    </w:tbl>
    <w:p>
      <w:pPr>
        <w:spacing w:after="0" w:line="57" w:lineRule="exact"/>
        <w:rPr>
          <w:sz w:val="20"/>
          <w:szCs w:val="20"/>
          <w:color w:val="auto"/>
        </w:rPr>
      </w:pPr>
    </w:p>
    <w:p>
      <w:pPr>
        <w:ind w:left="100" w:hanging="92"/>
        <w:spacing w:after="0"/>
        <w:tabs>
          <w:tab w:leader="none" w:pos="10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Required principal payments exclude estimated future interest payments of $1,659 as of January 28, 2023, with $141 payable within one year.</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first quarter of 2021, we issued $ 250 aggregate principal amount of 2.30% senior notes due April 2024 and $ 425 aggregate principal amount of 4.25% senior notes due August 2031. With the net proceeds of these new notes, together with cash on hand, we retired our $600 Secured Notes. We recorded $88 related to the redemption in interest expense, net, which primarily consisted of a one-time payment of $78 for a “make-whole” premium, and the write-off of unamortized balances associated with the debt discount and issuance costs. The “make-whole” premium payment was not included in cash paid during the period for interest, net of capitalized interest in the Supplemental Cash Flow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we retired our 4.00% senior notes that were due October 2021 using cash on hand.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net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8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on long-term debt and short-term borrowings</w:t>
            </w:r>
          </w:p>
        </w:tc>
        <w:tc>
          <w:tcPr>
            <w:tcW w:w="28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$150</w:t>
            </w:r>
          </w:p>
        </w:tc>
        <w:tc>
          <w:tcPr>
            <w:tcW w:w="17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$258</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Less:</w:t>
            </w:r>
          </w:p>
        </w:tc>
        <w:tc>
          <w:tcPr>
            <w:tcW w:w="2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8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(10)</w:t>
            </w:r>
          </w:p>
        </w:tc>
        <w:tc>
          <w:tcPr>
            <w:tcW w:w="17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5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Capitalized interest</w:t>
            </w:r>
          </w:p>
        </w:tc>
        <w:tc>
          <w:tcPr>
            <w:tcW w:w="2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(12)</w:t>
            </w:r>
          </w:p>
        </w:tc>
        <w:tc>
          <w:tcPr>
            <w:tcW w:w="1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8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$128</w:t>
            </w:r>
          </w:p>
        </w:tc>
        <w:tc>
          <w:tcPr>
            <w:tcW w:w="17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$246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the second quarter of 2022, we terminated and replaced our prior revolving credit facility set to expire in September 2023 with a new $800 Revolver that expires in May 2027. Consistent with our prior revolving credit agreement, any outstanding borrowings under the Revolver are secured by substantially all our personal and intellectual property assets and are guaranteed by certain of our subsidiaries. Under the Revolver, our obligation to secure any outstanding borrowings will be eliminated if no default exists and we either have an unsecured investment-grade debt rating from two of three specified ratings agencies, or we have one investment-grade rating and achieve two consecutive fiscal quarters with a Leverage Ratio of less than 2.5 times.</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Under the Revolver, we have two financial covenant tests that need to be met on a quarterly basis: a Leverage Ratio that is less than or equal to 4 times and a fixed charge coverage ratio that is greater than or equal to 1.25 times. As of January 28, 2023, we were in compliance with all covenants.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Revolver provides us with additional flexibility, compared with our prior revolving credit facility, for dividends and share repurchases, provided we are not in default, and no default would arise as a result of such payments. If the pro-forma Leverage Ratio after such payments is less than 3 times, then such payments are unlimited. If the pro-forma Leverage Ratio is greater than or equal to 3 times but less than 3.5 times then we are limited to $100 per fiscal quarter and if the pro-forma Leverage Ratio is greater than or equal to 3.5 times then the limit is $60 per fiscal quarter.</w:t>
      </w:r>
    </w:p>
    <w:p>
      <w:pPr>
        <w:spacing w:after="0" w:line="1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Revolver contains customary representations, warranties, covenants and terms, including paying a variable rate of interest and a facility fee based on our debt rating, and is available for working capital, capital expenditures and general corporate purposes. Provided that we obtain written consent from the lenders, we have the option to increase the Revolver by up to $200, to a total of $1,000, and two options to extend the Revolver for additional one-year terms. In 2022, we borrowed $100 under our Revolver during the third quarter, which was fully repaid in the fourth quarter. Any outstanding borrowings are classified in total current liabilities on the Consolidated Balance Sheets. As of January 28, 2023 and January 29, 2022, we had no borrowings outstanding under our Revolver.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On March 1, 2023, we amended our Revolver agreement in contemplation of a wind-down of business operations in Canada (see Note 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for more information).</w:t>
      </w:r>
    </w:p>
    <w:p>
      <w:pPr>
        <w:spacing w:after="0" w:line="15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of reducing available liquidity under the Revolver by an amount equal to the principal amount of commercial paper outstanding. Conversely, borrowings under our Revolver have the effect of reducing the available capacity of our commercial paper program by an amount equal to the amount outstanding. As of January 28, 2023 and January 29, 2022, we had no issuances outstanding under our commercial paper program.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We disclose our financial assets and liabilities that are measured at fair value in our Consolidated Balance Sheets by level within the fair value hierarchy as defined by applicable accounting standards: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Carrying Value</w:t>
      </w:r>
    </w:p>
    <w:p>
      <w:pPr>
        <w:spacing w:after="0" w:line="27"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Financial instruments measured at carrying value on a recurring basis include cash and cash equivalents, accounts receivable, accounts payable and our Revolver, which approximate fair value due to their short-term nature.</w:t>
      </w:r>
    </w:p>
    <w:p>
      <w:pPr>
        <w:spacing w:after="0" w:line="117"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Long-term debt is recorded at carrying value. If long-term debt were measured at fair value, we would use quoted market prices of the same or similar issues, which is considered a Level 2 fair value measurement. The following table summarizes the carrying value and fair value estimate of our long-term debt, including current maturities: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Carrying value of long-term debt</w:t>
            </w:r>
          </w:p>
        </w:tc>
        <w:tc>
          <w:tcPr>
            <w:tcW w:w="44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$2,856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w:t>
            </w:r>
          </w:p>
        </w:tc>
      </w:tr>
      <w:tr>
        <w:trPr>
          <w:trHeight w:val="21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 of long-term debt</w:t>
            </w:r>
          </w:p>
        </w:tc>
        <w:tc>
          <w:tcPr>
            <w:tcW w:w="4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2,278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long-lived tangible and ROU assets, in connection with periodic evaluations for potential impairment. We estimate the fair value of these assets using primarily unobservable inputs and, as such, these are considered Level 3 fair value measurements. For more information regarding long-lived tangible and ROU asset impairment charges, see Note 1: Nature of Operations and Summary of Significant Accounting Policies.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Measured at NAV</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certain investments that are measured at fair value using the NAV per share, or its equivalent, as a practical expedient. This class of investments consists of partnership interests that mainly invest in venture capital strategies with a focus on privately held consumer and technology companies. The NAV is based on the fair value of the underlying net assets owned by the fund and the relative interest of each participating investor in the fair value of the underlying assets. Our interest in these partnerships is generally not redeemable and is subject to significant restrictions regarding transfers. Distributions from each fund will be received as the underlying assets of the funds are liquidated. Liquidation is triggered by clauses within the partnership agreements or at the funds’ stated end date. The contractual terms of the partnership interests range from six to ten years. For more information regarding investments measured at NAV, see Note 1: Nature of Operations and Summary of Significant Accounting Policies.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SELF-INSURANCE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self-insurance reserves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Workers’ compensation</w:t>
            </w:r>
          </w:p>
        </w:tc>
        <w:tc>
          <w:tcPr>
            <w:tcW w:w="44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Employee health and welfare</w:t>
            </w:r>
          </w:p>
        </w:tc>
        <w:tc>
          <w:tcPr>
            <w:tcW w:w="4480" w:type="dxa"/>
            <w:vAlign w:val="bottom"/>
          </w:tcPr>
          <w:p>
            <w:pPr>
              <w:jc w:val="right"/>
              <w:ind w:right="199"/>
              <w:spacing w:after="0"/>
              <w:rPr>
                <w:sz w:val="20"/>
                <w:szCs w:val="20"/>
                <w:color w:val="auto"/>
              </w:rPr>
            </w:pPr>
            <w:r>
              <w:rPr>
                <w:rFonts w:ascii="Arial" w:cs="Arial" w:eastAsia="Arial" w:hAnsi="Arial"/>
                <w:sz w:val="16"/>
                <w:szCs w:val="16"/>
                <w:b w:val="1"/>
                <w:bCs w:val="1"/>
                <w:color w:val="auto"/>
              </w:rPr>
              <w:t>26</w:t>
            </w:r>
          </w:p>
        </w:tc>
        <w:tc>
          <w:tcPr>
            <w:tcW w:w="15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liability</w:t>
            </w:r>
          </w:p>
        </w:tc>
        <w:tc>
          <w:tcPr>
            <w:tcW w:w="4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self-insurance reserves</w:t>
            </w:r>
          </w:p>
        </w:tc>
        <w:tc>
          <w:tcPr>
            <w:tcW w:w="4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$116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are self-insured for the majority of our workers’ compensation programs, employee health and welfare coverage and other liability.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workers’ compensation policies have a retention per claim of $1 or less and no policy limits. Approximately 30% of our workers’ compensation obligations are payable within one year. In connection with our workers’ compensation programs, we have standby letters of credit issued on our behalf with $13 available and $2 outstanding as of January 28, 2023. These letters of credit are not reflected in our Consolidated Balance Sheets.</w:t>
      </w:r>
    </w:p>
    <w:p>
      <w:pPr>
        <w:spacing w:after="0" w:line="12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employee health and welfare programs do not use stop-loss coverage and participants contribute to the cost of their coverage through premiums and out-of-pocket expenses for deductibles, co-pays and co-insurance.</w:t>
      </w:r>
    </w:p>
    <w:p>
      <w:pPr>
        <w:spacing w:after="0" w:line="99"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Other liability primarily includes commercial general liability obligations. Our commercial general liability policy, with a limit up to $101, has a retention per claim of $1 or less. Approximately 60% of our other liability reserve obligations are payable within one year. Beginning in 2021, we no longer carry an employment practices liability policy.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SUPPLEMENTAL EXECUTIVE RETIREMENT PLAN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have a SERP, which provides retirement benefits to certain officers and select employees. The SERP has different benefit levels depending on the participant’s role. At the end of 2022, we had 57 participants in the plan, including seven officers and select employees eligible for SERP benefits, 47 retirees and three beneficiaries. This plan is non-qualified and does not have a minimum funding requirement. We selected the measurement date of January 31, the calendar month end closest to our fiscal year end, to value our SERP.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Obligations and Funded Status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benefit obligation and funded status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0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benefit obligation:</w:t>
            </w:r>
          </w:p>
        </w:tc>
        <w:tc>
          <w:tcPr>
            <w:tcW w:w="3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Benefit obligation at beginning of year</w:t>
            </w:r>
          </w:p>
        </w:tc>
        <w:tc>
          <w:tcPr>
            <w:tcW w:w="3880" w:type="dxa"/>
            <w:vAlign w:val="bottom"/>
          </w:tcPr>
          <w:p>
            <w:pPr>
              <w:jc w:val="right"/>
              <w:ind w:right="199"/>
              <w:spacing w:after="0"/>
              <w:rPr>
                <w:sz w:val="20"/>
                <w:szCs w:val="20"/>
                <w:color w:val="auto"/>
              </w:rPr>
            </w:pPr>
            <w:r>
              <w:rPr>
                <w:rFonts w:ascii="Arial" w:cs="Arial" w:eastAsia="Arial" w:hAnsi="Arial"/>
                <w:sz w:val="16"/>
                <w:szCs w:val="16"/>
                <w:b w:val="1"/>
                <w:bCs w:val="1"/>
                <w:color w:val="auto"/>
              </w:rPr>
              <w:t>$212</w:t>
            </w:r>
          </w:p>
        </w:tc>
        <w:tc>
          <w:tcPr>
            <w:tcW w:w="15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6"/>
        </w:trPr>
        <w:tc>
          <w:tcPr>
            <w:tcW w:w="5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Participant service cost</w:t>
            </w:r>
          </w:p>
        </w:tc>
        <w:tc>
          <w:tcPr>
            <w:tcW w:w="38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800" w:type="dxa"/>
            <w:vAlign w:val="bottom"/>
          </w:tcPr>
          <w:p>
            <w:pPr>
              <w:ind w:left="480"/>
              <w:spacing w:after="0"/>
              <w:rPr>
                <w:sz w:val="20"/>
                <w:szCs w:val="20"/>
                <w:color w:val="auto"/>
              </w:rPr>
            </w:pPr>
            <w:r>
              <w:rPr>
                <w:rFonts w:ascii="Arial" w:cs="Arial" w:eastAsia="Arial" w:hAnsi="Arial"/>
                <w:sz w:val="16"/>
                <w:szCs w:val="16"/>
                <w:color w:val="auto"/>
              </w:rPr>
              <w:t>Interest cost</w:t>
            </w:r>
          </w:p>
        </w:tc>
        <w:tc>
          <w:tcPr>
            <w:tcW w:w="3880" w:type="dxa"/>
            <w:vAlign w:val="bottom"/>
          </w:tcPr>
          <w:p>
            <w:pPr>
              <w:jc w:val="right"/>
              <w:ind w:right="199"/>
              <w:spacing w:after="0"/>
              <w:rPr>
                <w:sz w:val="20"/>
                <w:szCs w:val="20"/>
                <w:color w:val="auto"/>
              </w:rPr>
            </w:pPr>
            <w:r>
              <w:rPr>
                <w:rFonts w:ascii="Arial" w:cs="Arial" w:eastAsia="Arial" w:hAnsi="Arial"/>
                <w:sz w:val="16"/>
                <w:szCs w:val="16"/>
                <w:b w:val="1"/>
                <w:bCs w:val="1"/>
                <w:color w:val="auto"/>
              </w:rPr>
              <w:t>6</w:t>
            </w: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3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8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Actuarial (gain) loss</w:t>
            </w:r>
          </w:p>
        </w:tc>
        <w:tc>
          <w:tcPr>
            <w:tcW w:w="3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(34)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Benefit obligation at end of year</w:t>
            </w:r>
          </w:p>
        </w:tc>
        <w:tc>
          <w:tcPr>
            <w:tcW w:w="38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5"/>
        </w:trPr>
        <w:tc>
          <w:tcPr>
            <w:tcW w:w="580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Fair value of plan assets at beginning of year</w:t>
            </w:r>
          </w:p>
        </w:tc>
        <w:tc>
          <w:tcPr>
            <w:tcW w:w="38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00" w:type="dxa"/>
            <w:vAlign w:val="bottom"/>
          </w:tcPr>
          <w:p>
            <w:pPr>
              <w:ind w:left="480"/>
              <w:spacing w:after="0"/>
              <w:rPr>
                <w:sz w:val="20"/>
                <w:szCs w:val="20"/>
                <w:color w:val="auto"/>
              </w:rPr>
            </w:pPr>
            <w:r>
              <w:rPr>
                <w:rFonts w:ascii="Arial" w:cs="Arial" w:eastAsia="Arial" w:hAnsi="Arial"/>
                <w:sz w:val="16"/>
                <w:szCs w:val="16"/>
                <w:color w:val="auto"/>
              </w:rPr>
              <w:t>Employer contribution</w:t>
            </w:r>
          </w:p>
        </w:tc>
        <w:tc>
          <w:tcPr>
            <w:tcW w:w="3880" w:type="dxa"/>
            <w:vAlign w:val="bottom"/>
          </w:tcPr>
          <w:p>
            <w:pPr>
              <w:jc w:val="right"/>
              <w:ind w:right="199"/>
              <w:spacing w:after="0"/>
              <w:rPr>
                <w:sz w:val="20"/>
                <w:szCs w:val="20"/>
                <w:color w:val="auto"/>
              </w:rPr>
            </w:pPr>
            <w:r>
              <w:rPr>
                <w:rFonts w:ascii="Arial" w:cs="Arial" w:eastAsia="Arial" w:hAnsi="Arial"/>
                <w:sz w:val="16"/>
                <w:szCs w:val="16"/>
                <w:b w:val="1"/>
                <w:bCs w:val="1"/>
                <w:color w:val="auto"/>
              </w:rPr>
              <w:t>10</w:t>
            </w: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8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Benefits paid</w:t>
            </w:r>
          </w:p>
        </w:tc>
        <w:tc>
          <w:tcPr>
            <w:tcW w:w="3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5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Fair value of plan assets at end of year</w:t>
            </w:r>
          </w:p>
        </w:tc>
        <w:tc>
          <w:tcPr>
            <w:tcW w:w="3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Underfunded status at end of year</w:t>
            </w:r>
          </w:p>
        </w:tc>
        <w:tc>
          <w:tcPr>
            <w:tcW w:w="3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($176)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bl>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accumulated benefit obligation, which is the present value of benefits, assuming no future compensation changes, was $175 and $211 at the end of 2022 and 2021. Amounts recognized as liabilities in the Consolidated Balance Sheets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wages and related benefits</w:t>
            </w:r>
          </w:p>
        </w:tc>
        <w:tc>
          <w:tcPr>
            <w:tcW w:w="39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liabilities (noncurrent)</w:t>
            </w:r>
          </w:p>
        </w:tc>
        <w:tc>
          <w:tcPr>
            <w:tcW w:w="3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165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r>
      <w:tr>
        <w:trPr>
          <w:trHeight w:val="210"/>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amount recognized</w:t>
            </w:r>
          </w:p>
        </w:tc>
        <w:tc>
          <w:tcPr>
            <w:tcW w:w="3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SERP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SERP expense recognized in SG&amp;A expense on the Consolidated Statements of Earnings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Participant service cost</w:t>
            </w:r>
          </w:p>
        </w:tc>
        <w:tc>
          <w:tcPr>
            <w:tcW w:w="352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$2</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520" w:type="dxa"/>
            <w:vAlign w:val="bottom"/>
          </w:tcPr>
          <w:p>
            <w:pPr>
              <w:jc w:val="right"/>
              <w:ind w:right="679"/>
              <w:spacing w:after="0"/>
              <w:rPr>
                <w:sz w:val="20"/>
                <w:szCs w:val="20"/>
                <w:color w:val="auto"/>
              </w:rPr>
            </w:pPr>
            <w:r>
              <w:rPr>
                <w:rFonts w:ascii="Arial" w:cs="Arial" w:eastAsia="Arial" w:hAnsi="Arial"/>
                <w:sz w:val="16"/>
                <w:szCs w:val="16"/>
                <w:b w:val="1"/>
                <w:bCs w:val="1"/>
                <w:color w:val="auto"/>
              </w:rPr>
              <w:t>6</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5</w:t>
            </w: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loss and other</w:t>
            </w:r>
          </w:p>
        </w:tc>
        <w:tc>
          <w:tcPr>
            <w:tcW w:w="35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SERP expense</w:t>
            </w:r>
          </w:p>
        </w:tc>
        <w:tc>
          <w:tcPr>
            <w:tcW w:w="3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$12</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896"/>
        </w:trPr>
        <w:tc>
          <w:tcPr>
            <w:tcW w:w="4880" w:type="dxa"/>
            <w:vAlign w:val="bottom"/>
          </w:tcPr>
          <w:p>
            <w:pPr>
              <w:spacing w:after="0"/>
              <w:rPr>
                <w:sz w:val="20"/>
                <w:szCs w:val="20"/>
                <w:color w:val="auto"/>
              </w:rPr>
            </w:pPr>
            <w:r>
              <w:rPr>
                <w:rFonts w:ascii="Arial" w:cs="Arial" w:eastAsia="Arial" w:hAnsi="Arial"/>
                <w:sz w:val="16"/>
                <w:szCs w:val="16"/>
                <w:color w:val="auto"/>
              </w:rPr>
              <w:t>58</w:t>
            </w:r>
          </w:p>
        </w:tc>
        <w:tc>
          <w:tcPr>
            <w:tcW w:w="3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7"/>
        </w:trPr>
        <w:tc>
          <w:tcPr>
            <w:tcW w:w="488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loss (pre-tax) consist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7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Actuarial (gain) loss</w:t>
            </w:r>
          </w:p>
        </w:tc>
        <w:tc>
          <w:tcPr>
            <w:tcW w:w="22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($34)</w:t>
            </w:r>
          </w:p>
        </w:tc>
        <w:tc>
          <w:tcPr>
            <w:tcW w:w="17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loss and other</w:t>
            </w:r>
          </w:p>
        </w:tc>
        <w:tc>
          <w:tcPr>
            <w:tcW w:w="22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(4)</w:t>
            </w: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Amounts recognized in accumulated other comprehensive loss</w:t>
            </w:r>
          </w:p>
        </w:tc>
        <w:tc>
          <w:tcPr>
            <w:tcW w:w="22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($38)</w:t>
            </w:r>
          </w:p>
        </w:tc>
        <w:tc>
          <w:tcPr>
            <w:tcW w:w="17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our benefit obligation and SERP expense are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 used to determine benefit obligation:</w:t>
            </w: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6"/>
                <w:szCs w:val="16"/>
                <w:color w:val="auto"/>
              </w:rPr>
              <w:t>Discount rate</w:t>
            </w:r>
          </w:p>
        </w:tc>
        <w:tc>
          <w:tcPr>
            <w:tcW w:w="2880" w:type="dxa"/>
            <w:vAlign w:val="bottom"/>
          </w:tcPr>
          <w:p>
            <w:pPr>
              <w:jc w:val="right"/>
              <w:ind w:right="579"/>
              <w:spacing w:after="0"/>
              <w:rPr>
                <w:sz w:val="20"/>
                <w:szCs w:val="20"/>
                <w:color w:val="auto"/>
              </w:rPr>
            </w:pPr>
            <w:r>
              <w:rPr>
                <w:rFonts w:ascii="Arial" w:cs="Arial" w:eastAsia="Arial" w:hAnsi="Arial"/>
                <w:sz w:val="16"/>
                <w:szCs w:val="16"/>
                <w:b w:val="1"/>
                <w:bCs w:val="1"/>
                <w:color w:val="auto"/>
              </w:rPr>
              <w:t>4.95 %</w:t>
            </w:r>
          </w:p>
        </w:tc>
        <w:tc>
          <w:tcPr>
            <w:tcW w:w="1840" w:type="dxa"/>
            <w:vAlign w:val="bottom"/>
          </w:tcPr>
          <w:p>
            <w:pPr>
              <w:jc w:val="right"/>
              <w:ind w:right="579"/>
              <w:spacing w:after="0"/>
              <w:rPr>
                <w:sz w:val="20"/>
                <w:szCs w:val="20"/>
                <w:color w:val="auto"/>
              </w:rPr>
            </w:pPr>
            <w:r>
              <w:rPr>
                <w:rFonts w:ascii="Arial" w:cs="Arial" w:eastAsia="Arial" w:hAnsi="Arial"/>
                <w:sz w:val="16"/>
                <w:szCs w:val="16"/>
                <w:color w:val="auto"/>
              </w:rPr>
              <w:t>3.19 %</w:t>
            </w:r>
          </w:p>
        </w:tc>
        <w:tc>
          <w:tcPr>
            <w:tcW w:w="1200" w:type="dxa"/>
            <w:vAlign w:val="bottom"/>
          </w:tcPr>
          <w:p>
            <w:pPr>
              <w:jc w:val="right"/>
              <w:spacing w:after="0"/>
              <w:rPr>
                <w:sz w:val="20"/>
                <w:szCs w:val="20"/>
                <w:color w:val="auto"/>
              </w:rPr>
            </w:pPr>
            <w:r>
              <w:rPr>
                <w:rFonts w:ascii="Arial" w:cs="Arial" w:eastAsia="Arial" w:hAnsi="Arial"/>
                <w:sz w:val="16"/>
                <w:szCs w:val="16"/>
                <w:color w:val="auto"/>
              </w:rPr>
              <w:t>2.62 %</w:t>
            </w:r>
          </w:p>
        </w:tc>
      </w:tr>
      <w:tr>
        <w:trPr>
          <w:trHeight w:val="216"/>
        </w:trPr>
        <w:tc>
          <w:tcPr>
            <w:tcW w:w="53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Rate of compensation increase</w:t>
            </w:r>
          </w:p>
        </w:tc>
        <w:tc>
          <w:tcPr>
            <w:tcW w:w="28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2.50 %</w:t>
            </w:r>
          </w:p>
        </w:tc>
        <w:tc>
          <w:tcPr>
            <w:tcW w:w="184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2.50 %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09"/>
        </w:trPr>
        <w:tc>
          <w:tcPr>
            <w:tcW w:w="5320" w:type="dxa"/>
            <w:vAlign w:val="bottom"/>
          </w:tcPr>
          <w:p>
            <w:pPr>
              <w:ind w:left="20"/>
              <w:spacing w:after="0"/>
              <w:rPr>
                <w:sz w:val="20"/>
                <w:szCs w:val="20"/>
                <w:color w:val="auto"/>
              </w:rPr>
            </w:pPr>
            <w:r>
              <w:rPr>
                <w:rFonts w:ascii="Arial" w:cs="Arial" w:eastAsia="Arial" w:hAnsi="Arial"/>
                <w:sz w:val="16"/>
                <w:szCs w:val="16"/>
                <w:color w:val="auto"/>
              </w:rPr>
              <w:t>Assumptions used to determine SERP expense:</w:t>
            </w:r>
          </w:p>
        </w:tc>
        <w:tc>
          <w:tcPr>
            <w:tcW w:w="2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Discount rate</w:t>
            </w:r>
          </w:p>
        </w:tc>
        <w:tc>
          <w:tcPr>
            <w:tcW w:w="28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3.19 %</w:t>
            </w:r>
          </w:p>
        </w:tc>
        <w:tc>
          <w:tcPr>
            <w:tcW w:w="18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2.62 %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2.97 %</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Rate of compensation increase</w:t>
            </w:r>
          </w:p>
        </w:tc>
        <w:tc>
          <w:tcPr>
            <w:tcW w:w="28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2.50 %</w:t>
            </w:r>
          </w:p>
        </w:tc>
        <w:tc>
          <w:tcPr>
            <w:tcW w:w="18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2.50 %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 and Contributions</w:t>
      </w:r>
    </w:p>
    <w:p>
      <w:pPr>
        <w:spacing w:after="0" w:line="27" w:lineRule="exact"/>
        <w:rPr>
          <w:sz w:val="20"/>
          <w:szCs w:val="20"/>
          <w:color w:val="auto"/>
        </w:rPr>
      </w:pPr>
    </w:p>
    <w:p>
      <w:pPr>
        <w:ind w:right="800"/>
        <w:spacing w:after="0" w:line="266" w:lineRule="auto"/>
        <w:rPr>
          <w:sz w:val="20"/>
          <w:szCs w:val="20"/>
          <w:color w:val="auto"/>
        </w:rPr>
      </w:pPr>
      <w:r>
        <w:rPr>
          <w:rFonts w:ascii="Arial" w:cs="Arial" w:eastAsia="Arial" w:hAnsi="Arial"/>
          <w:sz w:val="18"/>
          <w:szCs w:val="18"/>
          <w:color w:val="auto"/>
        </w:rPr>
        <w:t>As of January 28, 2023, the expected future benefit payments based upon the assumptions described above and including benefits attributable to estimated future employee service are as follows:</w:t>
      </w:r>
    </w:p>
    <w:p>
      <w:pPr>
        <w:ind w:left="20"/>
        <w:spacing w:after="0"/>
        <w:rPr>
          <w:sz w:val="20"/>
          <w:szCs w:val="20"/>
          <w:color w:val="auto"/>
        </w:rPr>
      </w:pPr>
      <w:r>
        <w:rPr>
          <w:rFonts w:ascii="Arial" w:cs="Arial" w:eastAsia="Arial" w:hAnsi="Arial"/>
          <w:sz w:val="16"/>
          <w:szCs w:val="16"/>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2024</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2026</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5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r>
      <w:tr>
        <w:trPr>
          <w:trHeight w:val="216"/>
        </w:trPr>
        <w:tc>
          <w:tcPr>
            <w:tcW w:w="5900" w:type="dxa"/>
            <w:vAlign w:val="bottom"/>
          </w:tcPr>
          <w:p>
            <w:pPr>
              <w:ind w:left="20"/>
              <w:spacing w:after="0"/>
              <w:rPr>
                <w:sz w:val="20"/>
                <w:szCs w:val="20"/>
                <w:color w:val="auto"/>
              </w:rPr>
            </w:pPr>
            <w:r>
              <w:rPr>
                <w:rFonts w:ascii="Arial" w:cs="Arial" w:eastAsia="Arial" w:hAnsi="Arial"/>
                <w:sz w:val="16"/>
                <w:szCs w:val="16"/>
                <w:color w:val="auto"/>
              </w:rPr>
              <w:t>2028 – 2032</w:t>
            </w:r>
          </w:p>
        </w:tc>
        <w:tc>
          <w:tcPr>
            <w:tcW w:w="5320" w:type="dxa"/>
            <w:vAlign w:val="bottom"/>
          </w:tcPr>
          <w:p>
            <w:pPr>
              <w:jc w:val="right"/>
              <w:spacing w:after="0"/>
              <w:rPr>
                <w:sz w:val="20"/>
                <w:szCs w:val="20"/>
                <w:color w:val="auto"/>
              </w:rPr>
            </w:pPr>
            <w:r>
              <w:rPr>
                <w:rFonts w:ascii="Arial" w:cs="Arial" w:eastAsia="Arial" w:hAnsi="Arial"/>
                <w:sz w:val="16"/>
                <w:szCs w:val="16"/>
                <w:b w:val="1"/>
                <w:bCs w:val="1"/>
                <w:color w:val="auto"/>
              </w:rPr>
              <w:t>62</w:t>
            </w:r>
          </w:p>
        </w:tc>
      </w:tr>
      <w:tr>
        <w:trPr>
          <w:trHeight w:val="216"/>
        </w:trPr>
        <w:tc>
          <w:tcPr>
            <w:tcW w:w="5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5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7"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Under our deferred and stock-based compensation plan arrangements, we issued 3.4, 1.6 and 2.2 shares of common stock in 2022, 2021 and 2020. Under the 2019 Plan, the aggregate number of shares to be issued may not exceed 24.5 plus any shares currently outstanding under the 2010 Plan that are forfeited or expire during the term of the 2019 Plan. As of January 28, 2023, we had 24.5 shares authorized, 13.6 shares issued and outstanding and 13.9 shares remaining available for future grants under the 2019 Plan.</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ESPP, employees may make payroll deductions of up to 15% of their base compensation for the purchase of Nordstrom common stock. At the end of each six-month offering period, participants apply their accumulated payroll deductions toward the purchase of shares of our common stock at 90% of the fair market value on the last day of the offer period. As of January 28, 2023, we had 16.1 shares authorized and 2.4 shares available for issuance under the ESPP. We issued 0.9, 0.5 and 1.0 shares under the ESPP during 2022, 2021 and 2020. At the end of 2022 and 2021, we had current liabilities of $6 for future purchases of shares under the ESPP.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1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212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$41</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$52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628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2120" w:type="dxa"/>
            <w:vAlign w:val="bottom"/>
          </w:tcPr>
          <w:p>
            <w:pPr>
              <w:jc w:val="right"/>
              <w:ind w:right="679"/>
              <w:spacing w:after="0"/>
              <w:rPr>
                <w:sz w:val="20"/>
                <w:szCs w:val="20"/>
                <w:color w:val="auto"/>
              </w:rPr>
            </w:pPr>
            <w:r>
              <w:rPr>
                <w:rFonts w:ascii="Arial" w:cs="Arial" w:eastAsia="Arial" w:hAnsi="Arial"/>
                <w:sz w:val="16"/>
                <w:szCs w:val="16"/>
                <w:b w:val="1"/>
                <w:bCs w:val="1"/>
                <w:color w:val="auto"/>
              </w:rPr>
              <w:t>11</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22</w:t>
            </w: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6280" w:type="dxa"/>
            <w:vAlign w:val="bottom"/>
            <w:tcBorders>
              <w:bottom w:val="single" w:sz="8" w:color="auto"/>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12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7</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Total stock-based compensation expense, before income tax benefit</w:t>
            </w:r>
          </w:p>
        </w:tc>
        <w:tc>
          <w:tcPr>
            <w:tcW w:w="2120" w:type="dxa"/>
            <w:vAlign w:val="bottom"/>
          </w:tcPr>
          <w:p>
            <w:pPr>
              <w:jc w:val="right"/>
              <w:ind w:right="679"/>
              <w:spacing w:after="0"/>
              <w:rPr>
                <w:sz w:val="20"/>
                <w:szCs w:val="20"/>
                <w:color w:val="auto"/>
              </w:rPr>
            </w:pPr>
            <w:r>
              <w:rPr>
                <w:rFonts w:ascii="Arial" w:cs="Arial" w:eastAsia="Arial" w:hAnsi="Arial"/>
                <w:sz w:val="16"/>
                <w:szCs w:val="16"/>
                <w:b w:val="1"/>
                <w:bCs w:val="1"/>
                <w:color w:val="auto"/>
              </w:rPr>
              <w:t>59</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79</w:t>
            </w: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1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(15)</w:t>
            </w: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stock-based compensation expense, net of income tax benefit</w:t>
            </w:r>
          </w:p>
        </w:tc>
        <w:tc>
          <w:tcPr>
            <w:tcW w:w="2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$44</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bl>
    <w:p>
      <w:pPr>
        <w:spacing w:after="0" w:line="57" w:lineRule="exact"/>
        <w:rPr>
          <w:sz w:val="20"/>
          <w:szCs w:val="20"/>
          <w:color w:val="auto"/>
        </w:rPr>
      </w:pPr>
    </w:p>
    <w:p>
      <w:pPr>
        <w:ind w:left="100" w:hanging="92"/>
        <w:spacing w:after="0"/>
        <w:tabs>
          <w:tab w:leader="none" w:pos="10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Other stock-based compensation expense includes PSUs, ESPP and nonemployee director stock awards.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stock-based compensation expense before income tax benefit was recorded in our Consolidated Statements of Earnings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1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and related buying and occupancy costs</w:t>
            </w:r>
          </w:p>
        </w:tc>
        <w:tc>
          <w:tcPr>
            <w:tcW w:w="210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$9</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$15</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SG&amp;A expenses</w:t>
            </w:r>
          </w:p>
        </w:tc>
        <w:tc>
          <w:tcPr>
            <w:tcW w:w="21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50</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stock-based compensation expense, before income tax benefit</w:t>
            </w:r>
          </w:p>
        </w:tc>
        <w:tc>
          <w:tcPr>
            <w:tcW w:w="210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$59</w:t>
            </w:r>
          </w:p>
        </w:tc>
        <w:tc>
          <w:tcPr>
            <w:tcW w:w="17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rPr>
              <w:t>$79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Compensation, People and Culture Committee of our Board of Directors approves grants of restricted stock units to employees. The number of units granted to an individual are determined based upon award amounts and the fair value of the restricted stock units at the time of grant. Restricted stock units typically vest over four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activity for 2022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5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41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w w:val="99"/>
              </w:rPr>
              <w:t>grant date fair value</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 unit</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year</w:t>
            </w:r>
          </w:p>
        </w:tc>
        <w:tc>
          <w:tcPr>
            <w:tcW w:w="4100" w:type="dxa"/>
            <w:vAlign w:val="bottom"/>
            <w:shd w:val="clear" w:color="auto" w:fill="CCEEFF"/>
          </w:tcPr>
          <w:p>
            <w:pPr>
              <w:jc w:val="center"/>
              <w:ind w:left="3239"/>
              <w:spacing w:after="0"/>
              <w:rPr>
                <w:sz w:val="20"/>
                <w:szCs w:val="20"/>
                <w:color w:val="auto"/>
              </w:rPr>
            </w:pPr>
            <w:r>
              <w:rPr>
                <w:rFonts w:ascii="Arial" w:cs="Arial" w:eastAsia="Arial" w:hAnsi="Arial"/>
                <w:sz w:val="16"/>
                <w:szCs w:val="16"/>
                <w:b w:val="1"/>
                <w:bCs w:val="1"/>
                <w:color w:val="auto"/>
                <w:w w:val="98"/>
              </w:rPr>
              <w:t>4.6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Arial" w:cs="Arial" w:eastAsia="Arial" w:hAnsi="Arial"/>
                <w:sz w:val="16"/>
                <w:szCs w:val="16"/>
                <w:color w:val="auto"/>
              </w:rPr>
              <w:t>Granted</w:t>
            </w:r>
          </w:p>
        </w:tc>
        <w:tc>
          <w:tcPr>
            <w:tcW w:w="4100" w:type="dxa"/>
            <w:vAlign w:val="bottom"/>
          </w:tcPr>
          <w:p>
            <w:pPr>
              <w:jc w:val="center"/>
              <w:ind w:left="3239"/>
              <w:spacing w:after="0"/>
              <w:rPr>
                <w:sz w:val="20"/>
                <w:szCs w:val="20"/>
                <w:color w:val="auto"/>
              </w:rPr>
            </w:pPr>
            <w:r>
              <w:rPr>
                <w:rFonts w:ascii="Arial" w:cs="Arial" w:eastAsia="Arial" w:hAnsi="Arial"/>
                <w:sz w:val="16"/>
                <w:szCs w:val="16"/>
                <w:b w:val="1"/>
                <w:bCs w:val="1"/>
                <w:color w:val="auto"/>
                <w:w w:val="98"/>
              </w:rPr>
              <w:t>3.1</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4100" w:type="dxa"/>
            <w:vAlign w:val="bottom"/>
            <w:shd w:val="clear" w:color="auto" w:fill="CCEEFF"/>
          </w:tcPr>
          <w:p>
            <w:pPr>
              <w:jc w:val="center"/>
              <w:ind w:left="3219"/>
              <w:spacing w:after="0"/>
              <w:rPr>
                <w:sz w:val="20"/>
                <w:szCs w:val="20"/>
                <w:color w:val="auto"/>
              </w:rPr>
            </w:pPr>
            <w:r>
              <w:rPr>
                <w:rFonts w:ascii="Arial" w:cs="Arial" w:eastAsia="Arial" w:hAnsi="Arial"/>
                <w:sz w:val="16"/>
                <w:szCs w:val="16"/>
                <w:b w:val="1"/>
                <w:bCs w:val="1"/>
                <w:color w:val="auto"/>
                <w:w w:val="97"/>
              </w:rPr>
              <w:t>(2.3)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 or cancelled</w:t>
            </w:r>
          </w:p>
        </w:tc>
        <w:tc>
          <w:tcPr>
            <w:tcW w:w="4100" w:type="dxa"/>
            <w:vAlign w:val="bottom"/>
            <w:tcBorders>
              <w:bottom w:val="single" w:sz="8" w:color="auto"/>
            </w:tcBorders>
          </w:tcPr>
          <w:p>
            <w:pPr>
              <w:jc w:val="center"/>
              <w:ind w:left="3219"/>
              <w:spacing w:after="0"/>
              <w:rPr>
                <w:sz w:val="20"/>
                <w:szCs w:val="20"/>
                <w:color w:val="auto"/>
              </w:rPr>
            </w:pPr>
            <w:r>
              <w:rPr>
                <w:rFonts w:ascii="Arial" w:cs="Arial" w:eastAsia="Arial" w:hAnsi="Arial"/>
                <w:sz w:val="16"/>
                <w:szCs w:val="16"/>
                <w:b w:val="1"/>
                <w:bCs w:val="1"/>
                <w:color w:val="auto"/>
                <w:w w:val="97"/>
              </w:rPr>
              <w:t>(0.8)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end of year</w:t>
            </w:r>
          </w:p>
        </w:tc>
        <w:tc>
          <w:tcPr>
            <w:tcW w:w="4100" w:type="dxa"/>
            <w:vAlign w:val="bottom"/>
            <w:tcBorders>
              <w:bottom w:val="single" w:sz="8" w:color="auto"/>
            </w:tcBorders>
            <w:shd w:val="clear" w:color="auto" w:fill="CCEEFF"/>
          </w:tcPr>
          <w:p>
            <w:pPr>
              <w:jc w:val="center"/>
              <w:ind w:left="3239"/>
              <w:spacing w:after="0"/>
              <w:rPr>
                <w:sz w:val="20"/>
                <w:szCs w:val="20"/>
                <w:color w:val="auto"/>
              </w:rPr>
            </w:pPr>
            <w:r>
              <w:rPr>
                <w:rFonts w:ascii="Arial" w:cs="Arial" w:eastAsia="Arial" w:hAnsi="Arial"/>
                <w:sz w:val="16"/>
                <w:szCs w:val="16"/>
                <w:b w:val="1"/>
                <w:bCs w:val="1"/>
                <w:color w:val="auto"/>
                <w:w w:val="98"/>
              </w:rPr>
              <w:t>4.6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aggregate fair value of restricted stock units vested during 2022, 2021 and 2020 was $62, $50 and $44. As of January 28, 2023, the total unrecognized stock-based compensation expense related to nonvested restricted stock units was $66, which is expected to be recognized over a weighted-average period of 29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7"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Our Compensation, People and Culture Committee of our Board of Directors approves grants of non-qualified stock options to employees. The number of awards granted to an individual are determined based upon award amounts and the fair value of stock options at the time of grant. Our options primarily vest equally over a four-year period or at the end of two years, and expire ten years after the date of grant. We used the following assumptions to estimate the fair value for stock options at each grant date:</w:t>
      </w:r>
    </w:p>
    <w:tbl>
      <w:tblPr>
        <w:tblLayout w:type="fixed"/>
        <w:tblInd w:w="0" w:type="dxa"/>
        <w:tblCellMar>
          <w:top w:w="0" w:type="dxa"/>
          <w:left w:w="0" w:type="dxa"/>
          <w:bottom w:w="0" w:type="dxa"/>
          <w:right w:w="0" w:type="dxa"/>
        </w:tblCellMar>
      </w:tblPr>
      <w:tr>
        <w:trPr>
          <w:trHeight w:val="22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740" w:type="dxa"/>
            <w:vAlign w:val="bottom"/>
            <w:tcBorders>
              <w:bottom w:val="single" w:sz="8" w:color="auto"/>
            </w:tcBorders>
          </w:tcPr>
          <w:p>
            <w:pPr>
              <w:jc w:val="right"/>
              <w:ind w:right="199"/>
              <w:spacing w:after="0" w:line="228" w:lineRule="exact"/>
              <w:rPr>
                <w:sz w:val="20"/>
                <w:szCs w:val="20"/>
                <w:color w:val="auto"/>
              </w:rPr>
            </w:pPr>
            <w:r>
              <w:rPr>
                <w:rFonts w:ascii="Arial" w:cs="Arial" w:eastAsia="Arial" w:hAnsi="Arial"/>
                <w:sz w:val="16"/>
                <w:szCs w:val="16"/>
                <w:b w:val="1"/>
                <w:bCs w:val="1"/>
                <w:color w:val="auto"/>
              </w:rPr>
              <w:t>2021</w:t>
            </w:r>
            <w:r>
              <w:rPr>
                <w:rFonts w:ascii="Arial" w:cs="Arial" w:eastAsia="Arial" w:hAnsi="Arial"/>
                <w:sz w:val="21"/>
                <w:szCs w:val="21"/>
                <w:color w:val="auto"/>
                <w:vertAlign w:val="superscript"/>
              </w:rPr>
              <w:t>1</w:t>
            </w:r>
          </w:p>
        </w:tc>
        <w:tc>
          <w:tcPr>
            <w:tcW w:w="142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16"/>
                <w:szCs w:val="16"/>
                <w:b w:val="1"/>
                <w:bCs w:val="1"/>
                <w:color w:val="auto"/>
              </w:rPr>
              <w:t>2020</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Assumptions</w:t>
            </w:r>
          </w:p>
        </w:tc>
        <w:tc>
          <w:tcPr>
            <w:tcW w:w="1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360"/>
              <w:spacing w:after="0" w:line="162" w:lineRule="exact"/>
              <w:rPr>
                <w:sz w:val="20"/>
                <w:szCs w:val="20"/>
                <w:color w:val="auto"/>
              </w:rPr>
            </w:pPr>
            <w:r>
              <w:rPr>
                <w:rFonts w:ascii="Arial" w:cs="Arial" w:eastAsia="Arial" w:hAnsi="Arial"/>
                <w:sz w:val="16"/>
                <w:szCs w:val="16"/>
                <w:b w:val="1"/>
                <w:bCs w:val="1"/>
                <w:color w:val="auto"/>
              </w:rPr>
              <w:t xml:space="preserve">Risk-free interest rate: </w:t>
            </w:r>
            <w:r>
              <w:rPr>
                <w:rFonts w:ascii="Arial" w:cs="Arial" w:eastAsia="Arial" w:hAnsi="Arial"/>
                <w:sz w:val="16"/>
                <w:szCs w:val="16"/>
                <w:color w:val="auto"/>
              </w:rPr>
              <w:t>Represents the yield on U.S. Treasury zero-coupon</w:t>
            </w:r>
          </w:p>
        </w:tc>
        <w:tc>
          <w:tcPr>
            <w:tcW w:w="1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1.18% – 1.95%</w:t>
            </w:r>
          </w:p>
        </w:tc>
        <w:tc>
          <w:tcPr>
            <w:tcW w:w="1740" w:type="dxa"/>
            <w:vAlign w:val="bottom"/>
            <w:vMerge w:val="restart"/>
          </w:tcPr>
          <w:p>
            <w:pPr>
              <w:jc w:val="right"/>
              <w:ind w:right="199"/>
              <w:spacing w:after="0"/>
              <w:rPr>
                <w:sz w:val="20"/>
                <w:szCs w:val="20"/>
                <w:color w:val="auto"/>
              </w:rPr>
            </w:pPr>
            <w:r>
              <w:rPr>
                <w:rFonts w:ascii="Arial" w:cs="Arial" w:eastAsia="Arial" w:hAnsi="Arial"/>
                <w:sz w:val="16"/>
                <w:szCs w:val="16"/>
                <w:color w:val="auto"/>
              </w:rPr>
              <w:t>0.11% – 1.51%</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0.18% – 0.62%</w:t>
            </w:r>
          </w:p>
        </w:tc>
        <w:tc>
          <w:tcPr>
            <w:tcW w:w="0" w:type="dxa"/>
            <w:vAlign w:val="bottom"/>
          </w:tcPr>
          <w:p>
            <w:pPr>
              <w:spacing w:after="0"/>
              <w:rPr>
                <w:sz w:val="1"/>
                <w:szCs w:val="1"/>
                <w:color w:val="auto"/>
              </w:rPr>
            </w:pPr>
          </w:p>
        </w:tc>
      </w:tr>
      <w:tr>
        <w:trPr>
          <w:trHeight w:val="141"/>
        </w:trPr>
        <w:tc>
          <w:tcPr>
            <w:tcW w:w="6220" w:type="dxa"/>
            <w:vAlign w:val="bottom"/>
            <w:vMerge w:val="restart"/>
          </w:tcPr>
          <w:p>
            <w:pPr>
              <w:ind w:left="520"/>
              <w:spacing w:after="0"/>
              <w:rPr>
                <w:sz w:val="20"/>
                <w:szCs w:val="20"/>
                <w:color w:val="auto"/>
              </w:rPr>
            </w:pPr>
            <w:r>
              <w:rPr>
                <w:rFonts w:ascii="Arial" w:cs="Arial" w:eastAsia="Arial" w:hAnsi="Arial"/>
                <w:sz w:val="16"/>
                <w:szCs w:val="16"/>
                <w:color w:val="auto"/>
              </w:rPr>
              <w:t>securities that mature over the 10-year life of the stock options.</w:t>
            </w:r>
          </w:p>
        </w:tc>
        <w:tc>
          <w:tcPr>
            <w:tcW w:w="18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622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2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b w:val="1"/>
                <w:bCs w:val="1"/>
                <w:color w:val="auto"/>
              </w:rPr>
              <w:t xml:space="preserve">Weighted-average volatility: </w:t>
            </w:r>
            <w:r>
              <w:rPr>
                <w:rFonts w:ascii="Arial" w:cs="Arial" w:eastAsia="Arial" w:hAnsi="Arial"/>
                <w:sz w:val="16"/>
                <w:szCs w:val="16"/>
                <w:color w:val="auto"/>
              </w:rPr>
              <w:t>Based on a combination of the historical</w:t>
            </w:r>
          </w:p>
        </w:tc>
        <w:tc>
          <w:tcPr>
            <w:tcW w:w="186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52.4 %</w:t>
            </w:r>
          </w:p>
        </w:tc>
        <w:tc>
          <w:tcPr>
            <w:tcW w:w="17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52.2 %</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60.1 %</w:t>
            </w: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volatility of our common stock and the implied volatility of exchange-traded</w:t>
            </w:r>
          </w:p>
        </w:tc>
        <w:tc>
          <w:tcPr>
            <w:tcW w:w="1860" w:type="dxa"/>
            <w:vAlign w:val="bottom"/>
            <w:vMerge w:val="continue"/>
            <w:shd w:val="clear" w:color="auto" w:fill="CCEEFF"/>
          </w:tcPr>
          <w:p>
            <w:pPr>
              <w:spacing w:after="0"/>
              <w:rPr>
                <w:sz w:val="14"/>
                <w:szCs w:val="14"/>
                <w:color w:val="auto"/>
              </w:rPr>
            </w:pPr>
          </w:p>
        </w:tc>
        <w:tc>
          <w:tcPr>
            <w:tcW w:w="174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options for our common stock.</w:t>
            </w:r>
          </w:p>
        </w:tc>
        <w:tc>
          <w:tcPr>
            <w:tcW w:w="1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20" w:type="dxa"/>
            <w:vAlign w:val="bottom"/>
          </w:tcPr>
          <w:p>
            <w:pPr>
              <w:ind w:left="360"/>
              <w:spacing w:after="0" w:line="162" w:lineRule="exact"/>
              <w:rPr>
                <w:sz w:val="20"/>
                <w:szCs w:val="20"/>
                <w:color w:val="auto"/>
              </w:rPr>
            </w:pPr>
            <w:r>
              <w:rPr>
                <w:rFonts w:ascii="Arial" w:cs="Arial" w:eastAsia="Arial" w:hAnsi="Arial"/>
                <w:sz w:val="16"/>
                <w:szCs w:val="16"/>
                <w:b w:val="1"/>
                <w:bCs w:val="1"/>
                <w:color w:val="auto"/>
              </w:rPr>
              <w:t xml:space="preserve">Weighted-average expected dividend yield: </w:t>
            </w:r>
            <w:r>
              <w:rPr>
                <w:rFonts w:ascii="Arial" w:cs="Arial" w:eastAsia="Arial" w:hAnsi="Arial"/>
                <w:sz w:val="16"/>
                <w:szCs w:val="16"/>
                <w:color w:val="auto"/>
              </w:rPr>
              <w:t>Our forecasted dividend yield</w:t>
            </w:r>
          </w:p>
        </w:tc>
        <w:tc>
          <w:tcPr>
            <w:tcW w:w="1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3.4 %</w:t>
            </w:r>
          </w:p>
        </w:tc>
        <w:tc>
          <w:tcPr>
            <w:tcW w:w="1740" w:type="dxa"/>
            <w:vAlign w:val="bottom"/>
            <w:vMerge w:val="restart"/>
          </w:tcPr>
          <w:p>
            <w:pPr>
              <w:jc w:val="right"/>
              <w:ind w:right="199"/>
              <w:spacing w:after="0"/>
              <w:rPr>
                <w:sz w:val="20"/>
                <w:szCs w:val="20"/>
                <w:color w:val="auto"/>
              </w:rPr>
            </w:pPr>
            <w:r>
              <w:rPr>
                <w:rFonts w:ascii="Arial" w:cs="Arial" w:eastAsia="Arial" w:hAnsi="Arial"/>
                <w:sz w:val="16"/>
                <w:szCs w:val="16"/>
                <w:color w:val="auto"/>
              </w:rPr>
              <w:t>3.4 %</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41"/>
        </w:trPr>
        <w:tc>
          <w:tcPr>
            <w:tcW w:w="6220" w:type="dxa"/>
            <w:vAlign w:val="bottom"/>
            <w:vMerge w:val="restart"/>
          </w:tcPr>
          <w:p>
            <w:pPr>
              <w:ind w:left="520"/>
              <w:spacing w:after="0"/>
              <w:rPr>
                <w:sz w:val="20"/>
                <w:szCs w:val="20"/>
                <w:color w:val="auto"/>
              </w:rPr>
            </w:pPr>
            <w:r>
              <w:rPr>
                <w:rFonts w:ascii="Arial" w:cs="Arial" w:eastAsia="Arial" w:hAnsi="Arial"/>
                <w:sz w:val="16"/>
                <w:szCs w:val="16"/>
                <w:color w:val="auto"/>
              </w:rPr>
              <w:t>for the next 10 years.</w:t>
            </w:r>
          </w:p>
        </w:tc>
        <w:tc>
          <w:tcPr>
            <w:tcW w:w="18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622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6220" w:type="dxa"/>
            <w:vAlign w:val="bottom"/>
            <w:shd w:val="clear" w:color="auto" w:fill="CCEEFF"/>
          </w:tcPr>
          <w:p>
            <w:pPr>
              <w:ind w:left="360"/>
              <w:spacing w:after="0" w:line="163" w:lineRule="exact"/>
              <w:rPr>
                <w:sz w:val="20"/>
                <w:szCs w:val="20"/>
                <w:color w:val="auto"/>
              </w:rPr>
            </w:pPr>
            <w:r>
              <w:rPr>
                <w:rFonts w:ascii="Arial" w:cs="Arial" w:eastAsia="Arial" w:hAnsi="Arial"/>
                <w:sz w:val="16"/>
                <w:szCs w:val="16"/>
                <w:b w:val="1"/>
                <w:bCs w:val="1"/>
                <w:color w:val="auto"/>
              </w:rPr>
              <w:t xml:space="preserve">Expected life in years: </w:t>
            </w:r>
            <w:r>
              <w:rPr>
                <w:rFonts w:ascii="Arial" w:cs="Arial" w:eastAsia="Arial" w:hAnsi="Arial"/>
                <w:sz w:val="16"/>
                <w:szCs w:val="16"/>
                <w:color w:val="auto"/>
              </w:rPr>
              <w:t>Represents the estimated period of time until option</w:t>
            </w:r>
          </w:p>
        </w:tc>
        <w:tc>
          <w:tcPr>
            <w:tcW w:w="18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exercise. The expected term of options granted was based on our</w:t>
            </w:r>
          </w:p>
        </w:tc>
        <w:tc>
          <w:tcPr>
            <w:tcW w:w="186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8.3</w:t>
            </w:r>
          </w:p>
        </w:tc>
        <w:tc>
          <w:tcPr>
            <w:tcW w:w="174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8.3</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historical exercise behavior, taking into consideration the contractual term</w:t>
            </w:r>
          </w:p>
        </w:tc>
        <w:tc>
          <w:tcPr>
            <w:tcW w:w="1860" w:type="dxa"/>
            <w:vAlign w:val="bottom"/>
            <w:vMerge w:val="continue"/>
            <w:shd w:val="clear" w:color="auto" w:fill="CCEEFF"/>
          </w:tcPr>
          <w:p>
            <w:pPr>
              <w:spacing w:after="0"/>
              <w:rPr>
                <w:sz w:val="14"/>
                <w:szCs w:val="14"/>
                <w:color w:val="auto"/>
              </w:rPr>
            </w:pPr>
          </w:p>
        </w:tc>
        <w:tc>
          <w:tcPr>
            <w:tcW w:w="1740" w:type="dxa"/>
            <w:vAlign w:val="bottom"/>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2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of the option and our employees’ expected exercise and post-vesting</w:t>
            </w:r>
          </w:p>
        </w:tc>
        <w:tc>
          <w:tcPr>
            <w:tcW w:w="18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employment termination behavior.</w:t>
            </w:r>
          </w:p>
        </w:tc>
        <w:tc>
          <w:tcPr>
            <w:tcW w:w="1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Grant Date Information</w:t>
            </w:r>
          </w:p>
        </w:tc>
        <w:tc>
          <w:tcPr>
            <w:tcW w:w="1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6"/>
                <w:szCs w:val="16"/>
                <w:color w:val="auto"/>
              </w:rPr>
              <w:t>Date of grant</w:t>
            </w:r>
          </w:p>
        </w:tc>
        <w:tc>
          <w:tcPr>
            <w:tcW w:w="186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 2022</w:t>
            </w: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4, 2021</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June 1, 2020</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Weighted-average fair value per option</w:t>
            </w:r>
          </w:p>
        </w:tc>
        <w:tc>
          <w:tcPr>
            <w:tcW w:w="186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$10</w:t>
            </w:r>
          </w:p>
        </w:tc>
        <w:tc>
          <w:tcPr>
            <w:tcW w:w="17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w:t>
            </w:r>
          </w:p>
        </w:tc>
        <w:tc>
          <w:tcPr>
            <w:tcW w:w="14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Exercise price per option</w:t>
            </w:r>
          </w:p>
        </w:tc>
        <w:tc>
          <w:tcPr>
            <w:tcW w:w="18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$26</w:t>
            </w:r>
          </w:p>
        </w:tc>
        <w:tc>
          <w:tcPr>
            <w:tcW w:w="1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$36</w:t>
            </w:r>
          </w:p>
        </w:tc>
        <w:tc>
          <w:tcPr>
            <w:tcW w:w="142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0" w:hanging="72"/>
        <w:spacing w:after="0"/>
        <w:tabs>
          <w:tab w:leader="none" w:pos="8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The options granted on March 4, 2021 include market performance-based stock options with a contractual term of ten years that were awarded to certain members of senior</w:t>
      </w:r>
    </w:p>
    <w:p>
      <w:pPr>
        <w:ind w:left="80" w:right="320"/>
        <w:spacing w:after="0" w:line="261" w:lineRule="auto"/>
        <w:rPr>
          <w:sz w:val="20"/>
          <w:szCs w:val="20"/>
          <w:color w:val="auto"/>
        </w:rPr>
      </w:pPr>
      <w:r>
        <w:rPr>
          <w:rFonts w:ascii="Arial" w:cs="Arial" w:eastAsia="Arial" w:hAnsi="Arial"/>
          <w:sz w:val="14"/>
          <w:szCs w:val="14"/>
          <w:color w:val="auto"/>
        </w:rPr>
        <w:t>management as well as time-based options. The price-hurdle options contain a market condition that requires the closing price of our stock to meet or exceed certain price thresholds for 20 consecutive trading days in order for shares to vest.</w:t>
      </w:r>
    </w:p>
    <w:p>
      <w:pPr>
        <w:spacing w:after="0" w:line="1" w:lineRule="exact"/>
        <w:rPr>
          <w:sz w:val="20"/>
          <w:szCs w:val="20"/>
          <w:color w:val="auto"/>
        </w:rPr>
      </w:pPr>
    </w:p>
    <w:p>
      <w:pPr>
        <w:ind w:left="80" w:right="360" w:hanging="72"/>
        <w:spacing w:after="0" w:line="262" w:lineRule="auto"/>
        <w:tabs>
          <w:tab w:leader="none" w:pos="77" w:val="left"/>
        </w:tabs>
        <w:numPr>
          <w:ilvl w:val="0"/>
          <w:numId w:val="43"/>
        </w:numPr>
        <w:rPr>
          <w:rFonts w:ascii="Arial" w:cs="Arial" w:eastAsia="Arial" w:hAnsi="Arial"/>
          <w:sz w:val="9"/>
          <w:szCs w:val="9"/>
          <w:color w:val="auto"/>
        </w:rPr>
      </w:pPr>
      <w:r>
        <w:rPr>
          <w:rFonts w:ascii="Arial" w:cs="Arial" w:eastAsia="Arial" w:hAnsi="Arial"/>
          <w:sz w:val="14"/>
          <w:szCs w:val="14"/>
          <w:color w:val="auto"/>
        </w:rPr>
        <w:t>Additional non-qualified stock options were also granted to certain company leaders on August 27, 2020 at an exercise price per option of $15. The assumptions used to estimate the fair value for the additional stock options were similar to the 2020 grant assumptions presented in this table. In 2020, we also granted stock options to certain qualified employees outside of the June and August grant dates, which were insignificant in aggregate.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2022 is presented below:</w:t>
      </w:r>
    </w:p>
    <w:p>
      <w:pPr>
        <w:spacing w:after="0" w:line="5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9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7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Weighted-</w:t>
            </w:r>
          </w:p>
        </w:tc>
        <w:tc>
          <w:tcPr>
            <w:tcW w:w="1920" w:type="dxa"/>
            <w:vAlign w:val="bottom"/>
          </w:tcPr>
          <w:p>
            <w:pPr>
              <w:jc w:val="right"/>
              <w:ind w:right="379"/>
              <w:spacing w:after="0" w:line="155" w:lineRule="exact"/>
              <w:rPr>
                <w:sz w:val="20"/>
                <w:szCs w:val="20"/>
                <w:color w:val="auto"/>
              </w:rPr>
            </w:pPr>
            <w:r>
              <w:rPr>
                <w:rFonts w:ascii="Arial" w:cs="Arial" w:eastAsia="Arial" w:hAnsi="Arial"/>
                <w:sz w:val="16"/>
                <w:szCs w:val="16"/>
                <w:b w:val="1"/>
                <w:bCs w:val="1"/>
                <w:color w:val="auto"/>
              </w:rPr>
              <w:t>Weighted-average</w:t>
            </w: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920" w:type="dxa"/>
            <w:vAlign w:val="bottom"/>
          </w:tcPr>
          <w:p>
            <w:pPr>
              <w:jc w:val="right"/>
              <w:ind w:right="419"/>
              <w:spacing w:after="0" w:line="162" w:lineRule="exact"/>
              <w:rPr>
                <w:sz w:val="20"/>
                <w:szCs w:val="20"/>
                <w:color w:val="auto"/>
              </w:rPr>
            </w:pPr>
            <w:r>
              <w:rPr>
                <w:rFonts w:ascii="Arial" w:cs="Arial" w:eastAsia="Arial" w:hAnsi="Arial"/>
                <w:sz w:val="16"/>
                <w:szCs w:val="16"/>
                <w:b w:val="1"/>
                <w:bCs w:val="1"/>
                <w:color w:val="auto"/>
              </w:rPr>
              <w:t>remaining</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9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700" w:type="dxa"/>
            <w:vAlign w:val="bottom"/>
          </w:tcPr>
          <w:p>
            <w:pPr>
              <w:jc w:val="right"/>
              <w:ind w:right="199"/>
              <w:spacing w:after="0" w:line="162" w:lineRule="exact"/>
              <w:rPr>
                <w:sz w:val="20"/>
                <w:szCs w:val="20"/>
                <w:color w:val="auto"/>
              </w:rPr>
            </w:pPr>
            <w:r>
              <w:rPr>
                <w:rFonts w:ascii="Arial" w:cs="Arial" w:eastAsia="Arial" w:hAnsi="Arial"/>
                <w:sz w:val="16"/>
                <w:szCs w:val="16"/>
                <w:b w:val="1"/>
                <w:bCs w:val="1"/>
                <w:color w:val="auto"/>
              </w:rPr>
              <w:t>average</w:t>
            </w:r>
          </w:p>
        </w:tc>
        <w:tc>
          <w:tcPr>
            <w:tcW w:w="1920" w:type="dxa"/>
            <w:vAlign w:val="bottom"/>
          </w:tcPr>
          <w:p>
            <w:pPr>
              <w:jc w:val="right"/>
              <w:ind w:right="379"/>
              <w:spacing w:after="0" w:line="162" w:lineRule="exact"/>
              <w:rPr>
                <w:sz w:val="20"/>
                <w:szCs w:val="20"/>
                <w:color w:val="auto"/>
              </w:rPr>
            </w:pPr>
            <w:r>
              <w:rPr>
                <w:rFonts w:ascii="Arial" w:cs="Arial" w:eastAsia="Arial" w:hAnsi="Arial"/>
                <w:sz w:val="16"/>
                <w:szCs w:val="16"/>
                <w:b w:val="1"/>
                <w:bCs w:val="1"/>
                <w:color w:val="auto"/>
              </w:rPr>
              <w:t>contractual</w:t>
            </w:r>
          </w:p>
        </w:tc>
        <w:tc>
          <w:tcPr>
            <w:tcW w:w="132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exercise price</w:t>
            </w:r>
          </w:p>
        </w:tc>
        <w:tc>
          <w:tcPr>
            <w:tcW w:w="1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life (years)</w:t>
            </w:r>
          </w:p>
        </w:tc>
        <w:tc>
          <w:tcPr>
            <w:tcW w:w="13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value</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beginning of year</w:t>
            </w:r>
          </w:p>
        </w:tc>
        <w:tc>
          <w:tcPr>
            <w:tcW w:w="19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10.4</w:t>
            </w:r>
          </w:p>
        </w:tc>
        <w:tc>
          <w:tcPr>
            <w:tcW w:w="17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$39</w:t>
            </w:r>
          </w:p>
        </w:tc>
        <w:tc>
          <w:tcPr>
            <w:tcW w:w="1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Granted</w:t>
            </w:r>
          </w:p>
        </w:tc>
        <w:tc>
          <w:tcPr>
            <w:tcW w:w="1900" w:type="dxa"/>
            <w:vAlign w:val="bottom"/>
          </w:tcPr>
          <w:p>
            <w:pPr>
              <w:jc w:val="right"/>
              <w:ind w:right="319"/>
              <w:spacing w:after="0"/>
              <w:rPr>
                <w:sz w:val="20"/>
                <w:szCs w:val="20"/>
                <w:color w:val="auto"/>
              </w:rPr>
            </w:pPr>
            <w:r>
              <w:rPr>
                <w:rFonts w:ascii="Arial" w:cs="Arial" w:eastAsia="Arial" w:hAnsi="Arial"/>
                <w:sz w:val="16"/>
                <w:szCs w:val="16"/>
                <w:b w:val="1"/>
                <w:bCs w:val="1"/>
                <w:color w:val="auto"/>
              </w:rPr>
              <w:t>1.1</w:t>
            </w: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26</w:t>
            </w:r>
          </w:p>
        </w:tc>
        <w:tc>
          <w:tcPr>
            <w:tcW w:w="1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90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(0.9)</w:t>
            </w:r>
          </w:p>
        </w:tc>
        <w:tc>
          <w:tcPr>
            <w:tcW w:w="170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15</w:t>
            </w:r>
          </w:p>
        </w:tc>
        <w:tc>
          <w:tcPr>
            <w:tcW w:w="19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 or cancelled</w:t>
            </w:r>
          </w:p>
        </w:tc>
        <w:tc>
          <w:tcPr>
            <w:tcW w:w="1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(2.1)</w:t>
            </w: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47</w:t>
            </w:r>
          </w:p>
        </w:tc>
        <w:tc>
          <w:tcPr>
            <w:tcW w:w="19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end of year</w:t>
            </w:r>
          </w:p>
        </w:tc>
        <w:tc>
          <w:tcPr>
            <w:tcW w:w="19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8.5</w:t>
            </w:r>
          </w:p>
        </w:tc>
        <w:tc>
          <w:tcPr>
            <w:tcW w:w="17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$38</w:t>
            </w:r>
          </w:p>
        </w:tc>
        <w:tc>
          <w:tcPr>
            <w:tcW w:w="19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0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Vested, end of year</w:t>
            </w:r>
          </w:p>
        </w:tc>
        <w:tc>
          <w:tcPr>
            <w:tcW w:w="1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6.3</w:t>
            </w:r>
          </w:p>
        </w:tc>
        <w:tc>
          <w:tcPr>
            <w:tcW w:w="1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$41</w:t>
            </w:r>
          </w:p>
        </w:tc>
        <w:tc>
          <w:tcPr>
            <w:tcW w:w="1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Vested or expected to vest, end of year</w:t>
            </w:r>
          </w:p>
        </w:tc>
        <w:tc>
          <w:tcPr>
            <w:tcW w:w="19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7.6</w:t>
            </w:r>
          </w:p>
        </w:tc>
        <w:tc>
          <w:tcPr>
            <w:tcW w:w="17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$39</w:t>
            </w:r>
          </w:p>
        </w:tc>
        <w:tc>
          <w:tcPr>
            <w:tcW w:w="19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w:t>
            </w:r>
          </w:p>
        </w:tc>
        <w:tc>
          <w:tcPr>
            <w:tcW w:w="19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2022</w:t>
            </w:r>
          </w:p>
        </w:tc>
        <w:tc>
          <w:tcPr>
            <w:tcW w:w="192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6"/>
                <w:szCs w:val="16"/>
                <w:color w:val="auto"/>
              </w:rPr>
              <w:t>Aggregate intrinsic value of options exercised</w:t>
            </w:r>
          </w:p>
        </w:tc>
        <w:tc>
          <w:tcPr>
            <w:tcW w:w="1900" w:type="dxa"/>
            <w:vAlign w:val="bottom"/>
          </w:tcPr>
          <w:p>
            <w:pPr>
              <w:spacing w:after="0"/>
              <w:rPr>
                <w:sz w:val="18"/>
                <w:szCs w:val="18"/>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$4</w:t>
            </w:r>
          </w:p>
        </w:tc>
        <w:tc>
          <w:tcPr>
            <w:tcW w:w="19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Fair value of stock options vested</w:t>
            </w:r>
          </w:p>
        </w:tc>
        <w:tc>
          <w:tcPr>
            <w:tcW w:w="19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$27</w:t>
            </w:r>
          </w:p>
        </w:tc>
        <w:tc>
          <w:tcPr>
            <w:tcW w:w="19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0" w:hanging="72"/>
        <w:spacing w:after="0"/>
        <w:tabs>
          <w:tab w:leader="none" w:pos="8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The aggregate intrinsic value represents the amount realized if all in-the-money options were exercised on the final business day before January 28, 2023</w:t>
      </w:r>
      <w:r>
        <w:rPr>
          <w:rFonts w:ascii="Arial" w:cs="Arial" w:eastAsia="Arial" w:hAnsi="Arial"/>
          <w:sz w:val="17"/>
          <w:szCs w:val="17"/>
          <w:color w:val="auto"/>
        </w:rPr>
        <w:t>.</w:t>
      </w:r>
    </w:p>
    <w:p>
      <w:pPr>
        <w:spacing w:after="0" w:line="16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January 28, 2023, the total unrecognized stock-based compensation expense related to nonvested stock options was $5, which is expected to be recognized over a weighted-average period of 32 months.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certain limitations with respect to the payment of dividends and share repurchases under our Revolver agreement (see Note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 and Credit Facilities).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Changes in the number of issued and outstanding shares of our common stock in 2022, 2021 and 2020 are the result of share repurchases and compensation plan issuances (see Note 9: Stock-based Compensation).</w:t>
      </w:r>
    </w:p>
    <w:p>
      <w:pPr>
        <w:spacing w:after="0" w:line="117" w:lineRule="exact"/>
        <w:rPr>
          <w:sz w:val="20"/>
          <w:szCs w:val="20"/>
          <w:color w:val="auto"/>
        </w:rPr>
      </w:pPr>
    </w:p>
    <w:p>
      <w:pPr>
        <w:jc w:val="both"/>
        <w:ind w:right="740"/>
        <w:spacing w:after="0" w:line="267" w:lineRule="auto"/>
        <w:rPr>
          <w:sz w:val="20"/>
          <w:szCs w:val="20"/>
          <w:color w:val="auto"/>
        </w:rPr>
      </w:pPr>
      <w:r>
        <w:rPr>
          <w:rFonts w:ascii="Arial" w:cs="Arial" w:eastAsia="Arial" w:hAnsi="Arial"/>
          <w:sz w:val="18"/>
          <w:szCs w:val="18"/>
          <w:color w:val="auto"/>
        </w:rPr>
        <w:t>In May 2022, our Board of Directors authorized a new program to repurchase up to $500 of our outstanding common stock, with no expiration date, which replaced the August 2018 program. The following is a summary of the activity related to our share repurchase programs in 2022, 2021 and 2020:</w:t>
      </w:r>
    </w:p>
    <w:tbl>
      <w:tblPr>
        <w:tblLayout w:type="fixed"/>
        <w:tblInd w:w="0" w:type="dxa"/>
        <w:tblCellMar>
          <w:top w:w="0" w:type="dxa"/>
          <w:left w:w="0" w:type="dxa"/>
          <w:bottom w:w="0" w:type="dxa"/>
          <w:right w:w="0" w:type="dxa"/>
        </w:tblCellMar>
      </w:tblPr>
      <w:tr>
        <w:trPr>
          <w:trHeight w:val="165"/>
        </w:trPr>
        <w:tc>
          <w:tcPr>
            <w:tcW w:w="5300" w:type="dxa"/>
            <w:vAlign w:val="bottom"/>
          </w:tcPr>
          <w:p>
            <w:pPr>
              <w:spacing w:after="0"/>
              <w:rPr>
                <w:sz w:val="14"/>
                <w:szCs w:val="14"/>
                <w:color w:val="auto"/>
              </w:rPr>
            </w:pPr>
          </w:p>
        </w:tc>
        <w:tc>
          <w:tcPr>
            <w:tcW w:w="27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000" w:type="dxa"/>
            <w:vAlign w:val="bottom"/>
          </w:tcPr>
          <w:p>
            <w:pPr>
              <w:jc w:val="right"/>
              <w:ind w:right="499"/>
              <w:spacing w:after="0" w:line="165" w:lineRule="exact"/>
              <w:rPr>
                <w:sz w:val="20"/>
                <w:szCs w:val="20"/>
                <w:color w:val="auto"/>
              </w:rPr>
            </w:pPr>
            <w:r>
              <w:rPr>
                <w:rFonts w:ascii="Arial" w:cs="Arial" w:eastAsia="Arial" w:hAnsi="Arial"/>
                <w:sz w:val="16"/>
                <w:szCs w:val="16"/>
                <w:b w:val="1"/>
                <w:bCs w:val="1"/>
                <w:color w:val="auto"/>
              </w:rPr>
              <w:t>Average price</w:t>
            </w: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per share</w:t>
            </w: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February 1, 2020</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repurchased</w:t>
            </w:r>
          </w:p>
        </w:tc>
        <w:tc>
          <w:tcPr>
            <w:tcW w:w="2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January 30, 2021</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repurchased</w:t>
            </w:r>
          </w:p>
        </w:tc>
        <w:tc>
          <w:tcPr>
            <w:tcW w:w="2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January 29, 2022</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6"/>
                <w:szCs w:val="16"/>
                <w:color w:val="auto"/>
              </w:rPr>
              <w:t>August 2018 program termination</w:t>
            </w:r>
          </w:p>
        </w:tc>
        <w:tc>
          <w:tcPr>
            <w:tcW w:w="2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2022 program authorization (no expiration)</w:t>
            </w:r>
          </w:p>
        </w:tc>
        <w:tc>
          <w:tcPr>
            <w:tcW w:w="27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Shares repurchased</w:t>
            </w:r>
          </w:p>
        </w:tc>
        <w:tc>
          <w:tcPr>
            <w:tcW w:w="2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2.8</w:t>
            </w:r>
          </w:p>
        </w:tc>
        <w:tc>
          <w:tcPr>
            <w:tcW w:w="20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Capacity at January 28, 2023</w:t>
            </w:r>
          </w:p>
        </w:tc>
        <w:tc>
          <w:tcPr>
            <w:tcW w:w="27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$438</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 w:lineRule="exact"/>
        <w:rPr>
          <w:sz w:val="20"/>
          <w:szCs w:val="20"/>
          <w:color w:val="auto"/>
        </w:rPr>
      </w:pPr>
    </w:p>
    <w:p>
      <w:pPr>
        <w:ind w:right="400"/>
        <w:spacing w:after="0" w:line="296" w:lineRule="auto"/>
        <w:rPr>
          <w:sz w:val="20"/>
          <w:szCs w:val="20"/>
          <w:color w:val="auto"/>
        </w:rPr>
      </w:pPr>
      <w:r>
        <w:rPr>
          <w:rFonts w:ascii="Arial" w:cs="Arial" w:eastAsia="Arial" w:hAnsi="Arial"/>
          <w:sz w:val="17"/>
          <w:szCs w:val="17"/>
          <w:color w:val="auto"/>
        </w:rPr>
        <w:t>We paid dividends of $0.76 per share in 2022, none in 2021 and $0.37 per share in 2020. In February 2023, subsequent to year end, we declared a quarterly dividend of $0.19 per share, which will be paid on March 29, 2023 to shareholders of record as of March 14, 2023.</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Plan</w:t>
      </w:r>
    </w:p>
    <w:p>
      <w:pPr>
        <w:spacing w:after="0" w:line="25" w:lineRule="exact"/>
        <w:rPr>
          <w:sz w:val="20"/>
          <w:szCs w:val="20"/>
          <w:color w:val="auto"/>
        </w:rPr>
      </w:pPr>
    </w:p>
    <w:p>
      <w:pPr>
        <w:ind w:right="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September 2022, our Board of Directors approved a </w:t>
      </w:r>
      <w:hyperlink r:id="rId75">
        <w:r>
          <w:rPr>
            <w:rFonts w:ascii="Arial" w:cs="Arial" w:eastAsia="Arial" w:hAnsi="Arial"/>
            <w:sz w:val="18"/>
            <w:szCs w:val="18"/>
            <w:u w:val="single" w:color="auto"/>
            <w:color w:val="0000FF"/>
          </w:rPr>
          <w:t>shareholder rights agreement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declared a dividend of one right for each outstanding share of Nordstrom common stock to shareholders of record on September 30, 2022. Each right entitles holders to purchase one newly issued share of Nordstrom common stock at an exercise price of $94 per right, subject to adjustment. Initially, the rights are not exercisable and trade with our shares of common stock.</w:t>
      </w:r>
    </w:p>
    <w:p>
      <w:pPr>
        <w:spacing w:after="0" w:line="12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general, the rights become exercisable following a public announcement that a person acquires 10% or more of the outstanding shares of Nordstrom common stock. If the rights are exercised, each holder (except the acquiring person) will have the right to receive common stock equal to two times the exercise price of the right. The Company may redeem the rights for $ 0.001 per right anytime prior to the rights becoming exercisable. The agreement also provides for exceptions and additional terms for other certain situations and circumstances.</w:t>
      </w:r>
    </w:p>
    <w:p>
      <w:pPr>
        <w:spacing w:after="0" w:line="1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Rights Plan is intended to protect the interests of Nordstrom and its shareholders by reducing the likelihood that any entity, person or group gains control of the Company through open-market accumulation or other means without payment of an adequate control premium and expires September 19, 2023, unless redeemed, exchanged or terminated earlier by our Board of Directors. There is currently no impact to our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 and foreign components of earnings before income taxes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r>
      <w:tr>
        <w:trPr>
          <w:trHeight w:val="21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26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$316</w:t>
            </w:r>
          </w:p>
        </w:tc>
        <w:tc>
          <w:tcPr>
            <w:tcW w:w="16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$241</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($1,210)</w:t>
            </w:r>
          </w:p>
        </w:tc>
      </w:tr>
      <w:tr>
        <w:trPr>
          <w:trHeight w:val="21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3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21</w:t>
            </w:r>
          </w:p>
        </w:tc>
        <w:tc>
          <w:tcPr>
            <w:tcW w:w="16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5</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r>
      <w:tr>
        <w:trPr>
          <w:trHeight w:val="209"/>
        </w:trPr>
        <w:tc>
          <w:tcPr>
            <w:tcW w:w="5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before income taxes</w:t>
            </w:r>
          </w:p>
        </w:tc>
        <w:tc>
          <w:tcPr>
            <w:tcW w:w="32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$337</w:t>
            </w:r>
          </w:p>
        </w:tc>
        <w:tc>
          <w:tcPr>
            <w:tcW w:w="16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$246</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2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taxes:</w:t>
            </w:r>
          </w:p>
        </w:tc>
        <w:tc>
          <w:tcPr>
            <w:tcW w:w="3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6"/>
                <w:szCs w:val="16"/>
                <w:color w:val="auto"/>
              </w:rPr>
              <w:t>Federal</w:t>
            </w:r>
          </w:p>
        </w:tc>
        <w:tc>
          <w:tcPr>
            <w:tcW w:w="3200" w:type="dxa"/>
            <w:vAlign w:val="bottom"/>
          </w:tcPr>
          <w:p>
            <w:pPr>
              <w:jc w:val="right"/>
              <w:ind w:right="639"/>
              <w:spacing w:after="0"/>
              <w:rPr>
                <w:sz w:val="20"/>
                <w:szCs w:val="20"/>
                <w:color w:val="auto"/>
              </w:rPr>
            </w:pPr>
            <w:r>
              <w:rPr>
                <w:rFonts w:ascii="Arial" w:cs="Arial" w:eastAsia="Arial" w:hAnsi="Arial"/>
                <w:sz w:val="16"/>
                <w:szCs w:val="16"/>
                <w:b w:val="1"/>
                <w:bCs w:val="1"/>
                <w:color w:val="auto"/>
              </w:rPr>
              <w:t>$149</w:t>
            </w:r>
          </w:p>
        </w:tc>
        <w:tc>
          <w:tcPr>
            <w:tcW w:w="1740" w:type="dxa"/>
            <w:vAlign w:val="bottom"/>
          </w:tcPr>
          <w:p>
            <w:pPr>
              <w:jc w:val="right"/>
              <w:ind w:right="619"/>
              <w:spacing w:after="0"/>
              <w:rPr>
                <w:sz w:val="20"/>
                <w:szCs w:val="20"/>
                <w:color w:val="auto"/>
              </w:rPr>
            </w:pPr>
            <w:r>
              <w:rPr>
                <w:rFonts w:ascii="Arial" w:cs="Arial" w:eastAsia="Arial" w:hAnsi="Arial"/>
                <w:sz w:val="16"/>
                <w:szCs w:val="16"/>
                <w:color w:val="auto"/>
              </w:rPr>
              <w:t>$61</w:t>
            </w:r>
          </w:p>
        </w:tc>
        <w:tc>
          <w:tcPr>
            <w:tcW w:w="1140" w:type="dxa"/>
            <w:vAlign w:val="bottom"/>
          </w:tcPr>
          <w:p>
            <w:pPr>
              <w:jc w:val="right"/>
              <w:spacing w:after="0"/>
              <w:rPr>
                <w:sz w:val="20"/>
                <w:szCs w:val="20"/>
                <w:color w:val="auto"/>
              </w:rPr>
            </w:pPr>
            <w:r>
              <w:rPr>
                <w:rFonts w:ascii="Arial" w:cs="Arial" w:eastAsia="Arial" w:hAnsi="Arial"/>
                <w:sz w:val="16"/>
                <w:szCs w:val="16"/>
                <w:color w:val="auto"/>
              </w:rPr>
              <w:t>($501)</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State and local</w:t>
            </w:r>
          </w:p>
        </w:tc>
        <w:tc>
          <w:tcPr>
            <w:tcW w:w="32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27</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18</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51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Foreign</w:t>
            </w:r>
          </w:p>
        </w:tc>
        <w:tc>
          <w:tcPr>
            <w:tcW w:w="3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(1)</w:t>
            </w:r>
          </w:p>
        </w:tc>
        <w:tc>
          <w:tcPr>
            <w:tcW w:w="17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income tax expense (benefit)</w:t>
            </w:r>
          </w:p>
        </w:tc>
        <w:tc>
          <w:tcPr>
            <w:tcW w:w="32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175</w:t>
            </w:r>
          </w:p>
        </w:tc>
        <w:tc>
          <w:tcPr>
            <w:tcW w:w="174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79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Federal</w:t>
            </w:r>
          </w:p>
        </w:tc>
        <w:tc>
          <w:tcPr>
            <w:tcW w:w="320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(86)</w:t>
            </w:r>
          </w:p>
        </w:tc>
        <w:tc>
          <w:tcPr>
            <w:tcW w:w="17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5160" w:type="dxa"/>
            <w:vAlign w:val="bottom"/>
          </w:tcPr>
          <w:p>
            <w:pPr>
              <w:ind w:left="220"/>
              <w:spacing w:after="0"/>
              <w:rPr>
                <w:sz w:val="20"/>
                <w:szCs w:val="20"/>
                <w:color w:val="auto"/>
              </w:rPr>
            </w:pPr>
            <w:r>
              <w:rPr>
                <w:rFonts w:ascii="Arial" w:cs="Arial" w:eastAsia="Arial" w:hAnsi="Arial"/>
                <w:sz w:val="16"/>
                <w:szCs w:val="16"/>
                <w:color w:val="auto"/>
              </w:rPr>
              <w:t>State and local</w:t>
            </w:r>
          </w:p>
        </w:tc>
        <w:tc>
          <w:tcPr>
            <w:tcW w:w="3200" w:type="dxa"/>
            <w:vAlign w:val="bottom"/>
          </w:tcPr>
          <w:p>
            <w:pPr>
              <w:jc w:val="right"/>
              <w:ind w:right="599"/>
              <w:spacing w:after="0"/>
              <w:rPr>
                <w:sz w:val="20"/>
                <w:szCs w:val="20"/>
                <w:color w:val="auto"/>
              </w:rPr>
            </w:pPr>
            <w:r>
              <w:rPr>
                <w:rFonts w:ascii="Arial" w:cs="Arial" w:eastAsia="Arial" w:hAnsi="Arial"/>
                <w:sz w:val="16"/>
                <w:szCs w:val="16"/>
                <w:b w:val="1"/>
                <w:bCs w:val="1"/>
                <w:color w:val="auto"/>
              </w:rPr>
              <w:t>(2)</w:t>
            </w:r>
          </w:p>
        </w:tc>
        <w:tc>
          <w:tcPr>
            <w:tcW w:w="1740" w:type="dxa"/>
            <w:vAlign w:val="bottom"/>
          </w:tcPr>
          <w:p>
            <w:pPr>
              <w:jc w:val="right"/>
              <w:ind w:right="579"/>
              <w:spacing w:after="0"/>
              <w:rPr>
                <w:sz w:val="20"/>
                <w:szCs w:val="20"/>
                <w:color w:val="auto"/>
              </w:rPr>
            </w:pPr>
            <w:r>
              <w:rPr>
                <w:rFonts w:ascii="Arial" w:cs="Arial" w:eastAsia="Arial" w:hAnsi="Arial"/>
                <w:sz w:val="16"/>
                <w:szCs w:val="16"/>
                <w:color w:val="auto"/>
              </w:rPr>
              <w:t>(5)</w:t>
            </w: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51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w:t>
            </w:r>
          </w:p>
        </w:tc>
        <w:tc>
          <w:tcPr>
            <w:tcW w:w="32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5</w:t>
            </w: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deferred income tax benefit</w:t>
            </w:r>
          </w:p>
        </w:tc>
        <w:tc>
          <w:tcPr>
            <w:tcW w:w="32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(83)</w:t>
            </w: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(11)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5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income tax expense (benefit)</w:t>
            </w:r>
          </w:p>
        </w:tc>
        <w:tc>
          <w:tcPr>
            <w:tcW w:w="32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$92</w:t>
            </w:r>
          </w:p>
        </w:tc>
        <w:tc>
          <w:tcPr>
            <w:tcW w:w="174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$68</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896"/>
        </w:trPr>
        <w:tc>
          <w:tcPr>
            <w:tcW w:w="5160" w:type="dxa"/>
            <w:vAlign w:val="bottom"/>
          </w:tcPr>
          <w:p>
            <w:pPr>
              <w:spacing w:after="0"/>
              <w:rPr>
                <w:sz w:val="20"/>
                <w:szCs w:val="20"/>
                <w:color w:val="auto"/>
              </w:rPr>
            </w:pPr>
            <w:r>
              <w:rPr>
                <w:rFonts w:ascii="Arial" w:cs="Arial" w:eastAsia="Arial" w:hAnsi="Arial"/>
                <w:sz w:val="16"/>
                <w:szCs w:val="16"/>
                <w:color w:val="auto"/>
              </w:rPr>
              <w:t>62</w:t>
            </w:r>
          </w:p>
        </w:tc>
        <w:tc>
          <w:tcPr>
            <w:tcW w:w="3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3"/>
        </w:trPr>
        <w:tc>
          <w:tcPr>
            <w:tcW w:w="516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effective tax rate on earnings (loss) before income taxes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26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2022</w:t>
            </w:r>
          </w:p>
        </w:tc>
        <w:tc>
          <w:tcPr>
            <w:tcW w:w="18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r>
      <w:tr>
        <w:trPr>
          <w:trHeight w:val="20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rate</w:t>
            </w:r>
          </w:p>
        </w:tc>
        <w:tc>
          <w:tcPr>
            <w:tcW w:w="26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21.0 %</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21.0 %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CARES Act impact</w:t>
            </w:r>
          </w:p>
        </w:tc>
        <w:tc>
          <w:tcPr>
            <w:tcW w:w="262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right"/>
              <w:ind w:right="559"/>
              <w:spacing w:after="0"/>
              <w:rPr>
                <w:sz w:val="20"/>
                <w:szCs w:val="20"/>
                <w:color w:val="auto"/>
              </w:rPr>
            </w:pPr>
            <w:r>
              <w:rPr>
                <w:rFonts w:ascii="Arial" w:cs="Arial" w:eastAsia="Arial" w:hAnsi="Arial"/>
                <w:sz w:val="16"/>
                <w:szCs w:val="16"/>
                <w:color w:val="auto"/>
              </w:rPr>
              <w:t>(0.9 %)</w:t>
            </w:r>
          </w:p>
        </w:tc>
        <w:tc>
          <w:tcPr>
            <w:tcW w:w="1260" w:type="dxa"/>
            <w:vAlign w:val="bottom"/>
          </w:tcPr>
          <w:p>
            <w:pPr>
              <w:jc w:val="right"/>
              <w:spacing w:after="0"/>
              <w:rPr>
                <w:sz w:val="20"/>
                <w:szCs w:val="20"/>
                <w:color w:val="auto"/>
              </w:rPr>
            </w:pPr>
            <w:r>
              <w:rPr>
                <w:rFonts w:ascii="Arial" w:cs="Arial" w:eastAsia="Arial" w:hAnsi="Arial"/>
                <w:sz w:val="16"/>
                <w:szCs w:val="16"/>
                <w:color w:val="auto"/>
              </w:rPr>
              <w:t>17.6 %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 income taxes, net of federal income taxes</w:t>
            </w:r>
          </w:p>
        </w:tc>
        <w:tc>
          <w:tcPr>
            <w:tcW w:w="26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5.9 %</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3.4 %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Federal credits</w:t>
            </w:r>
          </w:p>
        </w:tc>
        <w:tc>
          <w:tcPr>
            <w:tcW w:w="2620" w:type="dxa"/>
            <w:vAlign w:val="bottom"/>
          </w:tcPr>
          <w:p>
            <w:pPr>
              <w:jc w:val="right"/>
              <w:ind w:right="559"/>
              <w:spacing w:after="0"/>
              <w:rPr>
                <w:sz w:val="20"/>
                <w:szCs w:val="20"/>
                <w:color w:val="auto"/>
              </w:rPr>
            </w:pPr>
            <w:r>
              <w:rPr>
                <w:rFonts w:ascii="Arial" w:cs="Arial" w:eastAsia="Arial" w:hAnsi="Arial"/>
                <w:sz w:val="16"/>
                <w:szCs w:val="16"/>
                <w:b w:val="1"/>
                <w:bCs w:val="1"/>
                <w:color w:val="auto"/>
              </w:rPr>
              <w:t>(3.8 %)</w:t>
            </w:r>
          </w:p>
        </w:tc>
        <w:tc>
          <w:tcPr>
            <w:tcW w:w="1860" w:type="dxa"/>
            <w:vAlign w:val="bottom"/>
          </w:tcPr>
          <w:p>
            <w:pPr>
              <w:jc w:val="right"/>
              <w:ind w:right="559"/>
              <w:spacing w:after="0"/>
              <w:rPr>
                <w:sz w:val="20"/>
                <w:szCs w:val="20"/>
                <w:color w:val="auto"/>
              </w:rPr>
            </w:pPr>
            <w:r>
              <w:rPr>
                <w:rFonts w:ascii="Arial" w:cs="Arial" w:eastAsia="Arial" w:hAnsi="Arial"/>
                <w:sz w:val="16"/>
                <w:szCs w:val="16"/>
                <w:color w:val="auto"/>
              </w:rPr>
              <w:t>(4.0 %)</w:t>
            </w:r>
          </w:p>
        </w:tc>
        <w:tc>
          <w:tcPr>
            <w:tcW w:w="126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26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1.2 %</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2.7 %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2620" w:type="dxa"/>
            <w:vAlign w:val="bottom"/>
          </w:tcPr>
          <w:p>
            <w:pPr>
              <w:jc w:val="right"/>
              <w:ind w:right="619"/>
              <w:spacing w:after="0"/>
              <w:rPr>
                <w:sz w:val="20"/>
                <w:szCs w:val="20"/>
                <w:color w:val="auto"/>
              </w:rPr>
            </w:pPr>
            <w:r>
              <w:rPr>
                <w:rFonts w:ascii="Arial" w:cs="Arial" w:eastAsia="Arial" w:hAnsi="Arial"/>
                <w:sz w:val="16"/>
                <w:szCs w:val="16"/>
                <w:b w:val="1"/>
                <w:bCs w:val="1"/>
                <w:color w:val="auto"/>
              </w:rPr>
              <w:t>1.8 %</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2.0 %</w:t>
            </w:r>
          </w:p>
        </w:tc>
        <w:tc>
          <w:tcPr>
            <w:tcW w:w="12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262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0.4 %</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1.8 %</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Taxes on foreign operations</w:t>
            </w:r>
          </w:p>
        </w:tc>
        <w:tc>
          <w:tcPr>
            <w:tcW w:w="2620" w:type="dxa"/>
            <w:vAlign w:val="bottom"/>
          </w:tcPr>
          <w:p>
            <w:pPr>
              <w:jc w:val="right"/>
              <w:ind w:right="619"/>
              <w:spacing w:after="0"/>
              <w:rPr>
                <w:sz w:val="20"/>
                <w:szCs w:val="20"/>
                <w:color w:val="auto"/>
              </w:rPr>
            </w:pPr>
            <w:r>
              <w:rPr>
                <w:rFonts w:ascii="Arial" w:cs="Arial" w:eastAsia="Arial" w:hAnsi="Arial"/>
                <w:sz w:val="16"/>
                <w:szCs w:val="16"/>
                <w:b w:val="1"/>
                <w:bCs w:val="1"/>
                <w:color w:val="auto"/>
              </w:rPr>
              <w:t>1.6 %</w:t>
            </w:r>
          </w:p>
        </w:tc>
        <w:tc>
          <w:tcPr>
            <w:tcW w:w="1860" w:type="dxa"/>
            <w:vAlign w:val="bottom"/>
          </w:tcPr>
          <w:p>
            <w:pPr>
              <w:jc w:val="right"/>
              <w:ind w:right="599"/>
              <w:spacing w:after="0"/>
              <w:rPr>
                <w:sz w:val="20"/>
                <w:szCs w:val="20"/>
                <w:color w:val="auto"/>
              </w:rPr>
            </w:pPr>
            <w:r>
              <w:rPr>
                <w:rFonts w:ascii="Arial" w:cs="Arial" w:eastAsia="Arial" w:hAnsi="Arial"/>
                <w:sz w:val="16"/>
                <w:szCs w:val="16"/>
                <w:color w:val="auto"/>
              </w:rPr>
              <w:t>1.3 %</w:t>
            </w:r>
          </w:p>
        </w:tc>
        <w:tc>
          <w:tcPr>
            <w:tcW w:w="126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16"/>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2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(0.9 %)</w:t>
            </w:r>
          </w:p>
        </w:tc>
        <w:tc>
          <w:tcPr>
            <w:tcW w:w="186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0.2 %</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0"/>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tax rate</w:t>
            </w:r>
          </w:p>
        </w:tc>
        <w:tc>
          <w:tcPr>
            <w:tcW w:w="26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27.2 %</w:t>
            </w:r>
          </w:p>
        </w:tc>
        <w:tc>
          <w:tcPr>
            <w:tcW w:w="18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27.5 %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43.8 %</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6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7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Lease liabilities</w:t>
            </w:r>
          </w:p>
        </w:tc>
        <w:tc>
          <w:tcPr>
            <w:tcW w:w="3720" w:type="dxa"/>
            <w:vAlign w:val="bottom"/>
          </w:tcPr>
          <w:p>
            <w:pPr>
              <w:jc w:val="right"/>
              <w:ind w:right="199"/>
              <w:spacing w:after="0"/>
              <w:rPr>
                <w:sz w:val="20"/>
                <w:szCs w:val="20"/>
                <w:color w:val="auto"/>
              </w:rPr>
            </w:pPr>
            <w:r>
              <w:rPr>
                <w:rFonts w:ascii="Arial" w:cs="Arial" w:eastAsia="Arial" w:hAnsi="Arial"/>
                <w:sz w:val="16"/>
                <w:szCs w:val="16"/>
                <w:b w:val="1"/>
                <w:bCs w:val="1"/>
                <w:color w:val="auto"/>
              </w:rPr>
              <w:t>$463</w:t>
            </w:r>
          </w:p>
        </w:tc>
        <w:tc>
          <w:tcPr>
            <w:tcW w:w="156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Compensation and benefits accruals</w:t>
            </w:r>
          </w:p>
        </w:tc>
        <w:tc>
          <w:tcPr>
            <w:tcW w:w="37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Sales return reserve</w:t>
            </w:r>
          </w:p>
        </w:tc>
        <w:tc>
          <w:tcPr>
            <w:tcW w:w="3720" w:type="dxa"/>
            <w:vAlign w:val="bottom"/>
          </w:tcPr>
          <w:p>
            <w:pPr>
              <w:jc w:val="right"/>
              <w:ind w:right="199"/>
              <w:spacing w:after="0"/>
              <w:rPr>
                <w:sz w:val="20"/>
                <w:szCs w:val="20"/>
                <w:color w:val="auto"/>
              </w:rPr>
            </w:pPr>
            <w:r>
              <w:rPr>
                <w:rFonts w:ascii="Arial" w:cs="Arial" w:eastAsia="Arial" w:hAnsi="Arial"/>
                <w:sz w:val="16"/>
                <w:szCs w:val="16"/>
                <w:b w:val="1"/>
                <w:bCs w:val="1"/>
                <w:color w:val="auto"/>
              </w:rPr>
              <w:t>61</w:t>
            </w:r>
          </w:p>
        </w:tc>
        <w:tc>
          <w:tcPr>
            <w:tcW w:w="15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expenses</w:t>
            </w:r>
          </w:p>
        </w:tc>
        <w:tc>
          <w:tcPr>
            <w:tcW w:w="37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Merchandise inventories</w:t>
            </w:r>
          </w:p>
        </w:tc>
        <w:tc>
          <w:tcPr>
            <w:tcW w:w="3720" w:type="dxa"/>
            <w:vAlign w:val="bottom"/>
          </w:tcPr>
          <w:p>
            <w:pPr>
              <w:jc w:val="right"/>
              <w:ind w:right="199"/>
              <w:spacing w:after="0"/>
              <w:rPr>
                <w:sz w:val="20"/>
                <w:szCs w:val="20"/>
                <w:color w:val="auto"/>
              </w:rPr>
            </w:pPr>
            <w:r>
              <w:rPr>
                <w:rFonts w:ascii="Arial" w:cs="Arial" w:eastAsia="Arial" w:hAnsi="Arial"/>
                <w:sz w:val="16"/>
                <w:szCs w:val="16"/>
                <w:b w:val="1"/>
                <w:bCs w:val="1"/>
                <w:color w:val="auto"/>
              </w:rPr>
              <w:t>33</w:t>
            </w:r>
          </w:p>
        </w:tc>
        <w:tc>
          <w:tcPr>
            <w:tcW w:w="15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Gift cards</w:t>
            </w:r>
          </w:p>
        </w:tc>
        <w:tc>
          <w:tcPr>
            <w:tcW w:w="37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43</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The Nordy Club loyalty program</w:t>
            </w:r>
          </w:p>
        </w:tc>
        <w:tc>
          <w:tcPr>
            <w:tcW w:w="3720" w:type="dxa"/>
            <w:vAlign w:val="bottom"/>
          </w:tcPr>
          <w:p>
            <w:pPr>
              <w:jc w:val="right"/>
              <w:ind w:right="199"/>
              <w:spacing w:after="0"/>
              <w:rPr>
                <w:sz w:val="20"/>
                <w:szCs w:val="20"/>
                <w:color w:val="auto"/>
              </w:rPr>
            </w:pPr>
            <w:r>
              <w:rPr>
                <w:rFonts w:ascii="Arial" w:cs="Arial" w:eastAsia="Arial" w:hAnsi="Arial"/>
                <w:sz w:val="16"/>
                <w:szCs w:val="16"/>
                <w:b w:val="1"/>
                <w:bCs w:val="1"/>
                <w:color w:val="auto"/>
              </w:rPr>
              <w:t>8</w:t>
            </w: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operating losses</w:t>
            </w:r>
          </w:p>
        </w:tc>
        <w:tc>
          <w:tcPr>
            <w:tcW w:w="37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6"/>
        </w:trPr>
        <w:tc>
          <w:tcPr>
            <w:tcW w:w="59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w:t>
            </w:r>
          </w:p>
        </w:tc>
        <w:tc>
          <w:tcPr>
            <w:tcW w:w="3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37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r>
      <w:tr>
        <w:trPr>
          <w:trHeight w:val="216"/>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Valuation allowance</w:t>
            </w:r>
          </w:p>
        </w:tc>
        <w:tc>
          <w:tcPr>
            <w:tcW w:w="3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 net of valuation allowance</w:t>
            </w:r>
          </w:p>
        </w:tc>
        <w:tc>
          <w:tcPr>
            <w:tcW w:w="37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796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09"/>
        </w:trPr>
        <w:tc>
          <w:tcPr>
            <w:tcW w:w="596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37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ROU assets</w:t>
            </w:r>
          </w:p>
        </w:tc>
        <w:tc>
          <w:tcPr>
            <w:tcW w:w="37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(331)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Land, property and equipment</w:t>
            </w:r>
          </w:p>
        </w:tc>
        <w:tc>
          <w:tcPr>
            <w:tcW w:w="3720" w:type="dxa"/>
            <w:vAlign w:val="bottom"/>
          </w:tcPr>
          <w:p>
            <w:pPr>
              <w:jc w:val="right"/>
              <w:ind w:right="159"/>
              <w:spacing w:after="0"/>
              <w:rPr>
                <w:sz w:val="20"/>
                <w:szCs w:val="20"/>
                <w:color w:val="auto"/>
              </w:rPr>
            </w:pPr>
            <w:r>
              <w:rPr>
                <w:rFonts w:ascii="Arial" w:cs="Arial" w:eastAsia="Arial" w:hAnsi="Arial"/>
                <w:sz w:val="16"/>
                <w:szCs w:val="16"/>
                <w:b w:val="1"/>
                <w:bCs w:val="1"/>
                <w:color w:val="auto"/>
              </w:rPr>
              <w:t>(230)</w:t>
            </w:r>
          </w:p>
        </w:tc>
        <w:tc>
          <w:tcPr>
            <w:tcW w:w="156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6"/>
        </w:trPr>
        <w:tc>
          <w:tcPr>
            <w:tcW w:w="59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Debt exchange premium</w:t>
            </w:r>
          </w:p>
        </w:tc>
        <w:tc>
          <w:tcPr>
            <w:tcW w:w="37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9"/>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3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(573)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r>
      <w:tr>
        <w:trPr>
          <w:trHeight w:val="210"/>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deferred tax assets</w:t>
            </w:r>
          </w:p>
        </w:tc>
        <w:tc>
          <w:tcPr>
            <w:tcW w:w="37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information on approximate net operating loss carryforwards for income tax purposes: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January 28,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29, 2022</w:t>
            </w: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53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$756</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1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w:t>
            </w:r>
          </w:p>
        </w:tc>
        <w:tc>
          <w:tcPr>
            <w:tcW w:w="5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26</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bl>
    <w:p>
      <w:pPr>
        <w:spacing w:after="0" w:line="238"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The net operating loss carryforwards are subject to certain statutory limitations of applicable state and foreign laws. If not utilized, a portion of our state and foreign net operating loss carryforwards will begin to expire in 2024 and 2033.</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January 28, 2023 and January 29, 2022, we believe there are certain foreign net operating loss carryforwards and deferred tax assets that will not be realized in the foreseeable future. As such, valuation allowances of $28 have been recorded as of January 28, 2023 and January 29, 2022. The valuation allowance had no change in 2022 and increased $4 in 2021.</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0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2022</w:t>
            </w: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 at beginning of year</w:t>
            </w:r>
          </w:p>
        </w:tc>
        <w:tc>
          <w:tcPr>
            <w:tcW w:w="300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$47</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Gross increase to tax positions in prior periods</w:t>
            </w:r>
          </w:p>
        </w:tc>
        <w:tc>
          <w:tcPr>
            <w:tcW w:w="3000" w:type="dxa"/>
            <w:vAlign w:val="bottom"/>
          </w:tcPr>
          <w:p>
            <w:pPr>
              <w:jc w:val="right"/>
              <w:ind w:right="679"/>
              <w:spacing w:after="0"/>
              <w:rPr>
                <w:sz w:val="20"/>
                <w:szCs w:val="20"/>
                <w:color w:val="auto"/>
              </w:rPr>
            </w:pPr>
            <w:r>
              <w:rPr>
                <w:rFonts w:ascii="Arial" w:cs="Arial" w:eastAsia="Arial" w:hAnsi="Arial"/>
                <w:sz w:val="16"/>
                <w:szCs w:val="16"/>
                <w:b w:val="1"/>
                <w:bCs w:val="1"/>
                <w:color w:val="auto"/>
              </w:rPr>
              <w:t>1</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11</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decrease to tax positions in prior periods</w:t>
            </w:r>
          </w:p>
        </w:tc>
        <w:tc>
          <w:tcPr>
            <w:tcW w:w="30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(6)</w:t>
            </w:r>
          </w:p>
        </w:tc>
        <w:tc>
          <w:tcPr>
            <w:tcW w:w="17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color w:val="auto"/>
              </w:rPr>
              <w:t>Gross increase to tax positions in current period</w:t>
            </w:r>
          </w:p>
        </w:tc>
        <w:tc>
          <w:tcPr>
            <w:tcW w:w="3000" w:type="dxa"/>
            <w:vAlign w:val="bottom"/>
          </w:tcPr>
          <w:p>
            <w:pPr>
              <w:jc w:val="right"/>
              <w:ind w:right="679"/>
              <w:spacing w:after="0"/>
              <w:rPr>
                <w:sz w:val="20"/>
                <w:szCs w:val="20"/>
                <w:color w:val="auto"/>
              </w:rPr>
            </w:pPr>
            <w:r>
              <w:rPr>
                <w:rFonts w:ascii="Arial" w:cs="Arial" w:eastAsia="Arial" w:hAnsi="Arial"/>
                <w:sz w:val="16"/>
                <w:szCs w:val="16"/>
                <w:b w:val="1"/>
                <w:bCs w:val="1"/>
                <w:color w:val="auto"/>
              </w:rPr>
              <w:t>7</w:t>
            </w:r>
          </w:p>
        </w:tc>
        <w:tc>
          <w:tcPr>
            <w:tcW w:w="1760" w:type="dxa"/>
            <w:vAlign w:val="bottom"/>
          </w:tcPr>
          <w:p>
            <w:pPr>
              <w:jc w:val="right"/>
              <w:ind w:right="679"/>
              <w:spacing w:after="0"/>
              <w:rPr>
                <w:sz w:val="20"/>
                <w:szCs w:val="20"/>
                <w:color w:val="auto"/>
              </w:rPr>
            </w:pPr>
            <w:r>
              <w:rPr>
                <w:rFonts w:ascii="Arial" w:cs="Arial" w:eastAsia="Arial" w:hAnsi="Arial"/>
                <w:sz w:val="16"/>
                <w:szCs w:val="16"/>
                <w:color w:val="auto"/>
              </w:rPr>
              <w:t>6</w:t>
            </w: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Settlements</w:t>
            </w:r>
          </w:p>
        </w:tc>
        <w:tc>
          <w:tcPr>
            <w:tcW w:w="30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(1)</w:t>
            </w:r>
          </w:p>
        </w:tc>
        <w:tc>
          <w:tcPr>
            <w:tcW w:w="176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Unrecognized tax benefit at end of year</w:t>
            </w:r>
          </w:p>
        </w:tc>
        <w:tc>
          <w:tcPr>
            <w:tcW w:w="30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$48</w:t>
            </w:r>
          </w:p>
        </w:tc>
        <w:tc>
          <w:tcPr>
            <w:tcW w:w="17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$47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the end of 2022 and 2021, $45 and $39 of the ending gross unrecognized tax benefit related to items which, if recognized, would affect the effective tax rate.</w:t>
      </w:r>
    </w:p>
    <w:p>
      <w:pPr>
        <w:spacing w:after="0" w:line="9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was no material expense for interest and penalties in 2022, 2021 and 2020. At the end of 2022 and 2021, our liability for interest and penalties was $8 and $7.</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file income tax returns in the U.S. and a limited number of foreign jurisdictions. With few exceptions, we are no longer subject to federal, state and local, or non-U.S. income tax examinations for years before 2013. As of January 28, 2023, we believe it is reasonably possible unrecognized tax benefits related to federal, state and local tax positions may decrease $30 by February 3, 2024, due to the completion of examinations and the expiration of various statutes of limitations.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Our estimated total purchase obligations, which primarily consist of inventory purchase orders and capital expenditure commitments, were $1,780 as of January 28, 2023. These purchase obligations are primarily payable within one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EPS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3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 (loss)</w:t>
            </w:r>
          </w:p>
        </w:tc>
        <w:tc>
          <w:tcPr>
            <w:tcW w:w="30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$245</w:t>
            </w:r>
          </w:p>
        </w:tc>
        <w:tc>
          <w:tcPr>
            <w:tcW w:w="17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$178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36"/>
        </w:trPr>
        <w:tc>
          <w:tcPr>
            <w:tcW w:w="5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0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160.1</w:t>
            </w:r>
          </w:p>
        </w:tc>
        <w:tc>
          <w:tcPr>
            <w:tcW w:w="17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159.0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1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0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w:t>
            </w:r>
          </w:p>
        </w:tc>
        <w:tc>
          <w:tcPr>
            <w:tcW w:w="17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08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162.1</w:t>
            </w:r>
          </w:p>
        </w:tc>
        <w:tc>
          <w:tcPr>
            <w:tcW w:w="174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162.5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r>
      <w:tr>
        <w:trPr>
          <w:trHeight w:val="236"/>
        </w:trPr>
        <w:tc>
          <w:tcPr>
            <w:tcW w:w="5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308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$1.53</w:t>
            </w:r>
          </w:p>
        </w:tc>
        <w:tc>
          <w:tcPr>
            <w:tcW w:w="17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6"/>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3080" w:type="dxa"/>
            <w:vAlign w:val="bottom"/>
          </w:tcPr>
          <w:p>
            <w:pPr>
              <w:jc w:val="right"/>
              <w:ind w:right="619"/>
              <w:spacing w:after="0"/>
              <w:rPr>
                <w:sz w:val="20"/>
                <w:szCs w:val="20"/>
                <w:color w:val="auto"/>
              </w:rPr>
            </w:pPr>
            <w:r>
              <w:rPr>
                <w:rFonts w:ascii="Arial" w:cs="Arial" w:eastAsia="Arial" w:hAnsi="Arial"/>
                <w:sz w:val="16"/>
                <w:szCs w:val="16"/>
                <w:b w:val="1"/>
                <w:bCs w:val="1"/>
                <w:color w:val="auto"/>
              </w:rPr>
              <w:t>$1.51</w:t>
            </w:r>
          </w:p>
        </w:tc>
        <w:tc>
          <w:tcPr>
            <w:tcW w:w="1740" w:type="dxa"/>
            <w:vAlign w:val="bottom"/>
          </w:tcPr>
          <w:p>
            <w:pPr>
              <w:jc w:val="right"/>
              <w:ind w:right="599"/>
              <w:spacing w:after="0"/>
              <w:rPr>
                <w:sz w:val="20"/>
                <w:szCs w:val="20"/>
                <w:color w:val="auto"/>
              </w:rPr>
            </w:pPr>
            <w:r>
              <w:rPr>
                <w:rFonts w:ascii="Arial" w:cs="Arial" w:eastAsia="Arial" w:hAnsi="Arial"/>
                <w:sz w:val="16"/>
                <w:szCs w:val="16"/>
                <w:color w:val="auto"/>
              </w:rPr>
              <w:t>$1.10</w:t>
            </w:r>
          </w:p>
        </w:tc>
        <w:tc>
          <w:tcPr>
            <w:tcW w:w="1160" w:type="dxa"/>
            <w:vAlign w:val="bottom"/>
          </w:tcPr>
          <w:p>
            <w:pPr>
              <w:jc w:val="right"/>
              <w:spacing w:after="0"/>
              <w:rPr>
                <w:sz w:val="20"/>
                <w:szCs w:val="20"/>
                <w:color w:val="auto"/>
              </w:rPr>
            </w:pPr>
            <w:r>
              <w:rPr>
                <w:rFonts w:ascii="Arial" w:cs="Arial" w:eastAsia="Arial" w:hAnsi="Arial"/>
                <w:sz w:val="16"/>
                <w:szCs w:val="16"/>
                <w:color w:val="auto"/>
              </w:rPr>
              <w:t>($4.39)</w:t>
            </w:r>
          </w:p>
        </w:tc>
      </w:tr>
      <w:tr>
        <w:trPr>
          <w:trHeight w:val="257"/>
        </w:trPr>
        <w:tc>
          <w:tcPr>
            <w:tcW w:w="526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16"/>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Anti-dilutive common stock equivalents</w:t>
            </w:r>
          </w:p>
        </w:tc>
        <w:tc>
          <w:tcPr>
            <w:tcW w:w="30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8.7</w:t>
            </w:r>
          </w:p>
        </w:tc>
        <w:tc>
          <w:tcPr>
            <w:tcW w:w="17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8.1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896"/>
        </w:trPr>
        <w:tc>
          <w:tcPr>
            <w:tcW w:w="5260" w:type="dxa"/>
            <w:vAlign w:val="bottom"/>
          </w:tcPr>
          <w:p>
            <w:pPr>
              <w:spacing w:after="0"/>
              <w:rPr>
                <w:sz w:val="20"/>
                <w:szCs w:val="20"/>
                <w:color w:val="auto"/>
              </w:rPr>
            </w:pPr>
            <w:r>
              <w:rPr>
                <w:rFonts w:ascii="Arial" w:cs="Arial" w:eastAsia="Arial" w:hAnsi="Arial"/>
                <w:sz w:val="16"/>
                <w:szCs w:val="16"/>
                <w:color w:val="auto"/>
              </w:rPr>
              <w:t>64</w:t>
            </w:r>
          </w:p>
        </w:tc>
        <w:tc>
          <w:tcPr>
            <w:tcW w:w="3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4"/>
        </w:trPr>
        <w:tc>
          <w:tcPr>
            <w:tcW w:w="5260" w:type="dxa"/>
            <w:vAlign w:val="bottom"/>
            <w:tcBorders>
              <w:bottom w:val="single" w:sz="8" w:color="9A9A9A"/>
            </w:tcBorders>
          </w:tcPr>
          <w:p>
            <w:pPr>
              <w:spacing w:after="0"/>
              <w:rPr>
                <w:sz w:val="9"/>
                <w:szCs w:val="9"/>
                <w:color w:val="auto"/>
              </w:rPr>
            </w:pPr>
          </w:p>
        </w:tc>
        <w:tc>
          <w:tcPr>
            <w:tcW w:w="30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continually monitor and review our segment reporting structure in accordance with authoritative guidance to determine whether any changes have occurred that would impact our reportable segments. We have one reportable “Retail” segment to align with how management operates and evaluates the results of our operations. Our principal executive officer, who is our chief operating decision maker, reviews results on a total Company, Nordstrom and Nordstrom Rack basis and uses EBIT as a measure of profitability.</w:t>
      </w:r>
    </w:p>
    <w:p>
      <w:pPr>
        <w:spacing w:after="0" w:line="12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Our Retail reportable segment aggregates our two operating segments, Nordstrom and Nordstrom Rack. As of January 28, 2023, Nordstrom consists of Nordstrom.com, Nordstrom U.S. stores, Canada, which includes Nordstrom.ca, Nordstrom Canadian stores and Nordstrom Rack Canadian stores, Nordstrom Local, ASOS | Nordstrom and, prior to October 2022, TrunkClub.com. Nordstrom Rack consists of NordstromRack.com, Nordstrom Rack U.S. stores, Last Chance clearance stores and, prior to the first quarter of 2021, HauteLook.com.</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Nordstrom and Nordstrom Rack operating segments both generate revenue by offering customers an extensive selection of high-quality brand-name and private label merchandise for women, men, young adults and children, with a focus on apparel, shoes, beauty, accessories and home goods. We continue to focus on omni-channel initiatives by integrating the operations, merchandising and technology necessary to be consistent with our customers’ expectations of a seamless shopping experience regardless of channel or business. Nordstrom and Nordstrom Rack have historically had, and are expected to continue to have, similar economic characteristics and long-term financial performance. They also have other similar qualitative characteristics, including suppliers, method of distribution, type of customer and regulatory environment. Due to their similar qualitative and economic characteristics, we have aggregated our Nordstrom and Nordstrom Rack operating segments into a single reportable segment.</w:t>
      </w:r>
    </w:p>
    <w:p>
      <w:pPr>
        <w:spacing w:after="0" w:line="1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Amounts in the Corporate/Other column include unallocated corporate expenses and assets (including unallocated assets in corporate headquarters, consisting primarily of cash, land, buildings and equipment and deferred tax assets), inter-segment eliminations and other adjustments to segment results necessary for the presentation of consolidated financial results in accordance with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w:t>
      </w:r>
    </w:p>
    <w:p>
      <w:pPr>
        <w:spacing w:after="0" w:line="27" w:lineRule="exact"/>
        <w:rPr>
          <w:sz w:val="20"/>
          <w:szCs w:val="20"/>
          <w:color w:val="auto"/>
        </w:rPr>
      </w:pPr>
    </w:p>
    <w:p>
      <w:pPr>
        <w:jc w:val="both"/>
        <w:ind w:right="520"/>
        <w:spacing w:after="0" w:line="296" w:lineRule="auto"/>
        <w:rPr>
          <w:sz w:val="20"/>
          <w:szCs w:val="20"/>
          <w:color w:val="auto"/>
        </w:rPr>
      </w:pPr>
      <w:r>
        <w:rPr>
          <w:rFonts w:ascii="Arial" w:cs="Arial" w:eastAsia="Arial" w:hAnsi="Arial"/>
          <w:sz w:val="17"/>
          <w:szCs w:val="17"/>
          <w:color w:val="auto"/>
        </w:rPr>
        <w:t>We present our segment results for all years in the way that management views our results internally and the accounting policies of the operating segments are the same as those described in Note 1: Nature of Operations and Summary of Significant Accounting Policies.</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Retail</w:t>
            </w:r>
          </w:p>
        </w:tc>
        <w:tc>
          <w:tcPr>
            <w:tcW w:w="2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Corporate/Other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2022</w:t>
            </w: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60" w:type="dxa"/>
            <w:vAlign w:val="bottom"/>
          </w:tcPr>
          <w:p>
            <w:pPr>
              <w:jc w:val="right"/>
              <w:ind w:right="219"/>
              <w:spacing w:after="0"/>
              <w:rPr>
                <w:sz w:val="20"/>
                <w:szCs w:val="20"/>
                <w:color w:val="auto"/>
              </w:rPr>
            </w:pPr>
            <w:r>
              <w:rPr>
                <w:rFonts w:ascii="Arial" w:cs="Arial" w:eastAsia="Arial" w:hAnsi="Arial"/>
                <w:sz w:val="16"/>
                <w:szCs w:val="16"/>
                <w:b w:val="1"/>
                <w:bCs w:val="1"/>
                <w:color w:val="auto"/>
              </w:rPr>
              <w:t>$15,092</w:t>
            </w:r>
          </w:p>
        </w:tc>
        <w:tc>
          <w:tcPr>
            <w:tcW w:w="208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$15,092</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26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20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438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438</w:t>
            </w: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2660" w:type="dxa"/>
            <w:vAlign w:val="bottom"/>
          </w:tcPr>
          <w:p>
            <w:pPr>
              <w:jc w:val="right"/>
              <w:ind w:right="219"/>
              <w:spacing w:after="0"/>
              <w:rPr>
                <w:sz w:val="20"/>
                <w:szCs w:val="20"/>
                <w:color w:val="auto"/>
              </w:rPr>
            </w:pPr>
            <w:r>
              <w:rPr>
                <w:rFonts w:ascii="Arial" w:cs="Arial" w:eastAsia="Arial" w:hAnsi="Arial"/>
                <w:sz w:val="16"/>
                <w:szCs w:val="16"/>
                <w:b w:val="1"/>
                <w:bCs w:val="1"/>
                <w:color w:val="auto"/>
              </w:rPr>
              <w:t>719</w:t>
            </w:r>
          </w:p>
        </w:tc>
        <w:tc>
          <w:tcPr>
            <w:tcW w:w="2080" w:type="dxa"/>
            <w:vAlign w:val="bottom"/>
          </w:tcPr>
          <w:p>
            <w:pPr>
              <w:jc w:val="right"/>
              <w:ind w:right="499"/>
              <w:spacing w:after="0"/>
              <w:rPr>
                <w:sz w:val="20"/>
                <w:szCs w:val="20"/>
                <w:color w:val="auto"/>
              </w:rPr>
            </w:pPr>
            <w:r>
              <w:rPr>
                <w:rFonts w:ascii="Arial" w:cs="Arial" w:eastAsia="Arial" w:hAnsi="Arial"/>
                <w:sz w:val="16"/>
                <w:szCs w:val="16"/>
                <w:b w:val="1"/>
                <w:bCs w:val="1"/>
                <w:color w:val="auto"/>
              </w:rPr>
              <w:t>(254)</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465</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6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(154)</w:t>
            </w:r>
          </w:p>
        </w:tc>
        <w:tc>
          <w:tcPr>
            <w:tcW w:w="208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(319)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r>
      <w:tr>
        <w:trPr>
          <w:trHeight w:val="216"/>
        </w:trPr>
        <w:tc>
          <w:tcPr>
            <w:tcW w:w="52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60" w:type="dxa"/>
            <w:vAlign w:val="bottom"/>
          </w:tcPr>
          <w:p>
            <w:pPr>
              <w:jc w:val="right"/>
              <w:ind w:right="179"/>
              <w:spacing w:after="0"/>
              <w:rPr>
                <w:sz w:val="20"/>
                <w:szCs w:val="20"/>
                <w:color w:val="auto"/>
              </w:rPr>
            </w:pPr>
            <w:r>
              <w:rPr>
                <w:rFonts w:ascii="Arial" w:cs="Arial" w:eastAsia="Arial" w:hAnsi="Arial"/>
                <w:sz w:val="16"/>
                <w:szCs w:val="16"/>
                <w:b w:val="1"/>
                <w:bCs w:val="1"/>
                <w:color w:val="auto"/>
              </w:rPr>
              <w:t>(316)</w:t>
            </w:r>
          </w:p>
        </w:tc>
        <w:tc>
          <w:tcPr>
            <w:tcW w:w="2080" w:type="dxa"/>
            <w:vAlign w:val="bottom"/>
          </w:tcPr>
          <w:p>
            <w:pPr>
              <w:jc w:val="right"/>
              <w:ind w:right="499"/>
              <w:spacing w:after="0"/>
              <w:rPr>
                <w:sz w:val="20"/>
                <w:szCs w:val="20"/>
                <w:color w:val="auto"/>
              </w:rPr>
            </w:pPr>
            <w:r>
              <w:rPr>
                <w:rFonts w:ascii="Arial" w:cs="Arial" w:eastAsia="Arial" w:hAnsi="Arial"/>
                <w:sz w:val="16"/>
                <w:szCs w:val="16"/>
                <w:b w:val="1"/>
                <w:bCs w:val="1"/>
                <w:color w:val="auto"/>
              </w:rPr>
              <w:t>(288)</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(604)</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5,968</w:t>
            </w:r>
          </w:p>
        </w:tc>
        <w:tc>
          <w:tcPr>
            <w:tcW w:w="208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2,777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8,745</w:t>
            </w:r>
          </w:p>
        </w:tc>
      </w:tr>
      <w:tr>
        <w:trPr>
          <w:trHeight w:val="216"/>
        </w:trPr>
        <w:tc>
          <w:tcPr>
            <w:tcW w:w="5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2021</w:t>
            </w: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60" w:type="dxa"/>
            <w:vAlign w:val="bottom"/>
          </w:tcPr>
          <w:p>
            <w:pPr>
              <w:jc w:val="right"/>
              <w:ind w:right="219"/>
              <w:spacing w:after="0"/>
              <w:rPr>
                <w:sz w:val="20"/>
                <w:szCs w:val="20"/>
                <w:color w:val="auto"/>
              </w:rPr>
            </w:pPr>
            <w:r>
              <w:rPr>
                <w:rFonts w:ascii="Arial" w:cs="Arial" w:eastAsia="Arial" w:hAnsi="Arial"/>
                <w:sz w:val="16"/>
                <w:szCs w:val="16"/>
                <w:color w:val="auto"/>
              </w:rPr>
              <w:t>$14,402</w:t>
            </w:r>
          </w:p>
        </w:tc>
        <w:tc>
          <w:tcPr>
            <w:tcW w:w="20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$14,402</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26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387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Earnings (loss) before interest and income taxes</w:t>
            </w:r>
          </w:p>
        </w:tc>
        <w:tc>
          <w:tcPr>
            <w:tcW w:w="2660" w:type="dxa"/>
            <w:vAlign w:val="bottom"/>
          </w:tcPr>
          <w:p>
            <w:pPr>
              <w:jc w:val="right"/>
              <w:ind w:right="219"/>
              <w:spacing w:after="0"/>
              <w:rPr>
                <w:sz w:val="20"/>
                <w:szCs w:val="20"/>
                <w:color w:val="auto"/>
              </w:rPr>
            </w:pPr>
            <w:r>
              <w:rPr>
                <w:rFonts w:ascii="Arial" w:cs="Arial" w:eastAsia="Arial" w:hAnsi="Arial"/>
                <w:sz w:val="16"/>
                <w:szCs w:val="16"/>
                <w:color w:val="auto"/>
              </w:rPr>
              <w:t>687</w:t>
            </w:r>
          </w:p>
        </w:tc>
        <w:tc>
          <w:tcPr>
            <w:tcW w:w="2080" w:type="dxa"/>
            <w:vAlign w:val="bottom"/>
          </w:tcPr>
          <w:p>
            <w:pPr>
              <w:jc w:val="right"/>
              <w:ind w:right="499"/>
              <w:spacing w:after="0"/>
              <w:rPr>
                <w:sz w:val="20"/>
                <w:szCs w:val="20"/>
                <w:color w:val="auto"/>
              </w:rPr>
            </w:pPr>
            <w:r>
              <w:rPr>
                <w:rFonts w:ascii="Arial" w:cs="Arial" w:eastAsia="Arial" w:hAnsi="Arial"/>
                <w:sz w:val="16"/>
                <w:szCs w:val="16"/>
                <w:color w:val="auto"/>
              </w:rPr>
              <w:t>(195)</w:t>
            </w:r>
          </w:p>
        </w:tc>
        <w:tc>
          <w:tcPr>
            <w:tcW w:w="122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(218)</w:t>
            </w:r>
          </w:p>
        </w:tc>
        <w:tc>
          <w:tcPr>
            <w:tcW w:w="20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(288)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60" w:type="dxa"/>
            <w:vAlign w:val="bottom"/>
          </w:tcPr>
          <w:p>
            <w:pPr>
              <w:jc w:val="right"/>
              <w:ind w:right="179"/>
              <w:spacing w:after="0"/>
              <w:rPr>
                <w:sz w:val="20"/>
                <w:szCs w:val="20"/>
                <w:color w:val="auto"/>
              </w:rPr>
            </w:pPr>
            <w:r>
              <w:rPr>
                <w:rFonts w:ascii="Arial" w:cs="Arial" w:eastAsia="Arial" w:hAnsi="Arial"/>
                <w:sz w:val="16"/>
                <w:szCs w:val="16"/>
                <w:color w:val="auto"/>
              </w:rPr>
              <w:t>(350)</w:t>
            </w:r>
          </w:p>
        </w:tc>
        <w:tc>
          <w:tcPr>
            <w:tcW w:w="2080" w:type="dxa"/>
            <w:vAlign w:val="bottom"/>
          </w:tcPr>
          <w:p>
            <w:pPr>
              <w:jc w:val="right"/>
              <w:ind w:right="499"/>
              <w:spacing w:after="0"/>
              <w:rPr>
                <w:sz w:val="20"/>
                <w:szCs w:val="20"/>
                <w:color w:val="auto"/>
              </w:rPr>
            </w:pPr>
            <w:r>
              <w:rPr>
                <w:rFonts w:ascii="Arial" w:cs="Arial" w:eastAsia="Arial" w:hAnsi="Arial"/>
                <w:sz w:val="16"/>
                <w:szCs w:val="16"/>
                <w:color w:val="auto"/>
              </w:rPr>
              <w:t>(265)</w:t>
            </w:r>
          </w:p>
        </w:tc>
        <w:tc>
          <w:tcPr>
            <w:tcW w:w="122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6,244</w:t>
            </w:r>
          </w:p>
        </w:tc>
        <w:tc>
          <w:tcPr>
            <w:tcW w:w="20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2,625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w:t>
            </w:r>
          </w:p>
        </w:tc>
      </w:tr>
      <w:tr>
        <w:trPr>
          <w:trHeight w:val="216"/>
        </w:trPr>
        <w:tc>
          <w:tcPr>
            <w:tcW w:w="5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Fiscal year 2020</w:t>
            </w:r>
          </w:p>
        </w:tc>
        <w:tc>
          <w:tcPr>
            <w:tcW w:w="26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Net sales</w:t>
            </w:r>
          </w:p>
        </w:tc>
        <w:tc>
          <w:tcPr>
            <w:tcW w:w="2660" w:type="dxa"/>
            <w:vAlign w:val="bottom"/>
          </w:tcPr>
          <w:p>
            <w:pPr>
              <w:jc w:val="right"/>
              <w:ind w:right="219"/>
              <w:spacing w:after="0"/>
              <w:rPr>
                <w:sz w:val="20"/>
                <w:szCs w:val="20"/>
                <w:color w:val="auto"/>
              </w:rPr>
            </w:pPr>
            <w:r>
              <w:rPr>
                <w:rFonts w:ascii="Arial" w:cs="Arial" w:eastAsia="Arial" w:hAnsi="Arial"/>
                <w:sz w:val="16"/>
                <w:szCs w:val="16"/>
                <w:color w:val="auto"/>
              </w:rPr>
              <w:t>$10,357</w:t>
            </w:r>
          </w:p>
        </w:tc>
        <w:tc>
          <w:tcPr>
            <w:tcW w:w="20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$10,357</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 revenues, net</w:t>
            </w:r>
          </w:p>
        </w:tc>
        <w:tc>
          <w:tcPr>
            <w:tcW w:w="26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358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Loss before interest and income taxes</w:t>
            </w:r>
          </w:p>
        </w:tc>
        <w:tc>
          <w:tcPr>
            <w:tcW w:w="2660" w:type="dxa"/>
            <w:vAlign w:val="bottom"/>
          </w:tcPr>
          <w:p>
            <w:pPr>
              <w:jc w:val="right"/>
              <w:ind w:right="179"/>
              <w:spacing w:after="0"/>
              <w:rPr>
                <w:sz w:val="20"/>
                <w:szCs w:val="20"/>
                <w:color w:val="auto"/>
              </w:rPr>
            </w:pPr>
            <w:r>
              <w:rPr>
                <w:rFonts w:ascii="Arial" w:cs="Arial" w:eastAsia="Arial" w:hAnsi="Arial"/>
                <w:sz w:val="16"/>
                <w:szCs w:val="16"/>
                <w:color w:val="auto"/>
              </w:rPr>
              <w:t>(924)</w:t>
            </w:r>
          </w:p>
        </w:tc>
        <w:tc>
          <w:tcPr>
            <w:tcW w:w="2080" w:type="dxa"/>
            <w:vAlign w:val="bottom"/>
          </w:tcPr>
          <w:p>
            <w:pPr>
              <w:jc w:val="right"/>
              <w:ind w:right="499"/>
              <w:spacing w:after="0"/>
              <w:rPr>
                <w:sz w:val="20"/>
                <w:szCs w:val="20"/>
                <w:color w:val="auto"/>
              </w:rPr>
            </w:pPr>
            <w:r>
              <w:rPr>
                <w:rFonts w:ascii="Arial" w:cs="Arial" w:eastAsia="Arial" w:hAnsi="Arial"/>
                <w:sz w:val="16"/>
                <w:szCs w:val="16"/>
                <w:color w:val="auto"/>
              </w:rPr>
              <w:t>(123)</w:t>
            </w:r>
          </w:p>
        </w:tc>
        <w:tc>
          <w:tcPr>
            <w:tcW w:w="122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1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6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(175)</w:t>
            </w:r>
          </w:p>
        </w:tc>
        <w:tc>
          <w:tcPr>
            <w:tcW w:w="20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(210)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60" w:type="dxa"/>
            <w:vAlign w:val="bottom"/>
          </w:tcPr>
          <w:p>
            <w:pPr>
              <w:jc w:val="right"/>
              <w:ind w:right="179"/>
              <w:spacing w:after="0"/>
              <w:rPr>
                <w:sz w:val="20"/>
                <w:szCs w:val="20"/>
                <w:color w:val="auto"/>
              </w:rPr>
            </w:pPr>
            <w:r>
              <w:rPr>
                <w:rFonts w:ascii="Arial" w:cs="Arial" w:eastAsia="Arial" w:hAnsi="Arial"/>
                <w:sz w:val="16"/>
                <w:szCs w:val="16"/>
                <w:color w:val="auto"/>
              </w:rPr>
              <w:t>(404)</w:t>
            </w:r>
          </w:p>
        </w:tc>
        <w:tc>
          <w:tcPr>
            <w:tcW w:w="2080" w:type="dxa"/>
            <w:vAlign w:val="bottom"/>
          </w:tcPr>
          <w:p>
            <w:pPr>
              <w:jc w:val="right"/>
              <w:ind w:right="499"/>
              <w:spacing w:after="0"/>
              <w:rPr>
                <w:sz w:val="20"/>
                <w:szCs w:val="20"/>
                <w:color w:val="auto"/>
              </w:rPr>
            </w:pPr>
            <w:r>
              <w:rPr>
                <w:rFonts w:ascii="Arial" w:cs="Arial" w:eastAsia="Arial" w:hAnsi="Arial"/>
                <w:sz w:val="16"/>
                <w:szCs w:val="16"/>
                <w:color w:val="auto"/>
              </w:rPr>
              <w:t>(267)</w:t>
            </w:r>
          </w:p>
        </w:tc>
        <w:tc>
          <w:tcPr>
            <w:tcW w:w="122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16"/>
        </w:trPr>
        <w:tc>
          <w:tcPr>
            <w:tcW w:w="5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6,100</w:t>
            </w:r>
          </w:p>
        </w:tc>
        <w:tc>
          <w:tcPr>
            <w:tcW w:w="208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3,438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9,538</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about disaggregated revenues, see Note 2: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Wind-down of Business Operations in Canada</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2, 2023, as part of our initiatives to drive long-term profitable growth and enhance shareholder value, and after careful consideration of all reasonably available options, we announced the decision to discontinue support for Nordstrom Canada’s operations. Accordingly, Nordstrom Canada has commenced a wind-down of its business operations, obtaining an Initial Order from the Ontario Superior Court of Justice under the CCAA on March 2, 2023 to facilitate the wind-down in an orderly fashion. Nordstrom Canada intends to wind down its Nordstrom and Nordstrom Rack stores across Canada, with the help of a third-party liquidator, and its Canadian ecommerce platform. The ecommerce platform ceased operations on March 2, 2023. The in-store wind-down is anticipated to be completed by late June 2023.</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this filing, we expect to deconsolidate Nordstrom Canada as of March 2, 2023. We expect to incur pre-tax charges of approximately $300 to $350 related to the wind-down in the first quarter of 2023, driven primarily by the write-down of our investment in Nordstrom Canada. Given the early stage of the exit activities, our estimates of losses are based on currently available information and our assessment of the validity of certain claims. These estimates may change as new information becomes available and it is reasonably possible that we may incur a material loss in excess of the estimated amounts.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Revolver Agreement</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March 1, 2023, in contemplation of a wind-down of Nordstrom Canada, we entered into an amendment to the Revolver originally dated May 6, 2022. Prior to this amendment, Nordstrom Canada Retail, Inc. was a loan party under the Revolver and the obligations under the Revolver were secured, in part, by the assets of this subsidiary. As a result of this amendment, Nordstrom Canada Retail, Inc. has been removed as a loan party and obligations under the Revolver will no longer be secured by these assets. In addition, this amendment excludes as subsidiaries or affiliates all Nordstrom Canada entities and carves out certain CCAA-related expenses and obligations from financial covenants under the Revolver.</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ind w:right="24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On October 18, 2022, we filed an </w:t>
      </w:r>
      <w:hyperlink r:id="rId83">
        <w:r>
          <w:rPr>
            <w:rFonts w:ascii="Arial" w:cs="Arial" w:eastAsia="Arial" w:hAnsi="Arial"/>
            <w:sz w:val="17"/>
            <w:szCs w:val="17"/>
            <w:u w:val="single" w:color="auto"/>
            <w:color w:val="0000FF"/>
          </w:rPr>
          <w:t>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announcing the departure of Anne L. Bramman as an officer, employee and the Company’s principal financial officer for the purposes of the Exchange Act. Her last day with the Company was December 2, 2022. We do not believe that the announcement of Ms. Bramman’s resignation has materially affected, or is reasonably likely to materially affect, our internal control over financial reporting. Michael W. Maher, our Chief Accounting Officer, is serving as our interim principal financial officer upon Ms. Bramman’s departure. Our Chief Executive Officer, Erik B. Nordstrom, serves as our principal executive officer for purposes of the Exchange Act.</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Under the supervision and with the participation of management, including our principal executive officer and principal financial officer, we have performed an evaluation of the design and effectiveness of our disclosure controls and procedures as of the last day of the period covered by this report.</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upon that evaluation, our principal executive officer and principal financial officer concluded that our disclosure controls and procedures were effective. Disclosure controls and procedures are defined by Rules 13a-15(e) and 15d-15(e) under the Exchange Act as controls and other procedures that are designed to ensure that information required to be disclosed in the reports that we file or submit under the Exchange Act is recorded, processed, summarized and reported within the time periods specified within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is defined in the Exchange Act. These internal controls are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Management conducted an evaluation of the effectiveness of our internal control over financial reporting based on the framework and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management concluded that the Company’s internal control over financial reporting was effective as of January 28, 2023.</w:t>
      </w:r>
    </w:p>
    <w:p>
      <w:pPr>
        <w:spacing w:after="0" w:line="122"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Deloitte &amp; Touche LLP, an independent registered public accounting firm, was retained to audit our Consolidated Financial Statements and the effectiveness of our internal control over financial reporting. They have issued an attestation report on our internal control over financial reporting as of January 28, 2023, which is included herein.</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5100"/>
        <w:spacing w:after="0" w:line="44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Nordstrom,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 xml:space="preserve">We have audited the internal control over financial reporting of Nordstrom, Inc. and subsidiaries (the “Company”) as of January 28, 2023,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28, 2023,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28, 2023, of the Company and our report dated March 10, 2023, expressed an unqualified opinion on those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2023 Annual Meeting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Governance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Qualifications, Experience, and Nominating Process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Delinquent Section 16(a) Reports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Requirements and Deadlines for Submission of Proxy Proposals, Nomination of Directors, and Other Business of Shareholders</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certifications of our Chief Executive Officer and Chief Financial Officer required pursuant to Sections 302 and 906 of the Sarbanes-Oxley Act of 2002 are included as exhibits to this 2022 Annual Report and were included as exhibits to each of our quarterly reports on Form 10-Q. Our Chief Executive Officer certified to the New York Stock Exchange (“NYSE”) on June 16, 2022, pursuant to Section 303A.12(a) of the NYSE’s listing standards, that he was not aware of any violation by the Company of the NYSE’s corporate governance listing standards as of that date.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2023 Annual Meeting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of Executive Officers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Compensation and Stock Ownership Guidelines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Committee Interlocks and Insider Participation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Compensation, People and Culture Committee Report</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12. Security Ownership of Certain Beneficial Owners and Management and Related Shareholder Matters.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2023 Annual Meeting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Ownership of Certain Beneficial Owners and Management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Compensation Plans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under this item is included in the following sections of our Proxy Statement for our 2023 Annual Meeting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sections of which are incorporated by reference herein and will be filed within 120 days after the end of our fiscal year: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Governance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Relationships and Related Transactions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Deloitte &amp; Touche LLP, Seattle, Washington, Auditor ID: 34.</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The information required under this item is included in the </w:t>
      </w:r>
      <w:r>
        <w:rPr>
          <w:rFonts w:ascii="Arial" w:cs="Arial" w:eastAsia="Arial" w:hAnsi="Arial"/>
          <w:sz w:val="18"/>
          <w:szCs w:val="18"/>
          <w:i w:val="1"/>
          <w:iCs w:val="1"/>
          <w:color w:val="auto"/>
        </w:rPr>
        <w:t>Ratification of the Appointment of Independent Registered Public Accounting Firm</w:t>
      </w:r>
      <w:r>
        <w:rPr>
          <w:rFonts w:ascii="Arial" w:cs="Arial" w:eastAsia="Arial" w:hAnsi="Arial"/>
          <w:sz w:val="18"/>
          <w:szCs w:val="18"/>
          <w:color w:val="auto"/>
        </w:rPr>
        <w:t xml:space="preserve"> section of our Proxy Statement for our 2023 Annual Meeting of Shareholders, the section of which is incorporated by reference herein and will be filed within 120 days after the end of our fiscal year.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8500" w:type="dxa"/>
            <w:vAlign w:val="bottom"/>
          </w:tcPr>
          <w:p>
            <w:pPr>
              <w:ind w:left="5200"/>
              <w:spacing w:after="0"/>
              <w:rPr>
                <w:sz w:val="20"/>
                <w:szCs w:val="20"/>
                <w:color w:val="auto"/>
              </w:rPr>
            </w:pPr>
            <w:r>
              <w:rPr>
                <w:rFonts w:ascii="Arial" w:cs="Arial" w:eastAsia="Arial" w:hAnsi="Arial"/>
                <w:sz w:val="22"/>
                <w:szCs w:val="22"/>
                <w:b w:val="1"/>
                <w:bCs w:val="1"/>
                <w:color w:val="auto"/>
              </w:rPr>
              <w:t>PART IV</w:t>
            </w: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8500" w:type="dxa"/>
            <w:vAlign w:val="bottom"/>
          </w:tcPr>
          <w:p>
            <w:pPr>
              <w:spacing w:after="0"/>
              <w:rPr>
                <w:sz w:val="20"/>
                <w:szCs w:val="20"/>
                <w:color w:val="auto"/>
              </w:rPr>
            </w:pPr>
            <w:r>
              <w:rPr>
                <w:rFonts w:ascii="Arial" w:cs="Arial" w:eastAsia="Arial" w:hAnsi="Arial"/>
                <w:sz w:val="22"/>
                <w:szCs w:val="22"/>
                <w:b w:val="1"/>
                <w:bCs w:val="1"/>
                <w:color w:val="auto"/>
              </w:rPr>
              <w:t>Item 15. Exhibit and Financial Statement Schedules.</w:t>
            </w: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8500" w:type="dxa"/>
            <w:vAlign w:val="bottom"/>
          </w:tcPr>
          <w:p>
            <w:pPr>
              <w:spacing w:after="0"/>
              <w:rPr>
                <w:sz w:val="20"/>
                <w:szCs w:val="20"/>
                <w:color w:val="auto"/>
              </w:rPr>
            </w:pPr>
            <w:r>
              <w:rPr>
                <w:rFonts w:ascii="Arial" w:cs="Arial" w:eastAsia="Arial" w:hAnsi="Arial"/>
                <w:sz w:val="18"/>
                <w:szCs w:val="18"/>
                <w:color w:val="auto"/>
              </w:rPr>
              <w:t>The following information required under this item is filed as part of this report:</w:t>
            </w:r>
          </w:p>
        </w:tc>
        <w:tc>
          <w:tcPr>
            <w:tcW w:w="2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9"/>
        </w:trPr>
        <w:tc>
          <w:tcPr>
            <w:tcW w:w="8500" w:type="dxa"/>
            <w:vAlign w:val="bottom"/>
          </w:tcPr>
          <w:p>
            <w:pPr>
              <w:spacing w:after="0"/>
              <w:rPr>
                <w:sz w:val="20"/>
                <w:szCs w:val="20"/>
                <w:color w:val="auto"/>
              </w:rPr>
            </w:pPr>
          </w:p>
        </w:tc>
        <w:tc>
          <w:tcPr>
            <w:tcW w:w="272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(a)1. FINANCIAL STATEMENTS</w:t>
            </w:r>
          </w:p>
        </w:tc>
        <w:tc>
          <w:tcPr>
            <w:tcW w:w="2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76"/>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Report of Independent Registered Public Accounting Firm</w:t>
            </w:r>
          </w:p>
        </w:tc>
        <w:tc>
          <w:tcPr>
            <w:tcW w:w="2700" w:type="dxa"/>
            <w:vAlign w:val="bottom"/>
            <w:gridSpan w:val="2"/>
          </w:tcPr>
          <w:p>
            <w:pPr>
              <w:jc w:val="right"/>
              <w:spacing w:after="0" w:line="175" w:lineRule="exact"/>
              <w:rPr>
                <w:sz w:val="20"/>
                <w:szCs w:val="20"/>
                <w:color w:val="auto"/>
              </w:rPr>
            </w:pPr>
            <w:r>
              <w:rPr>
                <w:rFonts w:ascii="Arial" w:cs="Arial" w:eastAsia="Arial" w:hAnsi="Arial"/>
                <w:sz w:val="16"/>
                <w:szCs w:val="16"/>
                <w:color w:val="0000FF"/>
              </w:rPr>
              <w:t>40</w:t>
            </w:r>
          </w:p>
        </w:tc>
        <w:tc>
          <w:tcPr>
            <w:tcW w:w="20" w:type="dxa"/>
            <w:vAlign w:val="bottom"/>
          </w:tcPr>
          <w:p>
            <w:pPr>
              <w:spacing w:after="0"/>
              <w:rPr>
                <w:sz w:val="15"/>
                <w:szCs w:val="15"/>
                <w:color w:val="auto"/>
              </w:rPr>
            </w:pPr>
          </w:p>
        </w:tc>
      </w:tr>
      <w:tr>
        <w:trPr>
          <w:trHeight w:val="20"/>
        </w:trPr>
        <w:tc>
          <w:tcPr>
            <w:tcW w:w="8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Consolidated Statements of Earnings</w:t>
            </w:r>
          </w:p>
        </w:tc>
        <w:tc>
          <w:tcPr>
            <w:tcW w:w="27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rPr>
              <w:t>42</w:t>
            </w:r>
          </w:p>
        </w:tc>
        <w:tc>
          <w:tcPr>
            <w:tcW w:w="20" w:type="dxa"/>
            <w:vAlign w:val="bottom"/>
            <w:shd w:val="clear" w:color="auto" w:fill="CCEEFF"/>
          </w:tcPr>
          <w:p>
            <w:pPr>
              <w:spacing w:after="0"/>
              <w:rPr>
                <w:sz w:val="15"/>
                <w:szCs w:val="15"/>
                <w:color w:val="auto"/>
              </w:rPr>
            </w:pPr>
          </w:p>
        </w:tc>
      </w:tr>
      <w:tr>
        <w:trPr>
          <w:trHeight w:val="20"/>
        </w:trPr>
        <w:tc>
          <w:tcPr>
            <w:tcW w:w="85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Consolidated Statements of Comprehensive Earnings</w:t>
            </w:r>
          </w:p>
        </w:tc>
        <w:tc>
          <w:tcPr>
            <w:tcW w:w="2700" w:type="dxa"/>
            <w:vAlign w:val="bottom"/>
            <w:gridSpan w:val="2"/>
          </w:tcPr>
          <w:p>
            <w:pPr>
              <w:jc w:val="right"/>
              <w:spacing w:after="0" w:line="175" w:lineRule="exact"/>
              <w:rPr>
                <w:sz w:val="20"/>
                <w:szCs w:val="20"/>
                <w:color w:val="auto"/>
              </w:rPr>
            </w:pPr>
            <w:r>
              <w:rPr>
                <w:rFonts w:ascii="Arial" w:cs="Arial" w:eastAsia="Arial" w:hAnsi="Arial"/>
                <w:sz w:val="16"/>
                <w:szCs w:val="16"/>
                <w:color w:val="0000FF"/>
              </w:rPr>
              <w:t>42</w:t>
            </w:r>
          </w:p>
        </w:tc>
        <w:tc>
          <w:tcPr>
            <w:tcW w:w="20" w:type="dxa"/>
            <w:vAlign w:val="bottom"/>
          </w:tcPr>
          <w:p>
            <w:pPr>
              <w:spacing w:after="0"/>
              <w:rPr>
                <w:sz w:val="15"/>
                <w:szCs w:val="15"/>
                <w:color w:val="auto"/>
              </w:rPr>
            </w:pPr>
          </w:p>
        </w:tc>
      </w:tr>
      <w:tr>
        <w:trPr>
          <w:trHeight w:val="20"/>
        </w:trPr>
        <w:tc>
          <w:tcPr>
            <w:tcW w:w="8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Consolidated Balance Sheets</w:t>
            </w:r>
          </w:p>
        </w:tc>
        <w:tc>
          <w:tcPr>
            <w:tcW w:w="27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rPr>
              <w:t>43</w:t>
            </w:r>
          </w:p>
        </w:tc>
        <w:tc>
          <w:tcPr>
            <w:tcW w:w="20" w:type="dxa"/>
            <w:vAlign w:val="bottom"/>
            <w:shd w:val="clear" w:color="auto" w:fill="CCEEFF"/>
          </w:tcPr>
          <w:p>
            <w:pPr>
              <w:spacing w:after="0"/>
              <w:rPr>
                <w:sz w:val="15"/>
                <w:szCs w:val="15"/>
                <w:color w:val="auto"/>
              </w:rPr>
            </w:pPr>
          </w:p>
        </w:tc>
      </w:tr>
      <w:tr>
        <w:trPr>
          <w:trHeight w:val="21"/>
        </w:trPr>
        <w:tc>
          <w:tcPr>
            <w:tcW w:w="85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Consolidated Statements of Shareholders’ Equity</w:t>
            </w:r>
          </w:p>
        </w:tc>
        <w:tc>
          <w:tcPr>
            <w:tcW w:w="2700" w:type="dxa"/>
            <w:vAlign w:val="bottom"/>
            <w:gridSpan w:val="2"/>
          </w:tcPr>
          <w:p>
            <w:pPr>
              <w:jc w:val="right"/>
              <w:spacing w:after="0" w:line="175" w:lineRule="exact"/>
              <w:rPr>
                <w:sz w:val="20"/>
                <w:szCs w:val="20"/>
                <w:color w:val="auto"/>
              </w:rPr>
            </w:pPr>
            <w:r>
              <w:rPr>
                <w:rFonts w:ascii="Arial" w:cs="Arial" w:eastAsia="Arial" w:hAnsi="Arial"/>
                <w:sz w:val="16"/>
                <w:szCs w:val="16"/>
                <w:color w:val="0000FF"/>
              </w:rPr>
              <w:t>44</w:t>
            </w:r>
          </w:p>
        </w:tc>
        <w:tc>
          <w:tcPr>
            <w:tcW w:w="20" w:type="dxa"/>
            <w:vAlign w:val="bottom"/>
          </w:tcPr>
          <w:p>
            <w:pPr>
              <w:spacing w:after="0"/>
              <w:rPr>
                <w:sz w:val="15"/>
                <w:szCs w:val="15"/>
                <w:color w:val="auto"/>
              </w:rPr>
            </w:pPr>
          </w:p>
        </w:tc>
      </w:tr>
      <w:tr>
        <w:trPr>
          <w:trHeight w:val="21"/>
        </w:trPr>
        <w:tc>
          <w:tcPr>
            <w:tcW w:w="8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Consolidated Statements of Cash Flows</w:t>
            </w:r>
          </w:p>
        </w:tc>
        <w:tc>
          <w:tcPr>
            <w:tcW w:w="27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0000FF"/>
              </w:rPr>
              <w:t>45</w:t>
            </w:r>
          </w:p>
        </w:tc>
        <w:tc>
          <w:tcPr>
            <w:tcW w:w="20" w:type="dxa"/>
            <w:vAlign w:val="bottom"/>
            <w:shd w:val="clear" w:color="auto" w:fill="CCEEFF"/>
          </w:tcPr>
          <w:p>
            <w:pPr>
              <w:spacing w:after="0"/>
              <w:rPr>
                <w:sz w:val="15"/>
                <w:szCs w:val="15"/>
                <w:color w:val="auto"/>
              </w:rPr>
            </w:pPr>
          </w:p>
        </w:tc>
      </w:tr>
      <w:tr>
        <w:trPr>
          <w:trHeight w:val="21"/>
        </w:trPr>
        <w:tc>
          <w:tcPr>
            <w:tcW w:w="850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500" w:type="dxa"/>
            <w:vAlign w:val="bottom"/>
          </w:tcPr>
          <w:p>
            <w:pPr>
              <w:ind w:left="360"/>
              <w:spacing w:after="0" w:line="175" w:lineRule="exact"/>
              <w:rPr>
                <w:sz w:val="20"/>
                <w:szCs w:val="20"/>
                <w:color w:val="auto"/>
              </w:rPr>
            </w:pPr>
            <w:r>
              <w:rPr>
                <w:rFonts w:ascii="Arial" w:cs="Arial" w:eastAsia="Arial" w:hAnsi="Arial"/>
                <w:sz w:val="16"/>
                <w:szCs w:val="16"/>
                <w:color w:val="auto"/>
              </w:rPr>
              <w:t>Management’s Report on Internal Control Over Financial Reporting</w:t>
            </w:r>
          </w:p>
        </w:tc>
        <w:tc>
          <w:tcPr>
            <w:tcW w:w="2700" w:type="dxa"/>
            <w:vAlign w:val="bottom"/>
            <w:gridSpan w:val="2"/>
          </w:tcPr>
          <w:p>
            <w:pPr>
              <w:jc w:val="right"/>
              <w:spacing w:after="0" w:line="175" w:lineRule="exact"/>
              <w:rPr>
                <w:sz w:val="20"/>
                <w:szCs w:val="20"/>
                <w:color w:val="auto"/>
              </w:rPr>
            </w:pPr>
            <w:r>
              <w:rPr>
                <w:rFonts w:ascii="Arial" w:cs="Arial" w:eastAsia="Arial" w:hAnsi="Arial"/>
                <w:sz w:val="16"/>
                <w:szCs w:val="16"/>
                <w:color w:val="0E32E1"/>
              </w:rPr>
              <w:t>67</w:t>
            </w:r>
          </w:p>
        </w:tc>
        <w:tc>
          <w:tcPr>
            <w:tcW w:w="20" w:type="dxa"/>
            <w:vAlign w:val="bottom"/>
          </w:tcPr>
          <w:p>
            <w:pPr>
              <w:spacing w:after="0"/>
              <w:rPr>
                <w:sz w:val="15"/>
                <w:szCs w:val="15"/>
                <w:color w:val="auto"/>
              </w:rPr>
            </w:pPr>
          </w:p>
        </w:tc>
      </w:tr>
      <w:tr>
        <w:trPr>
          <w:trHeight w:val="20"/>
        </w:trPr>
        <w:tc>
          <w:tcPr>
            <w:tcW w:w="8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500" w:type="dxa"/>
            <w:vAlign w:val="bottom"/>
            <w:shd w:val="clear" w:color="auto" w:fill="CCEEFF"/>
          </w:tcPr>
          <w:p>
            <w:pPr>
              <w:ind w:left="360"/>
              <w:spacing w:after="0" w:line="175" w:lineRule="exact"/>
              <w:rPr>
                <w:sz w:val="20"/>
                <w:szCs w:val="20"/>
                <w:color w:val="auto"/>
              </w:rPr>
            </w:pPr>
            <w:r>
              <w:rPr>
                <w:rFonts w:ascii="Arial" w:cs="Arial" w:eastAsia="Arial" w:hAnsi="Arial"/>
                <w:sz w:val="16"/>
                <w:szCs w:val="16"/>
                <w:color w:val="auto"/>
              </w:rPr>
              <w:t>Report of Independent Registered Public Accounting Firm</w:t>
            </w:r>
          </w:p>
        </w:tc>
        <w:tc>
          <w:tcPr>
            <w:tcW w:w="270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0E32E1"/>
              </w:rPr>
              <w:t>68</w:t>
            </w:r>
          </w:p>
        </w:tc>
        <w:tc>
          <w:tcPr>
            <w:tcW w:w="20" w:type="dxa"/>
            <w:vAlign w:val="bottom"/>
            <w:shd w:val="clear" w:color="auto" w:fill="CCEEFF"/>
          </w:tcPr>
          <w:p>
            <w:pPr>
              <w:spacing w:after="0"/>
              <w:rPr>
                <w:sz w:val="17"/>
                <w:szCs w:val="17"/>
                <w:color w:val="auto"/>
              </w:rPr>
            </w:pPr>
          </w:p>
        </w:tc>
      </w:tr>
      <w:tr>
        <w:trPr>
          <w:trHeight w:val="270"/>
        </w:trPr>
        <w:tc>
          <w:tcPr>
            <w:tcW w:w="8500" w:type="dxa"/>
            <w:vAlign w:val="bottom"/>
            <w:tcBorders>
              <w:top w:val="single" w:sz="8" w:color="CCEEFF"/>
            </w:tcBorders>
          </w:tcPr>
          <w:p>
            <w:pPr>
              <w:spacing w:after="0"/>
              <w:rPr>
                <w:sz w:val="23"/>
                <w:szCs w:val="23"/>
                <w:color w:val="auto"/>
              </w:rPr>
            </w:pPr>
          </w:p>
        </w:tc>
        <w:tc>
          <w:tcPr>
            <w:tcW w:w="2520" w:type="dxa"/>
            <w:vAlign w:val="bottom"/>
            <w:tcBorders>
              <w:top w:val="single" w:sz="8" w:color="CCEEFF"/>
            </w:tcBorders>
          </w:tcPr>
          <w:p>
            <w:pPr>
              <w:spacing w:after="0"/>
              <w:rPr>
                <w:sz w:val="23"/>
                <w:szCs w:val="23"/>
                <w:color w:val="auto"/>
              </w:rPr>
            </w:pPr>
          </w:p>
        </w:tc>
        <w:tc>
          <w:tcPr>
            <w:tcW w:w="180" w:type="dxa"/>
            <w:vAlign w:val="bottom"/>
            <w:tcBorders>
              <w:top w:val="single" w:sz="8" w:color="0E32E1"/>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(a)3. EXHIBITS</w:t>
            </w:r>
          </w:p>
        </w:tc>
        <w:tc>
          <w:tcPr>
            <w:tcW w:w="2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83"/>
        </w:trPr>
        <w:tc>
          <w:tcPr>
            <w:tcW w:w="8500" w:type="dxa"/>
            <w:vAlign w:val="bottom"/>
          </w:tcPr>
          <w:p>
            <w:pPr>
              <w:ind w:left="360"/>
              <w:spacing w:after="0"/>
              <w:rPr>
                <w:sz w:val="20"/>
                <w:szCs w:val="20"/>
                <w:color w:val="auto"/>
              </w:rPr>
            </w:pPr>
            <w:r>
              <w:rPr>
                <w:rFonts w:ascii="Arial" w:cs="Arial" w:eastAsia="Arial" w:hAnsi="Arial"/>
                <w:sz w:val="16"/>
                <w:szCs w:val="16"/>
                <w:color w:val="auto"/>
              </w:rPr>
              <w:t>Nordstrom, Inc. and Subsidiaries Exhibit Index</w:t>
            </w:r>
          </w:p>
        </w:tc>
        <w:tc>
          <w:tcPr>
            <w:tcW w:w="2700" w:type="dxa"/>
            <w:vAlign w:val="bottom"/>
            <w:gridSpan w:val="2"/>
          </w:tcPr>
          <w:p>
            <w:pPr>
              <w:jc w:val="right"/>
              <w:spacing w:after="0"/>
              <w:rPr>
                <w:sz w:val="20"/>
                <w:szCs w:val="20"/>
                <w:color w:val="auto"/>
              </w:rPr>
            </w:pPr>
            <w:r>
              <w:rPr>
                <w:rFonts w:ascii="Arial" w:cs="Arial" w:eastAsia="Arial" w:hAnsi="Arial"/>
                <w:sz w:val="16"/>
                <w:szCs w:val="16"/>
                <w:color w:val="0000FF"/>
              </w:rPr>
              <w:t>71</w:t>
            </w:r>
          </w:p>
        </w:tc>
        <w:tc>
          <w:tcPr>
            <w:tcW w:w="20" w:type="dxa"/>
            <w:vAlign w:val="bottom"/>
          </w:tcPr>
          <w:p>
            <w:pPr>
              <w:spacing w:after="0"/>
              <w:rPr>
                <w:sz w:val="24"/>
                <w:szCs w:val="24"/>
                <w:color w:val="auto"/>
              </w:rPr>
            </w:pPr>
          </w:p>
        </w:tc>
      </w:tr>
      <w:tr>
        <w:trPr>
          <w:trHeight w:val="20"/>
        </w:trPr>
        <w:tc>
          <w:tcPr>
            <w:tcW w:w="85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All other schedules and exhibits are omitted because they are not applicable, not required or because the information required has been given as part of this report.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 and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27"/>
            <w:vMerge w:val="restart"/>
          </w:tcPr>
          <w:p>
            <w:pPr>
              <w:ind w:left="300"/>
              <w:spacing w:after="0"/>
              <w:rPr>
                <w:sz w:val="20"/>
                <w:szCs w:val="20"/>
                <w:color w:val="auto"/>
              </w:rPr>
            </w:pPr>
            <w:r>
              <w:rPr>
                <w:rFonts w:ascii="Arial" w:cs="Arial" w:eastAsia="Arial" w:hAnsi="Arial"/>
                <w:sz w:val="18"/>
                <w:szCs w:val="18"/>
                <w:b w:val="1"/>
                <w:bCs w:val="1"/>
                <w:color w:val="auto"/>
              </w:rPr>
              <w:t>Exhibit</w:t>
            </w:r>
          </w:p>
        </w:tc>
        <w:tc>
          <w:tcPr>
            <w:tcW w:w="368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27"/>
            <w:vMerge w:val="continue"/>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Form</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2"/>
        </w:trPr>
        <w:tc>
          <w:tcPr>
            <w:tcW w:w="70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640" w:type="dxa"/>
            <w:vAlign w:val="bottom"/>
          </w:tcPr>
          <w:p>
            <w:pPr>
              <w:spacing w:after="0"/>
              <w:rPr>
                <w:sz w:val="15"/>
                <w:szCs w:val="15"/>
                <w:color w:val="auto"/>
              </w:rPr>
            </w:pPr>
          </w:p>
        </w:tc>
        <w:tc>
          <w:tcPr>
            <w:tcW w:w="6220" w:type="dxa"/>
            <w:vAlign w:val="bottom"/>
            <w:gridSpan w:val="33"/>
          </w:tcPr>
          <w:p>
            <w:pPr>
              <w:spacing w:after="0" w:line="182" w:lineRule="exact"/>
              <w:rPr>
                <w:rFonts w:ascii="Arial" w:cs="Arial" w:eastAsia="Arial" w:hAnsi="Arial"/>
                <w:sz w:val="18"/>
                <w:szCs w:val="18"/>
                <w:color w:val="0000FF"/>
              </w:rPr>
            </w:pPr>
            <w:hyperlink r:id="rId88">
              <w:r>
                <w:rPr>
                  <w:rFonts w:ascii="Arial" w:cs="Arial" w:eastAsia="Arial" w:hAnsi="Arial"/>
                  <w:sz w:val="18"/>
                  <w:szCs w:val="18"/>
                  <w:color w:val="0000FF"/>
                </w:rPr>
                <w:t>Articles of Incorporation as amended and restated on May 25, 2005</w:t>
              </w:r>
            </w:hyperlink>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780" w:type="dxa"/>
            <w:vAlign w:val="bottom"/>
          </w:tcPr>
          <w:p>
            <w:pPr>
              <w:jc w:val="center"/>
              <w:spacing w:after="0" w:line="182" w:lineRule="exact"/>
              <w:rPr>
                <w:sz w:val="20"/>
                <w:szCs w:val="20"/>
                <w:color w:val="auto"/>
              </w:rPr>
            </w:pPr>
            <w:r>
              <w:rPr>
                <w:rFonts w:ascii="Arial" w:cs="Arial" w:eastAsia="Arial" w:hAnsi="Arial"/>
                <w:sz w:val="18"/>
                <w:szCs w:val="18"/>
                <w:color w:val="auto"/>
              </w:rPr>
              <w:t>May 31, 2005</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3.2</w:t>
            </w:r>
          </w:p>
        </w:tc>
        <w:tc>
          <w:tcPr>
            <w:tcW w:w="640" w:type="dxa"/>
            <w:vAlign w:val="bottom"/>
          </w:tcPr>
          <w:p>
            <w:pPr>
              <w:spacing w:after="0"/>
              <w:rPr>
                <w:sz w:val="22"/>
                <w:szCs w:val="22"/>
                <w:color w:val="auto"/>
              </w:rPr>
            </w:pPr>
          </w:p>
        </w:tc>
        <w:tc>
          <w:tcPr>
            <w:tcW w:w="44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9"/>
              </w:rPr>
            </w:pPr>
            <w:hyperlink r:id="rId89">
              <w:r>
                <w:rPr>
                  <w:rFonts w:ascii="Arial" w:cs="Arial" w:eastAsia="Arial" w:hAnsi="Arial"/>
                  <w:sz w:val="18"/>
                  <w:szCs w:val="18"/>
                  <w:color w:val="0000FF"/>
                  <w:w w:val="99"/>
                </w:rPr>
                <w:t>Bylaws, as amended and restated on February 12, 2022</w:t>
              </w:r>
            </w:hyperlink>
          </w:p>
        </w:tc>
        <w:tc>
          <w:tcPr>
            <w:tcW w:w="880" w:type="dxa"/>
            <w:vAlign w:val="bottom"/>
            <w:tcBorders>
              <w:top w:val="single" w:sz="8" w:color="0000FF"/>
            </w:tcBorders>
            <w:gridSpan w:val="8"/>
          </w:tcPr>
          <w:p>
            <w:pPr>
              <w:spacing w:after="0"/>
              <w:rPr>
                <w:sz w:val="22"/>
                <w:szCs w:val="22"/>
                <w:color w:val="auto"/>
              </w:rPr>
            </w:pPr>
          </w:p>
        </w:tc>
        <w:tc>
          <w:tcPr>
            <w:tcW w:w="860" w:type="dxa"/>
            <w:vAlign w:val="bottom"/>
            <w:gridSpan w:val="11"/>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February 15, 2022</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2"/>
                <w:szCs w:val="22"/>
                <w:color w:val="auto"/>
              </w:rPr>
            </w:pPr>
          </w:p>
        </w:tc>
        <w:tc>
          <w:tcPr>
            <w:tcW w:w="3220" w:type="dxa"/>
            <w:vAlign w:val="bottom"/>
            <w:tcBorders>
              <w:bottom w:val="single" w:sz="8" w:color="0000FF"/>
            </w:tcBorders>
            <w:gridSpan w:val="9"/>
          </w:tcPr>
          <w:p>
            <w:pPr>
              <w:spacing w:after="0"/>
              <w:rPr>
                <w:rFonts w:ascii="Arial" w:cs="Arial" w:eastAsia="Arial" w:hAnsi="Arial"/>
                <w:sz w:val="18"/>
                <w:szCs w:val="18"/>
                <w:color w:val="0000FF"/>
                <w:w w:val="99"/>
              </w:rPr>
            </w:pPr>
            <w:hyperlink r:id="rId90">
              <w:r>
                <w:rPr>
                  <w:rFonts w:ascii="Arial" w:cs="Arial" w:eastAsia="Arial" w:hAnsi="Arial"/>
                  <w:sz w:val="18"/>
                  <w:szCs w:val="18"/>
                  <w:color w:val="0000FF"/>
                  <w:w w:val="99"/>
                </w:rPr>
                <w:t>Description of Nordstrom, Inc. Securities</w:t>
              </w:r>
            </w:hyperlink>
          </w:p>
        </w:tc>
        <w:tc>
          <w:tcPr>
            <w:tcW w:w="3000" w:type="dxa"/>
            <w:vAlign w:val="bottom"/>
            <w:gridSpan w:val="24"/>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S-3</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30, 2001</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22"/>
                <w:szCs w:val="22"/>
                <w:color w:val="auto"/>
              </w:rPr>
            </w:pPr>
          </w:p>
        </w:tc>
        <w:tc>
          <w:tcPr>
            <w:tcW w:w="6220" w:type="dxa"/>
            <w:vAlign w:val="bottom"/>
            <w:gridSpan w:val="33"/>
          </w:tcPr>
          <w:p>
            <w:pPr>
              <w:spacing w:after="0"/>
              <w:rPr>
                <w:rFonts w:ascii="Arial" w:cs="Arial" w:eastAsia="Arial" w:hAnsi="Arial"/>
                <w:sz w:val="18"/>
                <w:szCs w:val="18"/>
                <w:color w:val="0000FF"/>
              </w:rPr>
            </w:pPr>
            <w:hyperlink r:id="rId91">
              <w:r>
                <w:rPr>
                  <w:rFonts w:ascii="Arial" w:cs="Arial" w:eastAsia="Arial" w:hAnsi="Arial"/>
                  <w:sz w:val="18"/>
                  <w:szCs w:val="18"/>
                  <w:color w:val="0000FF"/>
                </w:rPr>
                <w:t>Indenture between Registrant and Norwest Bank Colorado, N.A., as trustee,</w:t>
              </w:r>
            </w:hyperlink>
          </w:p>
        </w:tc>
        <w:tc>
          <w:tcPr>
            <w:tcW w:w="860" w:type="dxa"/>
            <w:vAlign w:val="bottom"/>
          </w:tcPr>
          <w:p>
            <w:pPr>
              <w:jc w:val="center"/>
              <w:spacing w:after="0"/>
              <w:rPr>
                <w:sz w:val="20"/>
                <w:szCs w:val="20"/>
                <w:color w:val="auto"/>
              </w:rPr>
            </w:pPr>
            <w:r>
              <w:rPr>
                <w:rFonts w:ascii="Arial" w:cs="Arial" w:eastAsia="Arial" w:hAnsi="Arial"/>
                <w:sz w:val="18"/>
                <w:szCs w:val="18"/>
                <w:color w:val="auto"/>
              </w:rPr>
              <w:t>S-3/A</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10, 1998</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91">
              <w:r>
                <w:rPr>
                  <w:rFonts w:ascii="Arial" w:cs="Arial" w:eastAsia="Arial" w:hAnsi="Arial"/>
                  <w:sz w:val="18"/>
                  <w:szCs w:val="18"/>
                  <w:color w:val="0000FF"/>
                </w:rPr>
                <w:t>dated March 10, 1998</w:t>
              </w:r>
            </w:hyperlink>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24"/>
                <w:szCs w:val="24"/>
                <w:color w:val="auto"/>
              </w:rPr>
            </w:pPr>
          </w:p>
        </w:tc>
        <w:tc>
          <w:tcPr>
            <w:tcW w:w="6220" w:type="dxa"/>
            <w:vAlign w:val="bottom"/>
            <w:gridSpan w:val="33"/>
          </w:tcPr>
          <w:p>
            <w:pPr>
              <w:spacing w:after="0"/>
              <w:rPr>
                <w:rFonts w:ascii="Arial" w:cs="Arial" w:eastAsia="Arial" w:hAnsi="Arial"/>
                <w:sz w:val="18"/>
                <w:szCs w:val="18"/>
                <w:color w:val="0000FF"/>
              </w:rPr>
            </w:pPr>
            <w:hyperlink r:id="rId92">
              <w:r>
                <w:rPr>
                  <w:rFonts w:ascii="Arial" w:cs="Arial" w:eastAsia="Arial" w:hAnsi="Arial"/>
                  <w:sz w:val="18"/>
                  <w:szCs w:val="18"/>
                  <w:color w:val="0000FF"/>
                </w:rPr>
                <w:t>Indenture dated December 3, 2007, between the Company and Wells Fargo</w:t>
              </w:r>
            </w:hyperlink>
          </w:p>
        </w:tc>
        <w:tc>
          <w:tcPr>
            <w:tcW w:w="860" w:type="dxa"/>
            <w:vAlign w:val="bottom"/>
          </w:tcPr>
          <w:p>
            <w:pPr>
              <w:jc w:val="center"/>
              <w:spacing w:after="0"/>
              <w:rPr>
                <w:sz w:val="20"/>
                <w:szCs w:val="20"/>
                <w:color w:val="auto"/>
              </w:rPr>
            </w:pPr>
            <w:r>
              <w:rPr>
                <w:rFonts w:ascii="Arial" w:cs="Arial" w:eastAsia="Arial" w:hAnsi="Arial"/>
                <w:sz w:val="18"/>
                <w:szCs w:val="18"/>
                <w:color w:val="auto"/>
              </w:rPr>
              <w:t>S-4/A</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April 29, 2014</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8"/>
              </w:rPr>
            </w:pPr>
            <w:hyperlink r:id="rId92">
              <w:r>
                <w:rPr>
                  <w:rFonts w:ascii="Arial" w:cs="Arial" w:eastAsia="Arial" w:hAnsi="Arial"/>
                  <w:sz w:val="18"/>
                  <w:szCs w:val="18"/>
                  <w:color w:val="0000FF"/>
                  <w:w w:val="98"/>
                </w:rPr>
                <w:t>Bank, National Association</w:t>
              </w:r>
            </w:hyperlink>
          </w:p>
        </w:tc>
        <w:tc>
          <w:tcPr>
            <w:tcW w:w="39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4.4</w:t>
            </w:r>
          </w:p>
        </w:tc>
        <w:tc>
          <w:tcPr>
            <w:tcW w:w="640" w:type="dxa"/>
            <w:vAlign w:val="bottom"/>
          </w:tcPr>
          <w:p>
            <w:pPr>
              <w:spacing w:after="0"/>
              <w:rPr>
                <w:sz w:val="24"/>
                <w:szCs w:val="24"/>
                <w:color w:val="auto"/>
              </w:rPr>
            </w:pPr>
          </w:p>
        </w:tc>
        <w:tc>
          <w:tcPr>
            <w:tcW w:w="2980" w:type="dxa"/>
            <w:vAlign w:val="bottom"/>
            <w:tcBorders>
              <w:bottom w:val="single" w:sz="8" w:color="0000FF"/>
            </w:tcBorders>
            <w:gridSpan w:val="7"/>
          </w:tcPr>
          <w:p>
            <w:pPr>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Form of 5.00% Global Note due 2044</w:t>
              </w:r>
            </w:hyperlink>
          </w:p>
        </w:tc>
        <w:tc>
          <w:tcPr>
            <w:tcW w:w="3240" w:type="dxa"/>
            <w:vAlign w:val="bottom"/>
            <w:gridSpan w:val="26"/>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S-4</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28, 2014</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2"/>
                <w:szCs w:val="22"/>
                <w:color w:val="auto"/>
              </w:rPr>
            </w:pPr>
          </w:p>
        </w:tc>
        <w:tc>
          <w:tcPr>
            <w:tcW w:w="6220" w:type="dxa"/>
            <w:vAlign w:val="bottom"/>
            <w:gridSpan w:val="33"/>
          </w:tcPr>
          <w:p>
            <w:pPr>
              <w:spacing w:after="0"/>
              <w:rPr>
                <w:rFonts w:ascii="Arial" w:cs="Arial" w:eastAsia="Arial" w:hAnsi="Arial"/>
                <w:sz w:val="18"/>
                <w:szCs w:val="18"/>
                <w:color w:val="0000FF"/>
              </w:rPr>
            </w:pPr>
            <w:hyperlink r:id="rId94">
              <w:r>
                <w:rPr>
                  <w:rFonts w:ascii="Arial" w:cs="Arial" w:eastAsia="Arial" w:hAnsi="Arial"/>
                  <w:sz w:val="18"/>
                  <w:szCs w:val="18"/>
                  <w:color w:val="0000FF"/>
                </w:rPr>
                <w:t>Form of 5.00% Rule 144A Global Note due 2044</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S-4</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28, 2014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2"/>
                <w:szCs w:val="22"/>
                <w:color w:val="auto"/>
              </w:rPr>
            </w:pPr>
          </w:p>
        </w:tc>
        <w:tc>
          <w:tcPr>
            <w:tcW w:w="4060" w:type="dxa"/>
            <w:vAlign w:val="bottom"/>
            <w:tcBorders>
              <w:bottom w:val="single" w:sz="8" w:color="0000FF"/>
            </w:tcBorders>
            <w:gridSpan w:val="13"/>
          </w:tcPr>
          <w:p>
            <w:pPr>
              <w:spacing w:after="0"/>
              <w:rPr>
                <w:rFonts w:ascii="Arial" w:cs="Arial" w:eastAsia="Arial" w:hAnsi="Arial"/>
                <w:sz w:val="18"/>
                <w:szCs w:val="18"/>
                <w:color w:val="0000FF"/>
                <w:w w:val="99"/>
              </w:rPr>
            </w:pPr>
            <w:hyperlink r:id="rId95">
              <w:r>
                <w:rPr>
                  <w:rFonts w:ascii="Arial" w:cs="Arial" w:eastAsia="Arial" w:hAnsi="Arial"/>
                  <w:sz w:val="18"/>
                  <w:szCs w:val="18"/>
                  <w:color w:val="0000FF"/>
                  <w:w w:val="99"/>
                </w:rPr>
                <w:t>Form of 5.00% Regulation S Global Note due 2044</w:t>
              </w:r>
            </w:hyperlink>
          </w:p>
        </w:tc>
        <w:tc>
          <w:tcPr>
            <w:tcW w:w="2160" w:type="dxa"/>
            <w:vAlign w:val="bottom"/>
            <w:gridSpan w:val="20"/>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S-4</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780" w:type="dxa"/>
            <w:vAlign w:val="bottom"/>
          </w:tcPr>
          <w:p>
            <w:pPr>
              <w:jc w:val="center"/>
              <w:spacing w:after="0"/>
              <w:rPr>
                <w:sz w:val="20"/>
                <w:szCs w:val="20"/>
                <w:color w:val="auto"/>
              </w:rPr>
            </w:pPr>
            <w:r>
              <w:rPr>
                <w:rFonts w:ascii="Arial" w:cs="Arial" w:eastAsia="Arial" w:hAnsi="Arial"/>
                <w:sz w:val="18"/>
                <w:szCs w:val="18"/>
                <w:color w:val="auto"/>
              </w:rPr>
              <w:t>March 28, 2014</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2"/>
                <w:szCs w:val="22"/>
                <w:color w:val="auto"/>
              </w:rPr>
            </w:pPr>
          </w:p>
        </w:tc>
        <w:tc>
          <w:tcPr>
            <w:tcW w:w="6220" w:type="dxa"/>
            <w:vAlign w:val="bottom"/>
            <w:gridSpan w:val="33"/>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4.00% Note due 2027</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9, 2017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2"/>
                <w:szCs w:val="22"/>
                <w:color w:val="auto"/>
              </w:rPr>
            </w:pPr>
          </w:p>
        </w:tc>
        <w:tc>
          <w:tcPr>
            <w:tcW w:w="6220" w:type="dxa"/>
            <w:vAlign w:val="bottom"/>
            <w:gridSpan w:val="33"/>
          </w:tcPr>
          <w:p>
            <w:pPr>
              <w:spacing w:after="0"/>
              <w:rPr>
                <w:rFonts w:ascii="Arial" w:cs="Arial" w:eastAsia="Arial" w:hAnsi="Arial"/>
                <w:sz w:val="18"/>
                <w:szCs w:val="18"/>
                <w:color w:val="0000FF"/>
              </w:rPr>
            </w:pPr>
            <w:hyperlink r:id="rId97">
              <w:r>
                <w:rPr>
                  <w:rFonts w:ascii="Arial" w:cs="Arial" w:eastAsia="Arial" w:hAnsi="Arial"/>
                  <w:sz w:val="18"/>
                  <w:szCs w:val="18"/>
                  <w:color w:val="0000FF"/>
                </w:rPr>
                <w:t>Form of 5.00% Note due 2044</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9, 2017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2"/>
                <w:szCs w:val="22"/>
                <w:color w:val="auto"/>
              </w:rPr>
            </w:pPr>
          </w:p>
        </w:tc>
        <w:tc>
          <w:tcPr>
            <w:tcW w:w="6220" w:type="dxa"/>
            <w:vAlign w:val="bottom"/>
            <w:gridSpan w:val="33"/>
          </w:tcPr>
          <w:p>
            <w:pPr>
              <w:spacing w:after="0"/>
              <w:rPr>
                <w:rFonts w:ascii="Arial" w:cs="Arial" w:eastAsia="Arial" w:hAnsi="Arial"/>
                <w:sz w:val="18"/>
                <w:szCs w:val="18"/>
                <w:color w:val="0000FF"/>
              </w:rPr>
            </w:pPr>
            <w:hyperlink r:id="rId98">
              <w:r>
                <w:rPr>
                  <w:rFonts w:ascii="Arial" w:cs="Arial" w:eastAsia="Arial" w:hAnsi="Arial"/>
                  <w:sz w:val="18"/>
                  <w:szCs w:val="18"/>
                  <w:color w:val="0000FF"/>
                </w:rPr>
                <w:t>Form of 4.375% Note due 2030</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November 6, 2019</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2"/>
                <w:szCs w:val="22"/>
                <w:color w:val="auto"/>
              </w:rPr>
            </w:pPr>
          </w:p>
        </w:tc>
        <w:tc>
          <w:tcPr>
            <w:tcW w:w="3080" w:type="dxa"/>
            <w:vAlign w:val="bottom"/>
            <w:tcBorders>
              <w:bottom w:val="single" w:sz="8" w:color="0000FF"/>
            </w:tcBorders>
            <w:gridSpan w:val="8"/>
          </w:tcPr>
          <w:p>
            <w:pPr>
              <w:spacing w:after="0"/>
              <w:rPr>
                <w:rFonts w:ascii="Arial" w:cs="Arial" w:eastAsia="Arial" w:hAnsi="Arial"/>
                <w:sz w:val="18"/>
                <w:szCs w:val="18"/>
                <w:color w:val="0000FF"/>
                <w:w w:val="99"/>
              </w:rPr>
            </w:pPr>
            <w:hyperlink r:id="rId99">
              <w:r>
                <w:rPr>
                  <w:rFonts w:ascii="Arial" w:cs="Arial" w:eastAsia="Arial" w:hAnsi="Arial"/>
                  <w:sz w:val="18"/>
                  <w:szCs w:val="18"/>
                  <w:color w:val="0000FF"/>
                  <w:w w:val="99"/>
                </w:rPr>
                <w:t>Form of 2.300% Global Note due 2024</w:t>
              </w:r>
            </w:hyperlink>
          </w:p>
        </w:tc>
        <w:tc>
          <w:tcPr>
            <w:tcW w:w="3140" w:type="dxa"/>
            <w:vAlign w:val="bottom"/>
            <w:gridSpan w:val="25"/>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22"/>
                <w:szCs w:val="22"/>
                <w:color w:val="auto"/>
              </w:rPr>
            </w:pPr>
          </w:p>
        </w:tc>
        <w:tc>
          <w:tcPr>
            <w:tcW w:w="3080" w:type="dxa"/>
            <w:vAlign w:val="bottom"/>
            <w:tcBorders>
              <w:bottom w:val="single" w:sz="8" w:color="0000FF"/>
            </w:tcBorders>
            <w:gridSpan w:val="8"/>
          </w:tcPr>
          <w:p>
            <w:pPr>
              <w:spacing w:after="0"/>
              <w:rPr>
                <w:rFonts w:ascii="Arial" w:cs="Arial" w:eastAsia="Arial" w:hAnsi="Arial"/>
                <w:sz w:val="18"/>
                <w:szCs w:val="18"/>
                <w:color w:val="0000FF"/>
                <w:w w:val="99"/>
              </w:rPr>
            </w:pPr>
            <w:hyperlink r:id="rId100">
              <w:r>
                <w:rPr>
                  <w:rFonts w:ascii="Arial" w:cs="Arial" w:eastAsia="Arial" w:hAnsi="Arial"/>
                  <w:sz w:val="18"/>
                  <w:szCs w:val="18"/>
                  <w:color w:val="0000FF"/>
                  <w:w w:val="99"/>
                </w:rPr>
                <w:t>Form of 4.250% Global Note due 2031</w:t>
              </w:r>
            </w:hyperlink>
          </w:p>
        </w:tc>
        <w:tc>
          <w:tcPr>
            <w:tcW w:w="3140" w:type="dxa"/>
            <w:vAlign w:val="bottom"/>
            <w:gridSpan w:val="25"/>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3, 2021</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4.12</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040" w:type="dxa"/>
            <w:vAlign w:val="bottom"/>
            <w:tcBorders>
              <w:bottom w:val="single" w:sz="8" w:color="0000FF"/>
            </w:tcBorders>
            <w:gridSpan w:val="12"/>
          </w:tcPr>
          <w:p>
            <w:pPr>
              <w:spacing w:after="0"/>
              <w:rPr>
                <w:rFonts w:ascii="Arial" w:cs="Arial" w:eastAsia="Arial" w:hAnsi="Arial"/>
                <w:sz w:val="18"/>
                <w:szCs w:val="18"/>
                <w:color w:val="0000FF"/>
                <w:w w:val="99"/>
              </w:rPr>
            </w:pPr>
            <w:hyperlink r:id="rId101">
              <w:r>
                <w:rPr>
                  <w:rFonts w:ascii="Arial" w:cs="Arial" w:eastAsia="Arial" w:hAnsi="Arial"/>
                  <w:sz w:val="18"/>
                  <w:szCs w:val="18"/>
                  <w:color w:val="0000FF"/>
                  <w:w w:val="99"/>
                </w:rPr>
                <w:t>Trunk Club Newco, Inc. 2010 Equity Incentive Plan</w:t>
              </w:r>
            </w:hyperlink>
          </w:p>
        </w:tc>
        <w:tc>
          <w:tcPr>
            <w:tcW w:w="2180" w:type="dxa"/>
            <w:vAlign w:val="bottom"/>
            <w:gridSpan w:val="21"/>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August 27, 2014</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4.13</w:t>
            </w:r>
          </w:p>
        </w:tc>
        <w:tc>
          <w:tcPr>
            <w:tcW w:w="640" w:type="dxa"/>
            <w:vAlign w:val="bottom"/>
          </w:tcPr>
          <w:p>
            <w:pPr>
              <w:spacing w:after="0"/>
              <w:rPr>
                <w:sz w:val="22"/>
                <w:szCs w:val="22"/>
                <w:color w:val="auto"/>
              </w:rPr>
            </w:pPr>
          </w:p>
        </w:tc>
        <w:tc>
          <w:tcPr>
            <w:tcW w:w="5780" w:type="dxa"/>
            <w:vAlign w:val="bottom"/>
            <w:tcBorders>
              <w:bottom w:val="single" w:sz="8" w:color="0000FF"/>
            </w:tcBorders>
            <w:gridSpan w:val="24"/>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Shareholder Rights Agreement, dated as of September 19, 2022, by and</w:t>
              </w:r>
            </w:hyperlink>
          </w:p>
        </w:tc>
        <w:tc>
          <w:tcPr>
            <w:tcW w:w="440" w:type="dxa"/>
            <w:vAlign w:val="bottom"/>
            <w:gridSpan w:val="9"/>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September 20, 2022</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20" w:type="dxa"/>
            <w:vAlign w:val="bottom"/>
            <w:gridSpan w:val="33"/>
          </w:tcPr>
          <w:p>
            <w:pPr>
              <w:spacing w:after="0" w:line="156" w:lineRule="exact"/>
              <w:rPr>
                <w:rFonts w:ascii="Arial" w:cs="Arial" w:eastAsia="Arial" w:hAnsi="Arial"/>
                <w:sz w:val="18"/>
                <w:szCs w:val="18"/>
                <w:color w:val="0000FF"/>
              </w:rPr>
            </w:pPr>
            <w:hyperlink r:id="rId75">
              <w:r>
                <w:rPr>
                  <w:rFonts w:ascii="Arial" w:cs="Arial" w:eastAsia="Arial" w:hAnsi="Arial"/>
                  <w:sz w:val="18"/>
                  <w:szCs w:val="18"/>
                  <w:color w:val="0000FF"/>
                </w:rPr>
                <w:t>between the Company and Computershare Trust Company, N.A., as rights</w:t>
              </w:r>
            </w:hyperlink>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4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agent (which includes the Form of Rights Certificate as Exhibit A thereto).</w:t>
              </w:r>
            </w:hyperlink>
          </w:p>
        </w:tc>
        <w:tc>
          <w:tcPr>
            <w:tcW w:w="8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000" w:type="dxa"/>
            <w:vAlign w:val="bottom"/>
            <w:tcBorders>
              <w:bottom w:val="single" w:sz="8" w:color="0000FF"/>
            </w:tcBorders>
            <w:gridSpan w:val="21"/>
          </w:tcPr>
          <w:p>
            <w:pPr>
              <w:spacing w:after="0"/>
              <w:rPr>
                <w:rFonts w:ascii="Arial" w:cs="Arial" w:eastAsia="Arial" w:hAnsi="Arial"/>
                <w:sz w:val="18"/>
                <w:szCs w:val="18"/>
                <w:color w:val="0000FF"/>
                <w:w w:val="99"/>
              </w:rPr>
            </w:pPr>
            <w:hyperlink r:id="rId102">
              <w:r>
                <w:rPr>
                  <w:rFonts w:ascii="Arial" w:cs="Arial" w:eastAsia="Arial" w:hAnsi="Arial"/>
                  <w:sz w:val="18"/>
                  <w:szCs w:val="18"/>
                  <w:color w:val="0000FF"/>
                  <w:w w:val="99"/>
                </w:rPr>
                <w:t>Nordstrom, Inc. 2019 Equity Incentive Plan (2020 Amendment)</w:t>
              </w:r>
            </w:hyperlink>
          </w:p>
        </w:tc>
        <w:tc>
          <w:tcPr>
            <w:tcW w:w="1220" w:type="dxa"/>
            <w:vAlign w:val="bottom"/>
            <w:gridSpan w:val="12"/>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DEF 14A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Appendix B</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7, 2020</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10.2</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08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9"/>
              </w:rPr>
              <w:t>Amended and Restated Nordstrom, Inc. Executive Management Bonus Plan</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10.3</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03">
              <w:r>
                <w:rPr>
                  <w:rFonts w:ascii="Arial" w:cs="Arial" w:eastAsia="Arial" w:hAnsi="Arial"/>
                  <w:sz w:val="18"/>
                  <w:szCs w:val="18"/>
                  <w:color w:val="0000FF"/>
                </w:rPr>
                <w:t>Nordstrom Deferred Compensation Plan (2022 Restatement)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rPr>
              <w:t>September 2, 2022</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840" w:type="dxa"/>
            <w:vAlign w:val="bottom"/>
            <w:tcBorders>
              <w:top w:val="single" w:sz="8" w:color="0000FF"/>
            </w:tcBorders>
            <w:gridSpan w:val="18"/>
          </w:tcPr>
          <w:p>
            <w:pPr>
              <w:spacing w:after="0"/>
              <w:rPr>
                <w:rFonts w:ascii="Arial" w:cs="Arial" w:eastAsia="Arial" w:hAnsi="Arial"/>
                <w:sz w:val="18"/>
                <w:szCs w:val="18"/>
                <w:color w:val="0000FF"/>
              </w:rPr>
            </w:pPr>
            <w:hyperlink r:id="rId104">
              <w:r>
                <w:rPr>
                  <w:rFonts w:ascii="Arial" w:cs="Arial" w:eastAsia="Arial" w:hAnsi="Arial"/>
                  <w:sz w:val="18"/>
                  <w:szCs w:val="18"/>
                  <w:color w:val="0000FF"/>
                </w:rPr>
                <w:t>Form of 2013 Nonqualified Stock Option Grant Agreement</w:t>
              </w:r>
            </w:hyperlink>
          </w:p>
        </w:tc>
        <w:tc>
          <w:tcPr>
            <w:tcW w:w="1380" w:type="dxa"/>
            <w:vAlign w:val="bottom"/>
            <w:gridSpan w:val="15"/>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November 14, 2012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10.5</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05">
              <w:r>
                <w:rPr>
                  <w:rFonts w:ascii="Arial" w:cs="Arial" w:eastAsia="Arial" w:hAnsi="Arial"/>
                  <w:sz w:val="18"/>
                  <w:szCs w:val="18"/>
                  <w:color w:val="0000FF"/>
                </w:rPr>
                <w:t>Form of 2014 Nonqualified Stock Option Grant Agreement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10.6</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0000FF"/>
            </w:tcBorders>
            <w:gridSpan w:val="20"/>
          </w:tcPr>
          <w:p>
            <w:pPr>
              <w:spacing w:after="0"/>
              <w:rPr>
                <w:rFonts w:ascii="Arial" w:cs="Arial" w:eastAsia="Arial" w:hAnsi="Arial"/>
                <w:sz w:val="18"/>
                <w:szCs w:val="18"/>
                <w:color w:val="0000FF"/>
                <w:w w:val="99"/>
              </w:rPr>
            </w:pPr>
            <w:hyperlink r:id="rId106">
              <w:r>
                <w:rPr>
                  <w:rFonts w:ascii="Arial" w:cs="Arial" w:eastAsia="Arial" w:hAnsi="Arial"/>
                  <w:sz w:val="18"/>
                  <w:szCs w:val="18"/>
                  <w:color w:val="0000FF"/>
                  <w:w w:val="99"/>
                </w:rPr>
                <w:t>Form of the 2015 Nonqualified Stock Option Grant Agreement</w:t>
              </w:r>
            </w:hyperlink>
          </w:p>
        </w:tc>
        <w:tc>
          <w:tcPr>
            <w:tcW w:w="1280" w:type="dxa"/>
            <w:vAlign w:val="bottom"/>
            <w:gridSpan w:val="13"/>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February 19, 2015</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10.7</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940" w:type="dxa"/>
            <w:vAlign w:val="bottom"/>
            <w:tcBorders>
              <w:bottom w:val="single" w:sz="8" w:color="0000FF"/>
            </w:tcBorders>
            <w:gridSpan w:val="20"/>
          </w:tcPr>
          <w:p>
            <w:pPr>
              <w:spacing w:after="0"/>
              <w:rPr>
                <w:rFonts w:ascii="Arial" w:cs="Arial" w:eastAsia="Arial" w:hAnsi="Arial"/>
                <w:sz w:val="18"/>
                <w:szCs w:val="18"/>
                <w:color w:val="0000FF"/>
                <w:w w:val="99"/>
              </w:rPr>
            </w:pPr>
            <w:hyperlink r:id="rId107">
              <w:r>
                <w:rPr>
                  <w:rFonts w:ascii="Arial" w:cs="Arial" w:eastAsia="Arial" w:hAnsi="Arial"/>
                  <w:sz w:val="18"/>
                  <w:szCs w:val="18"/>
                  <w:color w:val="0000FF"/>
                  <w:w w:val="99"/>
                </w:rPr>
                <w:t>Form of the 2016 Nonqualified Stock Option Grant Agreement</w:t>
              </w:r>
            </w:hyperlink>
          </w:p>
        </w:tc>
        <w:tc>
          <w:tcPr>
            <w:tcW w:w="1280" w:type="dxa"/>
            <w:vAlign w:val="bottom"/>
            <w:gridSpan w:val="13"/>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1, 2016</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10.8</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08">
              <w:r>
                <w:rPr>
                  <w:rFonts w:ascii="Arial" w:cs="Arial" w:eastAsia="Arial" w:hAnsi="Arial"/>
                  <w:sz w:val="18"/>
                  <w:szCs w:val="18"/>
                  <w:color w:val="0000FF"/>
                </w:rPr>
                <w:t>Form of 2016 Nonqualified Stock Option Grant Agreement, Supplemental</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August 30, 2016</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2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Award</w:t>
              </w:r>
            </w:hyperlink>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10.9</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09">
              <w:r>
                <w:rPr>
                  <w:rFonts w:ascii="Arial" w:cs="Arial" w:eastAsia="Arial" w:hAnsi="Arial"/>
                  <w:sz w:val="18"/>
                  <w:szCs w:val="18"/>
                  <w:color w:val="0000FF"/>
                </w:rPr>
                <w:t>Form of the 2017 Nonqualified Stock Option Grant Agreement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February 23, 2017</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10.10</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70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9"/>
              </w:rPr>
            </w:pPr>
            <w:hyperlink r:id="rId110">
              <w:r>
                <w:rPr>
                  <w:rFonts w:ascii="Arial" w:cs="Arial" w:eastAsia="Arial" w:hAnsi="Arial"/>
                  <w:sz w:val="18"/>
                  <w:szCs w:val="18"/>
                  <w:color w:val="0000FF"/>
                  <w:w w:val="99"/>
                </w:rPr>
                <w:t>Form of 2019 Nonqualified Stock Option Award Agreement</w:t>
              </w:r>
            </w:hyperlink>
          </w:p>
        </w:tc>
        <w:tc>
          <w:tcPr>
            <w:tcW w:w="220" w:type="dxa"/>
            <w:vAlign w:val="bottom"/>
            <w:tcBorders>
              <w:top w:val="single" w:sz="8" w:color="0000FF"/>
            </w:tcBorders>
            <w:gridSpan w:val="2"/>
          </w:tcPr>
          <w:p>
            <w:pPr>
              <w:spacing w:after="0"/>
              <w:rPr>
                <w:sz w:val="22"/>
                <w:szCs w:val="22"/>
                <w:color w:val="auto"/>
              </w:rPr>
            </w:pPr>
          </w:p>
        </w:tc>
        <w:tc>
          <w:tcPr>
            <w:tcW w:w="1300" w:type="dxa"/>
            <w:vAlign w:val="bottom"/>
            <w:gridSpan w:val="14"/>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2019</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10.11</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11">
              <w:r>
                <w:rPr>
                  <w:rFonts w:ascii="Arial" w:cs="Arial" w:eastAsia="Arial" w:hAnsi="Arial"/>
                  <w:sz w:val="18"/>
                  <w:szCs w:val="18"/>
                  <w:color w:val="0000FF"/>
                </w:rPr>
                <w:t>Form of 2019 Nonqualified Stock Option Award Agreement, Supplemental</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2019</w:t>
            </w: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Award</w:t>
              </w:r>
            </w:hyperlink>
          </w:p>
        </w:tc>
        <w:tc>
          <w:tcPr>
            <w:tcW w:w="8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10.12</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0000FF"/>
            </w:tcBorders>
            <w:gridSpan w:val="17"/>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Form of 2020 Nonqualified Stock Option Award Agreement</w:t>
              </w:r>
            </w:hyperlink>
          </w:p>
        </w:tc>
        <w:tc>
          <w:tcPr>
            <w:tcW w:w="1520" w:type="dxa"/>
            <w:vAlign w:val="bottom"/>
            <w:gridSpan w:val="16"/>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3, 2020</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10.13</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13">
              <w:r>
                <w:rPr>
                  <w:rFonts w:ascii="Arial" w:cs="Arial" w:eastAsia="Arial" w:hAnsi="Arial"/>
                  <w:sz w:val="18"/>
                  <w:szCs w:val="18"/>
                  <w:color w:val="0000FF"/>
                </w:rPr>
                <w:t>Form of 2020 Nonqualified Stock Option Award Agreement, Supplemental</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040" w:type="dxa"/>
            <w:vAlign w:val="bottom"/>
          </w:tcPr>
          <w:p>
            <w:pPr>
              <w:jc w:val="center"/>
              <w:spacing w:after="0"/>
              <w:rPr>
                <w:sz w:val="20"/>
                <w:szCs w:val="20"/>
                <w:color w:val="auto"/>
              </w:rPr>
            </w:pPr>
            <w:r>
              <w:rPr>
                <w:rFonts w:ascii="Arial" w:cs="Arial" w:eastAsia="Arial" w:hAnsi="Arial"/>
                <w:sz w:val="18"/>
                <w:szCs w:val="18"/>
                <w:color w:val="auto"/>
              </w:rPr>
              <w:t>10.5</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June 10, 2020</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Award</w:t>
              </w:r>
            </w:hyperlink>
          </w:p>
        </w:tc>
        <w:tc>
          <w:tcPr>
            <w:tcW w:w="80" w:type="dxa"/>
            <w:vAlign w:val="bottom"/>
            <w:gridSpan w:val="2"/>
          </w:tcPr>
          <w:p>
            <w:pPr>
              <w:spacing w:after="0"/>
              <w:rPr>
                <w:sz w:val="13"/>
                <w:szCs w:val="13"/>
                <w:color w:val="auto"/>
              </w:rPr>
            </w:pPr>
          </w:p>
        </w:tc>
        <w:tc>
          <w:tcPr>
            <w:tcW w:w="26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14">
              <w:r>
                <w:rPr>
                  <w:rFonts w:ascii="Arial" w:cs="Arial" w:eastAsia="Arial" w:hAnsi="Arial"/>
                  <w:sz w:val="18"/>
                  <w:szCs w:val="18"/>
                  <w:color w:val="0000FF"/>
                </w:rPr>
                <w:t>Form of 2023 Nonqualified Stock Option Award Agreement</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6, 2023</w:t>
            </w:r>
          </w:p>
        </w:tc>
        <w:tc>
          <w:tcPr>
            <w:tcW w:w="0" w:type="dxa"/>
            <w:vAlign w:val="bottom"/>
          </w:tcPr>
          <w:p>
            <w:pPr>
              <w:spacing w:after="0"/>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10.15</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680" w:type="dxa"/>
            <w:vAlign w:val="bottom"/>
            <w:tcBorders>
              <w:top w:val="single" w:sz="8" w:color="0000FF"/>
            </w:tcBorders>
            <w:gridSpan w:val="16"/>
          </w:tcPr>
          <w:p>
            <w:pPr>
              <w:spacing w:after="0"/>
              <w:rPr>
                <w:rFonts w:ascii="Arial" w:cs="Arial" w:eastAsia="Arial" w:hAnsi="Arial"/>
                <w:sz w:val="18"/>
                <w:szCs w:val="18"/>
                <w:color w:val="0000FF"/>
              </w:rPr>
            </w:pPr>
            <w:hyperlink r:id="rId115">
              <w:r>
                <w:rPr>
                  <w:rFonts w:ascii="Arial" w:cs="Arial" w:eastAsia="Arial" w:hAnsi="Arial"/>
                  <w:sz w:val="18"/>
                  <w:szCs w:val="18"/>
                  <w:color w:val="0000FF"/>
                </w:rPr>
                <w:t>Nordstrom, Inc. 2010 Equity Incentive Plan</w:t>
              </w:r>
            </w:hyperlink>
          </w:p>
        </w:tc>
        <w:tc>
          <w:tcPr>
            <w:tcW w:w="1540" w:type="dxa"/>
            <w:vAlign w:val="bottom"/>
            <w:gridSpan w:val="17"/>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DEF 14A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8, 2010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2100" w:type="dxa"/>
            <w:vAlign w:val="bottom"/>
            <w:gridSpan w:val="1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00" w:type="dxa"/>
            <w:vAlign w:val="bottom"/>
          </w:tcPr>
          <w:p>
            <w:pPr>
              <w:ind w:left="20"/>
              <w:spacing w:after="0"/>
              <w:rPr>
                <w:sz w:val="20"/>
                <w:szCs w:val="20"/>
                <w:color w:val="auto"/>
              </w:rPr>
            </w:pPr>
            <w:r>
              <w:rPr>
                <w:rFonts w:ascii="Arial" w:cs="Arial" w:eastAsia="Arial" w:hAnsi="Arial"/>
                <w:sz w:val="18"/>
                <w:szCs w:val="18"/>
                <w:color w:val="auto"/>
              </w:rPr>
              <w:t>10.16</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16">
              <w:r>
                <w:rPr>
                  <w:rFonts w:ascii="Arial" w:cs="Arial" w:eastAsia="Arial" w:hAnsi="Arial"/>
                  <w:sz w:val="18"/>
                  <w:szCs w:val="18"/>
                  <w:color w:val="0000FF"/>
                </w:rPr>
                <w:t>Nordstrom, Inc. 2010 Equity Incentive Plan as amended February 27, 2013</w:t>
              </w:r>
            </w:hyperlink>
          </w:p>
        </w:tc>
        <w:tc>
          <w:tcPr>
            <w:tcW w:w="860" w:type="dxa"/>
            <w:vAlign w:val="bottom"/>
          </w:tcPr>
          <w:p>
            <w:pPr>
              <w:jc w:val="center"/>
              <w:spacing w:after="0"/>
              <w:rPr>
                <w:sz w:val="20"/>
                <w:szCs w:val="20"/>
                <w:color w:val="auto"/>
              </w:rPr>
            </w:pPr>
            <w:r>
              <w:rPr>
                <w:rFonts w:ascii="Arial" w:cs="Arial" w:eastAsia="Arial" w:hAnsi="Arial"/>
                <w:sz w:val="18"/>
                <w:szCs w:val="18"/>
                <w:color w:val="auto"/>
              </w:rPr>
              <w:t>DEF 14A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64"/>
        </w:trPr>
        <w:tc>
          <w:tcPr>
            <w:tcW w:w="700" w:type="dxa"/>
            <w:vAlign w:val="bottom"/>
          </w:tcPr>
          <w:p>
            <w:pPr>
              <w:ind w:left="20"/>
              <w:spacing w:after="0"/>
              <w:rPr>
                <w:sz w:val="20"/>
                <w:szCs w:val="20"/>
                <w:color w:val="auto"/>
              </w:rPr>
            </w:pPr>
            <w:r>
              <w:rPr>
                <w:rFonts w:ascii="Arial" w:cs="Arial" w:eastAsia="Arial" w:hAnsi="Arial"/>
                <w:sz w:val="18"/>
                <w:szCs w:val="18"/>
                <w:color w:val="auto"/>
              </w:rPr>
              <w:t>10.17</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5960" w:type="dxa"/>
            <w:vAlign w:val="bottom"/>
            <w:tcBorders>
              <w:top w:val="single" w:sz="8" w:color="0000FF"/>
            </w:tcBorders>
            <w:gridSpan w:val="29"/>
          </w:tcPr>
          <w:p>
            <w:pPr>
              <w:spacing w:after="0"/>
              <w:rPr>
                <w:rFonts w:ascii="Arial" w:cs="Arial" w:eastAsia="Arial" w:hAnsi="Arial"/>
                <w:sz w:val="18"/>
                <w:szCs w:val="18"/>
                <w:color w:val="0000FF"/>
              </w:rPr>
            </w:pPr>
            <w:hyperlink r:id="rId117">
              <w:r>
                <w:rPr>
                  <w:rFonts w:ascii="Arial" w:cs="Arial" w:eastAsia="Arial" w:hAnsi="Arial"/>
                  <w:sz w:val="18"/>
                  <w:szCs w:val="18"/>
                  <w:color w:val="0000FF"/>
                </w:rPr>
                <w:t>Nordstrom, Inc. 2010 Equity Incentive Plan as amended and restated</w:t>
              </w:r>
            </w:hyperlink>
          </w:p>
        </w:tc>
        <w:tc>
          <w:tcPr>
            <w:tcW w:w="260" w:type="dxa"/>
            <w:vAlign w:val="bottom"/>
            <w:gridSpan w:val="4"/>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tcPr>
          <w:p>
            <w:pPr>
              <w:jc w:val="center"/>
              <w:spacing w:after="0"/>
              <w:rPr>
                <w:sz w:val="20"/>
                <w:szCs w:val="20"/>
                <w:color w:val="auto"/>
              </w:rPr>
            </w:pPr>
            <w:r>
              <w:rPr>
                <w:rFonts w:ascii="Arial" w:cs="Arial" w:eastAsia="Arial" w:hAnsi="Arial"/>
                <w:sz w:val="18"/>
                <w:szCs w:val="18"/>
                <w:color w:val="auto"/>
              </w:rPr>
              <w:t>10.4</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March 4, 2014</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5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February 26, 2014</w:t>
              </w:r>
            </w:hyperlink>
          </w:p>
        </w:tc>
        <w:tc>
          <w:tcPr>
            <w:tcW w:w="7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760" w:type="dxa"/>
            <w:vAlign w:val="bottom"/>
            <w:gridSpan w:val="3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00" w:type="dxa"/>
            <w:vAlign w:val="bottom"/>
          </w:tcPr>
          <w:p>
            <w:pPr>
              <w:ind w:left="20"/>
              <w:spacing w:after="0"/>
              <w:rPr>
                <w:sz w:val="20"/>
                <w:szCs w:val="20"/>
                <w:color w:val="auto"/>
              </w:rPr>
            </w:pPr>
            <w:r>
              <w:rPr>
                <w:rFonts w:ascii="Arial" w:cs="Arial" w:eastAsia="Arial" w:hAnsi="Arial"/>
                <w:sz w:val="18"/>
                <w:szCs w:val="18"/>
                <w:color w:val="auto"/>
              </w:rPr>
              <w:t>10.18</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6220" w:type="dxa"/>
            <w:vAlign w:val="bottom"/>
            <w:gridSpan w:val="33"/>
          </w:tcPr>
          <w:p>
            <w:pPr>
              <w:spacing w:after="0"/>
              <w:rPr>
                <w:rFonts w:ascii="Arial" w:cs="Arial" w:eastAsia="Arial" w:hAnsi="Arial"/>
                <w:sz w:val="18"/>
                <w:szCs w:val="18"/>
                <w:color w:val="0000FF"/>
              </w:rPr>
            </w:pPr>
            <w:hyperlink r:id="rId118">
              <w:r>
                <w:rPr>
                  <w:rFonts w:ascii="Arial" w:cs="Arial" w:eastAsia="Arial" w:hAnsi="Arial"/>
                  <w:sz w:val="18"/>
                  <w:szCs w:val="18"/>
                  <w:color w:val="0000FF"/>
                </w:rPr>
                <w:t>Nordstrom, Inc. 2010 Equity Incentive Plan as amended and restated</w:t>
              </w:r>
            </w:hyperlink>
          </w:p>
        </w:tc>
        <w:tc>
          <w:tcPr>
            <w:tcW w:w="860" w:type="dxa"/>
            <w:vAlign w:val="bottom"/>
          </w:tcPr>
          <w:p>
            <w:pPr>
              <w:jc w:val="center"/>
              <w:spacing w:after="0"/>
              <w:rPr>
                <w:sz w:val="20"/>
                <w:szCs w:val="20"/>
                <w:color w:val="auto"/>
              </w:rPr>
            </w:pPr>
            <w:r>
              <w:rPr>
                <w:rFonts w:ascii="Arial" w:cs="Arial" w:eastAsia="Arial" w:hAnsi="Arial"/>
                <w:sz w:val="18"/>
                <w:szCs w:val="18"/>
                <w:color w:val="auto"/>
              </w:rPr>
              <w:t>DEF 14A</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Appendix A</w:t>
            </w:r>
          </w:p>
        </w:tc>
        <w:tc>
          <w:tcPr>
            <w:tcW w:w="1780" w:type="dxa"/>
            <w:vAlign w:val="bottom"/>
          </w:tcPr>
          <w:p>
            <w:pPr>
              <w:jc w:val="center"/>
              <w:spacing w:after="0"/>
              <w:rPr>
                <w:sz w:val="20"/>
                <w:szCs w:val="20"/>
                <w:color w:val="auto"/>
              </w:rPr>
            </w:pPr>
            <w:r>
              <w:rPr>
                <w:rFonts w:ascii="Arial" w:cs="Arial" w:eastAsia="Arial" w:hAnsi="Arial"/>
                <w:sz w:val="18"/>
                <w:szCs w:val="18"/>
                <w:color w:val="auto"/>
              </w:rPr>
              <w:t>April 5, 2017</w:t>
            </w: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5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February 16, 2017</w:t>
              </w:r>
            </w:hyperlink>
          </w:p>
        </w:tc>
        <w:tc>
          <w:tcPr>
            <w:tcW w:w="72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9200"/>
        <w:spacing w:after="0"/>
        <w:rPr>
          <w:sz w:val="20"/>
          <w:szCs w:val="20"/>
          <w:color w:val="auto"/>
        </w:rPr>
      </w:pPr>
      <w:r>
        <w:rPr>
          <w:rFonts w:ascii="Arial" w:cs="Arial" w:eastAsia="Arial" w:hAnsi="Arial"/>
          <w:sz w:val="12"/>
          <w:szCs w:val="12"/>
          <w:color w:val="auto"/>
        </w:rPr>
        <w:t xml:space="preserve">Nordstrom, Inc. and subsidiaries </w:t>
      </w: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80" w:type="dxa"/>
            <w:vAlign w:val="bottom"/>
            <w:gridSpan w:val="25"/>
            <w:vMerge w:val="restart"/>
          </w:tcPr>
          <w:p>
            <w:pPr>
              <w:ind w:left="560"/>
              <w:spacing w:after="0"/>
              <w:rPr>
                <w:sz w:val="20"/>
                <w:szCs w:val="20"/>
                <w:color w:val="auto"/>
              </w:rPr>
            </w:pPr>
            <w:r>
              <w:rPr>
                <w:rFonts w:ascii="Arial" w:cs="Arial" w:eastAsia="Arial" w:hAnsi="Arial"/>
                <w:sz w:val="18"/>
                <w:szCs w:val="18"/>
                <w:b w:val="1"/>
                <w:bCs w:val="1"/>
                <w:color w:val="auto"/>
              </w:rPr>
              <w:t>Exhibit</w:t>
            </w:r>
          </w:p>
        </w:tc>
        <w:tc>
          <w:tcPr>
            <w:tcW w:w="6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gridSpan w:val="25"/>
            <w:vMerge w:val="continue"/>
          </w:tcPr>
          <w:p>
            <w:pPr>
              <w:spacing w:after="0"/>
              <w:rPr>
                <w:sz w:val="19"/>
                <w:szCs w:val="19"/>
                <w:color w:val="auto"/>
              </w:rPr>
            </w:pPr>
          </w:p>
        </w:tc>
        <w:tc>
          <w:tcPr>
            <w:tcW w:w="6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Form</w:t>
            </w: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Exhibit</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Filing Date</w:t>
            </w:r>
          </w:p>
        </w:tc>
        <w:tc>
          <w:tcPr>
            <w:tcW w:w="0" w:type="dxa"/>
            <w:vAlign w:val="bottom"/>
          </w:tcPr>
          <w:p>
            <w:pPr>
              <w:spacing w:after="0"/>
              <w:rPr>
                <w:sz w:val="1"/>
                <w:szCs w:val="1"/>
                <w:color w:val="auto"/>
              </w:rPr>
            </w:pPr>
          </w:p>
        </w:tc>
      </w:tr>
      <w:tr>
        <w:trPr>
          <w:trHeight w:val="183"/>
        </w:trPr>
        <w:tc>
          <w:tcPr>
            <w:tcW w:w="840" w:type="dxa"/>
            <w:vAlign w:val="bottom"/>
          </w:tcPr>
          <w:p>
            <w:pPr>
              <w:ind w:left="20"/>
              <w:spacing w:after="0" w:line="182" w:lineRule="exact"/>
              <w:rPr>
                <w:sz w:val="20"/>
                <w:szCs w:val="20"/>
                <w:color w:val="auto"/>
              </w:rPr>
            </w:pPr>
            <w:r>
              <w:rPr>
                <w:rFonts w:ascii="Arial" w:cs="Arial" w:eastAsia="Arial" w:hAnsi="Arial"/>
                <w:sz w:val="18"/>
                <w:szCs w:val="18"/>
                <w:color w:val="auto"/>
              </w:rPr>
              <w:t>10.19</w:t>
            </w:r>
          </w:p>
        </w:tc>
        <w:tc>
          <w:tcPr>
            <w:tcW w:w="5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338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20">
              <w:r>
                <w:rPr>
                  <w:rFonts w:ascii="Arial" w:cs="Arial" w:eastAsia="Arial" w:hAnsi="Arial"/>
                  <w:sz w:val="18"/>
                  <w:szCs w:val="18"/>
                  <w:color w:val="0000FF"/>
                  <w:w w:val="99"/>
                </w:rPr>
                <w:t>Nordstrom, Inc. Executive Severance Plan</w:t>
              </w:r>
            </w:hyperlink>
          </w:p>
        </w:tc>
        <w:tc>
          <w:tcPr>
            <w:tcW w:w="2840" w:type="dxa"/>
            <w:vAlign w:val="bottom"/>
            <w:gridSpan w:val="22"/>
          </w:tcPr>
          <w:p>
            <w:pPr>
              <w:spacing w:after="0"/>
              <w:rPr>
                <w:sz w:val="15"/>
                <w:szCs w:val="15"/>
                <w:color w:val="auto"/>
              </w:rPr>
            </w:pPr>
          </w:p>
        </w:tc>
        <w:tc>
          <w:tcPr>
            <w:tcW w:w="680" w:type="dxa"/>
            <w:vAlign w:val="bottom"/>
          </w:tcPr>
          <w:p>
            <w:pPr>
              <w:jc w:val="center"/>
              <w:ind w:left="90"/>
              <w:spacing w:after="0" w:line="182" w:lineRule="exact"/>
              <w:rPr>
                <w:sz w:val="20"/>
                <w:szCs w:val="20"/>
                <w:color w:val="auto"/>
              </w:rPr>
            </w:pPr>
            <w:r>
              <w:rPr>
                <w:rFonts w:ascii="Arial" w:cs="Arial" w:eastAsia="Arial" w:hAnsi="Arial"/>
                <w:sz w:val="18"/>
                <w:szCs w:val="18"/>
                <w:color w:val="auto"/>
                <w:w w:val="99"/>
              </w:rPr>
              <w:t>10-K</w:t>
            </w:r>
          </w:p>
        </w:tc>
        <w:tc>
          <w:tcPr>
            <w:tcW w:w="1180" w:type="dxa"/>
            <w:vAlign w:val="bottom"/>
          </w:tcPr>
          <w:p>
            <w:pPr>
              <w:jc w:val="center"/>
              <w:ind w:left="130"/>
              <w:spacing w:after="0" w:line="182" w:lineRule="exact"/>
              <w:rPr>
                <w:sz w:val="20"/>
                <w:szCs w:val="20"/>
                <w:color w:val="auto"/>
              </w:rPr>
            </w:pPr>
            <w:r>
              <w:rPr>
                <w:rFonts w:ascii="Arial" w:cs="Arial" w:eastAsia="Arial" w:hAnsi="Arial"/>
                <w:sz w:val="18"/>
                <w:szCs w:val="18"/>
                <w:color w:val="auto"/>
                <w:w w:val="97"/>
              </w:rPr>
              <w:t>10.23</w:t>
            </w:r>
          </w:p>
        </w:tc>
        <w:tc>
          <w:tcPr>
            <w:tcW w:w="1820" w:type="dxa"/>
            <w:vAlign w:val="bottom"/>
          </w:tcPr>
          <w:p>
            <w:pPr>
              <w:jc w:val="center"/>
              <w:spacing w:after="0" w:line="182" w:lineRule="exact"/>
              <w:rPr>
                <w:sz w:val="20"/>
                <w:szCs w:val="20"/>
                <w:color w:val="auto"/>
              </w:rPr>
            </w:pPr>
            <w:r>
              <w:rPr>
                <w:rFonts w:ascii="Arial" w:cs="Arial" w:eastAsia="Arial" w:hAnsi="Arial"/>
                <w:sz w:val="18"/>
                <w:szCs w:val="18"/>
                <w:color w:val="auto"/>
              </w:rPr>
              <w:t>March 20, 2020</w:t>
            </w: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10.20</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0000FF"/>
            </w:tcBorders>
            <w:gridSpan w:val="11"/>
          </w:tcPr>
          <w:p>
            <w:pPr>
              <w:spacing w:after="0"/>
              <w:rPr>
                <w:rFonts w:ascii="Arial" w:cs="Arial" w:eastAsia="Arial" w:hAnsi="Arial"/>
                <w:sz w:val="18"/>
                <w:szCs w:val="18"/>
                <w:color w:val="0000FF"/>
                <w:w w:val="99"/>
              </w:rPr>
            </w:pPr>
            <w:hyperlink r:id="rId121">
              <w:r>
                <w:rPr>
                  <w:rFonts w:ascii="Arial" w:cs="Arial" w:eastAsia="Arial" w:hAnsi="Arial"/>
                  <w:sz w:val="18"/>
                  <w:szCs w:val="18"/>
                  <w:color w:val="0000FF"/>
                  <w:w w:val="99"/>
                </w:rPr>
                <w:t>Form of 2022 Performance Share Unit Award Agreement</w:t>
              </w:r>
            </w:hyperlink>
          </w:p>
        </w:tc>
        <w:tc>
          <w:tcPr>
            <w:tcW w:w="1680" w:type="dxa"/>
            <w:vAlign w:val="bottom"/>
            <w:gridSpan w:val="17"/>
          </w:tcPr>
          <w:p>
            <w:pPr>
              <w:spacing w:after="0"/>
              <w:rPr>
                <w:sz w:val="22"/>
                <w:szCs w:val="22"/>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10.2</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February 28, 2022</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10.21</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4540" w:type="dxa"/>
            <w:vAlign w:val="bottom"/>
            <w:tcBorders>
              <w:bottom w:val="single" w:sz="8" w:color="0000FF"/>
            </w:tcBorders>
            <w:gridSpan w:val="11"/>
          </w:tcPr>
          <w:p>
            <w:pPr>
              <w:spacing w:after="0"/>
              <w:rPr>
                <w:rFonts w:ascii="Arial" w:cs="Arial" w:eastAsia="Arial" w:hAnsi="Arial"/>
                <w:sz w:val="18"/>
                <w:szCs w:val="18"/>
                <w:color w:val="0000FF"/>
                <w:w w:val="99"/>
              </w:rPr>
            </w:pPr>
            <w:hyperlink r:id="rId122">
              <w:r>
                <w:rPr>
                  <w:rFonts w:ascii="Arial" w:cs="Arial" w:eastAsia="Arial" w:hAnsi="Arial"/>
                  <w:sz w:val="18"/>
                  <w:szCs w:val="18"/>
                  <w:color w:val="0000FF"/>
                  <w:w w:val="99"/>
                </w:rPr>
                <w:t>Form of 2023 Performance Share Unit Award Agreement</w:t>
              </w:r>
            </w:hyperlink>
          </w:p>
        </w:tc>
        <w:tc>
          <w:tcPr>
            <w:tcW w:w="1680" w:type="dxa"/>
            <w:vAlign w:val="bottom"/>
            <w:gridSpan w:val="17"/>
          </w:tcPr>
          <w:p>
            <w:pPr>
              <w:spacing w:after="0"/>
              <w:rPr>
                <w:sz w:val="22"/>
                <w:szCs w:val="22"/>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10.2</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March 6, 2023</w:t>
            </w: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10.22</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5800" w:type="dxa"/>
            <w:vAlign w:val="bottom"/>
            <w:tcBorders>
              <w:bottom w:val="single" w:sz="8" w:color="0000FF"/>
            </w:tcBorders>
            <w:gridSpan w:val="17"/>
          </w:tcPr>
          <w:p>
            <w:pPr>
              <w:spacing w:after="0"/>
              <w:rPr>
                <w:rFonts w:ascii="Arial" w:cs="Arial" w:eastAsia="Arial" w:hAnsi="Arial"/>
                <w:sz w:val="18"/>
                <w:szCs w:val="18"/>
                <w:color w:val="0000FF"/>
                <w:w w:val="99"/>
              </w:rPr>
            </w:pPr>
            <w:hyperlink r:id="rId123">
              <w:r>
                <w:rPr>
                  <w:rFonts w:ascii="Arial" w:cs="Arial" w:eastAsia="Arial" w:hAnsi="Arial"/>
                  <w:sz w:val="18"/>
                  <w:szCs w:val="18"/>
                  <w:color w:val="0000FF"/>
                  <w:w w:val="99"/>
                </w:rPr>
                <w:t>Nordstrom Supplemental Executive Retirement Plan (2020 Restatement)</w:t>
              </w:r>
            </w:hyperlink>
          </w:p>
        </w:tc>
        <w:tc>
          <w:tcPr>
            <w:tcW w:w="420" w:type="dxa"/>
            <w:vAlign w:val="bottom"/>
            <w:gridSpan w:val="11"/>
          </w:tcPr>
          <w:p>
            <w:pPr>
              <w:spacing w:after="0"/>
              <w:rPr>
                <w:sz w:val="22"/>
                <w:szCs w:val="22"/>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10-Q</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10.1</w:t>
            </w:r>
          </w:p>
        </w:tc>
        <w:tc>
          <w:tcPr>
            <w:tcW w:w="1820" w:type="dxa"/>
            <w:vAlign w:val="bottom"/>
          </w:tcPr>
          <w:p>
            <w:pPr>
              <w:jc w:val="center"/>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10.23</w:t>
            </w:r>
          </w:p>
        </w:tc>
        <w:tc>
          <w:tcPr>
            <w:tcW w:w="500" w:type="dxa"/>
            <w:vAlign w:val="bottom"/>
          </w:tcPr>
          <w:p>
            <w:pPr>
              <w:spacing w:after="0"/>
              <w:rPr>
                <w:sz w:val="22"/>
                <w:szCs w:val="22"/>
                <w:color w:val="auto"/>
              </w:rPr>
            </w:pPr>
          </w:p>
        </w:tc>
        <w:tc>
          <w:tcPr>
            <w:tcW w:w="5620" w:type="dxa"/>
            <w:vAlign w:val="bottom"/>
            <w:tcBorders>
              <w:bottom w:val="single" w:sz="8" w:color="0000FF"/>
            </w:tcBorders>
            <w:gridSpan w:val="14"/>
          </w:tcPr>
          <w:p>
            <w:pPr>
              <w:spacing w:after="0"/>
              <w:rPr>
                <w:rFonts w:ascii="Arial" w:cs="Arial" w:eastAsia="Arial" w:hAnsi="Arial"/>
                <w:sz w:val="18"/>
                <w:szCs w:val="18"/>
                <w:color w:val="0000FF"/>
                <w:w w:val="99"/>
              </w:rPr>
            </w:pPr>
            <w:hyperlink r:id="rId124">
              <w:r>
                <w:rPr>
                  <w:rFonts w:ascii="Arial" w:cs="Arial" w:eastAsia="Arial" w:hAnsi="Arial"/>
                  <w:sz w:val="18"/>
                  <w:szCs w:val="18"/>
                  <w:color w:val="0000FF"/>
                  <w:w w:val="99"/>
                </w:rPr>
                <w:t>Nordstrom Directors Deferred Compensation Plan (2017 Restatement)</w:t>
              </w:r>
            </w:hyperlink>
          </w:p>
        </w:tc>
        <w:tc>
          <w:tcPr>
            <w:tcW w:w="600" w:type="dxa"/>
            <w:vAlign w:val="bottom"/>
            <w:gridSpan w:val="14"/>
          </w:tcPr>
          <w:p>
            <w:pPr>
              <w:spacing w:after="0"/>
              <w:rPr>
                <w:sz w:val="22"/>
                <w:szCs w:val="22"/>
                <w:color w:val="auto"/>
              </w:rPr>
            </w:pPr>
          </w:p>
        </w:tc>
        <w:tc>
          <w:tcPr>
            <w:tcW w:w="68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w w:val="97"/>
              </w:rPr>
              <w:t>10.48</w:t>
            </w:r>
          </w:p>
        </w:tc>
        <w:tc>
          <w:tcPr>
            <w:tcW w:w="1820" w:type="dxa"/>
            <w:vAlign w:val="bottom"/>
          </w:tcPr>
          <w:p>
            <w:pPr>
              <w:jc w:val="center"/>
              <w:spacing w:after="0"/>
              <w:rPr>
                <w:sz w:val="20"/>
                <w:szCs w:val="20"/>
                <w:color w:val="auto"/>
              </w:rPr>
            </w:pPr>
            <w:r>
              <w:rPr>
                <w:rFonts w:ascii="Arial" w:cs="Arial" w:eastAsia="Arial" w:hAnsi="Arial"/>
                <w:sz w:val="18"/>
                <w:szCs w:val="18"/>
                <w:color w:val="auto"/>
              </w:rPr>
              <w:t>March 19, 2018</w:t>
            </w:r>
          </w:p>
        </w:tc>
        <w:tc>
          <w:tcPr>
            <w:tcW w:w="0" w:type="dxa"/>
            <w:vAlign w:val="bottom"/>
          </w:tcPr>
          <w:p>
            <w:pPr>
              <w:spacing w:after="0"/>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10.24</w:t>
            </w:r>
          </w:p>
        </w:tc>
        <w:tc>
          <w:tcPr>
            <w:tcW w:w="500" w:type="dxa"/>
            <w:vAlign w:val="bottom"/>
          </w:tcPr>
          <w:p>
            <w:pPr>
              <w:spacing w:after="0"/>
              <w:rPr>
                <w:sz w:val="22"/>
                <w:szCs w:val="22"/>
                <w:color w:val="auto"/>
              </w:rPr>
            </w:pPr>
          </w:p>
        </w:tc>
        <w:tc>
          <w:tcPr>
            <w:tcW w:w="6220" w:type="dxa"/>
            <w:vAlign w:val="bottom"/>
            <w:gridSpan w:val="28"/>
          </w:tcPr>
          <w:p>
            <w:pPr>
              <w:spacing w:after="0"/>
              <w:rPr>
                <w:rFonts w:ascii="Arial" w:cs="Arial" w:eastAsia="Arial" w:hAnsi="Arial"/>
                <w:sz w:val="18"/>
                <w:szCs w:val="18"/>
                <w:color w:val="0000FF"/>
              </w:rPr>
            </w:pPr>
            <w:hyperlink r:id="rId125">
              <w:r>
                <w:rPr>
                  <w:rFonts w:ascii="Arial" w:cs="Arial" w:eastAsia="Arial" w:hAnsi="Arial"/>
                  <w:sz w:val="18"/>
                  <w:szCs w:val="18"/>
                  <w:color w:val="0000FF"/>
                </w:rPr>
                <w:t>2010 Form of Independent Director Indemnification Agreement</w:t>
              </w:r>
            </w:hyperlink>
          </w:p>
        </w:tc>
        <w:tc>
          <w:tcPr>
            <w:tcW w:w="680" w:type="dxa"/>
            <w:vAlign w:val="bottom"/>
          </w:tcPr>
          <w:p>
            <w:pPr>
              <w:jc w:val="center"/>
              <w:ind w:left="9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w w:val="97"/>
              </w:rPr>
              <w:t>10.78</w:t>
            </w: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March 18, 2011</w:t>
            </w: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10.25</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4980" w:type="dxa"/>
            <w:vAlign w:val="bottom"/>
            <w:tcBorders>
              <w:top w:val="single" w:sz="8" w:color="0000FF"/>
            </w:tcBorders>
            <w:gridSpan w:val="13"/>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Form of 2019 Restricted Stock Unit Award Agreement</w:t>
              </w:r>
            </w:hyperlink>
          </w:p>
        </w:tc>
        <w:tc>
          <w:tcPr>
            <w:tcW w:w="1240" w:type="dxa"/>
            <w:vAlign w:val="bottom"/>
            <w:gridSpan w:val="15"/>
          </w:tcPr>
          <w:p>
            <w:pPr>
              <w:spacing w:after="0"/>
              <w:rPr>
                <w:sz w:val="22"/>
                <w:szCs w:val="22"/>
                <w:color w:val="auto"/>
              </w:rPr>
            </w:pPr>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10.3</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March 4, 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10.26</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Form of 2020 Restricted Stock Unit Award Agreement</w:t>
              </w:r>
            </w:hyperlink>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10.2</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March 3, 2020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10.27</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rFonts w:ascii="Arial" w:cs="Arial" w:eastAsia="Arial" w:hAnsi="Arial"/>
                <w:sz w:val="18"/>
                <w:szCs w:val="18"/>
                <w:color w:val="0000FF"/>
              </w:rPr>
            </w:pPr>
            <w:hyperlink r:id="rId128">
              <w:r>
                <w:rPr>
                  <w:rFonts w:ascii="Arial" w:cs="Arial" w:eastAsia="Arial" w:hAnsi="Arial"/>
                  <w:sz w:val="18"/>
                  <w:szCs w:val="18"/>
                  <w:color w:val="0000FF"/>
                </w:rPr>
                <w:t>Form of Restricted Stock Unit Award Agreement – Supplemental Award</w:t>
              </w:r>
            </w:hyperlink>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10.2</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March 8, 2018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10.28</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Restricted Stock Unit Award (Supplemental Award) under the 2019</w:t>
              </w:r>
            </w:hyperlink>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10.1</w:t>
            </w:r>
          </w:p>
        </w:tc>
        <w:tc>
          <w:tcPr>
            <w:tcW w:w="1820" w:type="dxa"/>
            <w:vAlign w:val="bottom"/>
          </w:tcPr>
          <w:p>
            <w:pPr>
              <w:jc w:val="center"/>
              <w:spacing w:after="0"/>
              <w:rPr>
                <w:sz w:val="20"/>
                <w:szCs w:val="20"/>
                <w:color w:val="auto"/>
              </w:rPr>
            </w:pPr>
            <w:r>
              <w:rPr>
                <w:rFonts w:ascii="Arial" w:cs="Arial" w:eastAsia="Arial" w:hAnsi="Arial"/>
                <w:sz w:val="18"/>
                <w:szCs w:val="18"/>
                <w:color w:val="auto"/>
              </w:rPr>
              <w:t>May 20, 2022</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29">
              <w:r>
                <w:rPr>
                  <w:rFonts w:ascii="Arial" w:cs="Arial" w:eastAsia="Arial" w:hAnsi="Arial"/>
                  <w:sz w:val="18"/>
                  <w:szCs w:val="18"/>
                  <w:color w:val="0000FF"/>
                  <w:w w:val="98"/>
                </w:rPr>
                <w:t>Equity Incentive Plan</w:t>
              </w:r>
            </w:hyperlink>
          </w:p>
        </w:tc>
        <w:tc>
          <w:tcPr>
            <w:tcW w:w="430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10.29</w:t>
            </w:r>
          </w:p>
        </w:tc>
        <w:tc>
          <w:tcPr>
            <w:tcW w:w="500" w:type="dxa"/>
            <w:vAlign w:val="bottom"/>
          </w:tcPr>
          <w:p>
            <w:pPr>
              <w:spacing w:after="0"/>
              <w:rPr>
                <w:sz w:val="24"/>
                <w:szCs w:val="24"/>
                <w:color w:val="auto"/>
              </w:rPr>
            </w:pPr>
          </w:p>
        </w:tc>
        <w:tc>
          <w:tcPr>
            <w:tcW w:w="6220" w:type="dxa"/>
            <w:vAlign w:val="bottom"/>
            <w:gridSpan w:val="28"/>
          </w:tcPr>
          <w:p>
            <w:pPr>
              <w:spacing w:after="0"/>
              <w:rPr>
                <w:rFonts w:ascii="Arial" w:cs="Arial" w:eastAsia="Arial" w:hAnsi="Arial"/>
                <w:sz w:val="18"/>
                <w:szCs w:val="18"/>
                <w:color w:val="0000FF"/>
              </w:rPr>
            </w:pPr>
            <w:hyperlink r:id="rId130">
              <w:r>
                <w:rPr>
                  <w:rFonts w:ascii="Arial" w:cs="Arial" w:eastAsia="Arial" w:hAnsi="Arial"/>
                  <w:sz w:val="18"/>
                  <w:szCs w:val="18"/>
                  <w:color w:val="0000FF"/>
                </w:rPr>
                <w:t>Revolving Credit Agreement dated May 6, 2022 between Registrant and each</w:t>
              </w:r>
            </w:hyperlink>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10-Q</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10.2</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June 3, 2022</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of the initial lenders named therein as lenders; Wells Fargo Bank, National</w:t>
              </w:r>
            </w:hyperlink>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130">
              <w:r>
                <w:rPr>
                  <w:rFonts w:ascii="Arial" w:cs="Arial" w:eastAsia="Arial" w:hAnsi="Arial"/>
                  <w:sz w:val="18"/>
                  <w:szCs w:val="18"/>
                  <w:color w:val="0000FF"/>
                </w:rPr>
                <w:t>Association as administrative agent; and Bank of America, N. A. and U.S.</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Bank, National Association as co-syndication agents</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10.30</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41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First Amendment to Revolving Credit Agreement</w:t>
            </w:r>
          </w:p>
        </w:tc>
        <w:tc>
          <w:tcPr>
            <w:tcW w:w="2060" w:type="dxa"/>
            <w:vAlign w:val="bottom"/>
            <w:gridSpan w:val="19"/>
          </w:tcPr>
          <w:p>
            <w:pPr>
              <w:spacing w:after="0"/>
              <w:rPr>
                <w:sz w:val="22"/>
                <w:szCs w:val="22"/>
                <w:color w:val="auto"/>
              </w:rPr>
            </w:pP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tcPr>
          <w:p>
            <w:pPr>
              <w:ind w:left="20"/>
              <w:spacing w:after="0"/>
              <w:rPr>
                <w:sz w:val="20"/>
                <w:szCs w:val="20"/>
                <w:color w:val="auto"/>
              </w:rPr>
            </w:pPr>
            <w:r>
              <w:rPr>
                <w:rFonts w:ascii="Arial" w:cs="Arial" w:eastAsia="Arial" w:hAnsi="Arial"/>
                <w:sz w:val="18"/>
                <w:szCs w:val="18"/>
                <w:color w:val="auto"/>
              </w:rPr>
              <w:t>10.31</w:t>
            </w:r>
          </w:p>
        </w:tc>
        <w:tc>
          <w:tcPr>
            <w:tcW w:w="500" w:type="dxa"/>
            <w:vAlign w:val="bottom"/>
          </w:tcPr>
          <w:p>
            <w:pPr>
              <w:spacing w:after="0"/>
              <w:rPr>
                <w:sz w:val="22"/>
                <w:szCs w:val="22"/>
                <w:color w:val="auto"/>
              </w:rPr>
            </w:pPr>
          </w:p>
        </w:tc>
        <w:tc>
          <w:tcPr>
            <w:tcW w:w="6220" w:type="dxa"/>
            <w:vAlign w:val="bottom"/>
            <w:gridSpan w:val="28"/>
          </w:tcPr>
          <w:p>
            <w:pPr>
              <w:spacing w:after="0"/>
              <w:rPr>
                <w:rFonts w:ascii="Arial" w:cs="Arial" w:eastAsia="Arial" w:hAnsi="Arial"/>
                <w:sz w:val="18"/>
                <w:szCs w:val="18"/>
                <w:color w:val="0000FF"/>
              </w:rPr>
            </w:pPr>
            <w:hyperlink r:id="rId131">
              <w:r>
                <w:rPr>
                  <w:rFonts w:ascii="Arial" w:cs="Arial" w:eastAsia="Arial" w:hAnsi="Arial"/>
                  <w:sz w:val="18"/>
                  <w:szCs w:val="18"/>
                  <w:color w:val="0000FF"/>
                </w:rPr>
                <w:t>Credit Card Program Agreement by and among Nordstrom, Inc., Nordstrom</w:t>
              </w:r>
            </w:hyperlink>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10-Q</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10.1</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December 1, 2015</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131">
              <w:r>
                <w:rPr>
                  <w:rFonts w:ascii="Arial" w:cs="Arial" w:eastAsia="Arial" w:hAnsi="Arial"/>
                  <w:sz w:val="18"/>
                  <w:szCs w:val="18"/>
                  <w:color w:val="0000FF"/>
                  <w:w w:val="99"/>
                </w:rPr>
                <w:t>FSB and TD Bank USA, N.A. dated May 25, 2015</w:t>
              </w:r>
            </w:hyperlink>
          </w:p>
        </w:tc>
        <w:tc>
          <w:tcPr>
            <w:tcW w:w="20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10.32</w:t>
            </w:r>
          </w:p>
        </w:tc>
        <w:tc>
          <w:tcPr>
            <w:tcW w:w="500" w:type="dxa"/>
            <w:vAlign w:val="bottom"/>
          </w:tcPr>
          <w:p>
            <w:pPr>
              <w:spacing w:after="0"/>
              <w:rPr>
                <w:sz w:val="24"/>
                <w:szCs w:val="24"/>
                <w:color w:val="auto"/>
              </w:rPr>
            </w:pPr>
          </w:p>
        </w:tc>
        <w:tc>
          <w:tcPr>
            <w:tcW w:w="6220" w:type="dxa"/>
            <w:vAlign w:val="bottom"/>
            <w:gridSpan w:val="28"/>
          </w:tcPr>
          <w:p>
            <w:pPr>
              <w:spacing w:after="0"/>
              <w:rPr>
                <w:rFonts w:ascii="Arial" w:cs="Arial" w:eastAsia="Arial" w:hAnsi="Arial"/>
                <w:sz w:val="18"/>
                <w:szCs w:val="18"/>
                <w:color w:val="0000FF"/>
              </w:rPr>
            </w:pPr>
            <w:hyperlink r:id="rId132">
              <w:r>
                <w:rPr>
                  <w:rFonts w:ascii="Arial" w:cs="Arial" w:eastAsia="Arial" w:hAnsi="Arial"/>
                  <w:sz w:val="18"/>
                  <w:szCs w:val="18"/>
                  <w:color w:val="0000FF"/>
                </w:rPr>
                <w:t>Amendment No. 7 to the Credit Card Program Agreement by and between</w:t>
              </w:r>
            </w:hyperlink>
          </w:p>
        </w:tc>
        <w:tc>
          <w:tcPr>
            <w:tcW w:w="680" w:type="dxa"/>
            <w:vAlign w:val="bottom"/>
          </w:tcPr>
          <w:p>
            <w:pPr>
              <w:jc w:val="center"/>
              <w:ind w:left="70"/>
              <w:spacing w:after="0"/>
              <w:rPr>
                <w:sz w:val="20"/>
                <w:szCs w:val="20"/>
                <w:color w:val="auto"/>
              </w:rPr>
            </w:pPr>
            <w:r>
              <w:rPr>
                <w:rFonts w:ascii="Arial" w:cs="Arial" w:eastAsia="Arial" w:hAnsi="Arial"/>
                <w:sz w:val="18"/>
                <w:szCs w:val="18"/>
                <w:color w:val="auto"/>
                <w:w w:val="99"/>
              </w:rPr>
              <w:t>10-Q</w:t>
            </w:r>
          </w:p>
        </w:tc>
        <w:tc>
          <w:tcPr>
            <w:tcW w:w="1180" w:type="dxa"/>
            <w:vAlign w:val="bottom"/>
          </w:tcPr>
          <w:p>
            <w:pPr>
              <w:jc w:val="center"/>
              <w:ind w:left="130"/>
              <w:spacing w:after="0"/>
              <w:rPr>
                <w:sz w:val="20"/>
                <w:szCs w:val="20"/>
                <w:color w:val="auto"/>
              </w:rPr>
            </w:pPr>
            <w:r>
              <w:rPr>
                <w:rFonts w:ascii="Arial" w:cs="Arial" w:eastAsia="Arial" w:hAnsi="Arial"/>
                <w:sz w:val="18"/>
                <w:szCs w:val="18"/>
                <w:color w:val="auto"/>
              </w:rPr>
              <w:t>10.1</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December 2, 2022</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9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Nordstrom, Inc., and TD Bank USA, N.A.</w:t>
              </w:r>
            </w:hyperlink>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21.1</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32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Significant subsidiaries of the Registrant</w:t>
            </w:r>
          </w:p>
        </w:tc>
        <w:tc>
          <w:tcPr>
            <w:tcW w:w="40" w:type="dxa"/>
            <w:vAlign w:val="bottom"/>
            <w:tcBorders>
              <w:top w:val="single" w:sz="8" w:color="0000FF"/>
            </w:tcBorders>
          </w:tcPr>
          <w:p>
            <w:pPr>
              <w:spacing w:after="0"/>
              <w:rPr>
                <w:sz w:val="24"/>
                <w:szCs w:val="24"/>
                <w:color w:val="auto"/>
              </w:rPr>
            </w:pPr>
          </w:p>
        </w:tc>
        <w:tc>
          <w:tcPr>
            <w:tcW w:w="2980" w:type="dxa"/>
            <w:vAlign w:val="bottom"/>
            <w:gridSpan w:val="23"/>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0" w:type="dxa"/>
            <w:vAlign w:val="bottom"/>
          </w:tcPr>
          <w:p>
            <w:pPr>
              <w:ind w:left="20"/>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2"/>
                <w:szCs w:val="22"/>
                <w:color w:val="auto"/>
              </w:rPr>
            </w:pPr>
          </w:p>
        </w:tc>
        <w:tc>
          <w:tcPr>
            <w:tcW w:w="6220" w:type="dxa"/>
            <w:vAlign w:val="bottom"/>
            <w:gridSpan w:val="28"/>
          </w:tcPr>
          <w:p>
            <w:pPr>
              <w:spacing w:after="0"/>
              <w:rPr>
                <w:sz w:val="20"/>
                <w:szCs w:val="20"/>
                <w:color w:val="auto"/>
              </w:rPr>
            </w:pPr>
            <w:r>
              <w:rPr>
                <w:rFonts w:ascii="Arial" w:cs="Arial" w:eastAsia="Arial" w:hAnsi="Arial"/>
                <w:sz w:val="18"/>
                <w:szCs w:val="18"/>
                <w:color w:val="0000FF"/>
              </w:rPr>
              <w:t>Consent of Independent Registered Public Accounting Firm</w:t>
            </w:r>
            <w:r>
              <w:rPr>
                <w:rFonts w:ascii="Arial" w:cs="Arial" w:eastAsia="Arial" w:hAnsi="Arial"/>
                <w:sz w:val="18"/>
                <w:szCs w:val="18"/>
                <w:color w:val="000000"/>
              </w:rPr>
              <w:t>, filed as page</w:t>
            </w:r>
            <w:r>
              <w:rPr>
                <w:rFonts w:ascii="Arial" w:cs="Arial" w:eastAsia="Arial" w:hAnsi="Arial"/>
                <w:sz w:val="18"/>
                <w:szCs w:val="18"/>
                <w:color w:val="0000FF"/>
              </w:rPr>
              <w:t xml:space="preserve"> 74</w:t>
            </w:r>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7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of this report</w:t>
            </w:r>
          </w:p>
        </w:tc>
        <w:tc>
          <w:tcPr>
            <w:tcW w:w="9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120" w:type="dxa"/>
            <w:vAlign w:val="bottom"/>
            <w:tcBorders>
              <w:top w:val="single" w:sz="8" w:color="0000FF"/>
            </w:tcBorders>
            <w:gridSpan w:val="5"/>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40" w:type="dxa"/>
            <w:vAlign w:val="bottom"/>
          </w:tcPr>
          <w:p>
            <w:pPr>
              <w:ind w:left="20"/>
              <w:spacing w:after="0"/>
              <w:rPr>
                <w:sz w:val="20"/>
                <w:szCs w:val="20"/>
                <w:color w:val="auto"/>
              </w:rPr>
            </w:pPr>
            <w:r>
              <w:rPr>
                <w:rFonts w:ascii="Arial" w:cs="Arial" w:eastAsia="Arial" w:hAnsi="Arial"/>
                <w:sz w:val="18"/>
                <w:szCs w:val="18"/>
                <w:color w:val="auto"/>
              </w:rPr>
              <w:t>31.1</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0000FF"/>
              </w:rPr>
              <w:t>Certification of Chief Executive Officer required by Section 302(a) of the</w:t>
            </w:r>
          </w:p>
        </w:tc>
        <w:tc>
          <w:tcPr>
            <w:tcW w:w="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70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Sarbanes-Oxley Act of 2002</w:t>
            </w:r>
          </w:p>
        </w:tc>
        <w:tc>
          <w:tcPr>
            <w:tcW w:w="320" w:type="dxa"/>
            <w:vAlign w:val="bottom"/>
            <w:gridSpan w:val="8"/>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31.2</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0000FF"/>
              </w:rPr>
              <w:t>Certification of Chief Financial Officer required by Section 302(a) of the</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8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Sarbanes-Oxley Act of 2002</w:t>
            </w:r>
          </w:p>
        </w:tc>
        <w:tc>
          <w:tcPr>
            <w:tcW w:w="340" w:type="dxa"/>
            <w:vAlign w:val="bottom"/>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780" w:type="dxa"/>
            <w:vAlign w:val="bottom"/>
            <w:gridSpan w:val="2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tcPr>
          <w:p>
            <w:pPr>
              <w:ind w:left="20"/>
              <w:spacing w:after="0"/>
              <w:rPr>
                <w:sz w:val="20"/>
                <w:szCs w:val="20"/>
                <w:color w:val="auto"/>
              </w:rPr>
            </w:pPr>
            <w:r>
              <w:rPr>
                <w:rFonts w:ascii="Arial" w:cs="Arial" w:eastAsia="Arial" w:hAnsi="Arial"/>
                <w:sz w:val="18"/>
                <w:szCs w:val="18"/>
                <w:color w:val="auto"/>
              </w:rPr>
              <w:t>32.1</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0000FF"/>
              </w:rPr>
              <w:t>Certification of Chief Executive Officer and Chief Financial Officer pursuant to</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14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18 U.S.C. 1350, as adopted pursuant to Section 906 of the Sarbanes-Oxley</w:t>
            </w:r>
          </w:p>
        </w:tc>
        <w:tc>
          <w:tcPr>
            <w:tcW w:w="8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20" w:type="dxa"/>
            <w:vAlign w:val="bottom"/>
            <w:tcBorders>
              <w:top w:val="single" w:sz="8" w:color="0000FF"/>
            </w:tcBorders>
            <w:gridSpan w:val="24"/>
          </w:tcPr>
          <w:p>
            <w:pPr>
              <w:spacing w:after="0" w:line="169" w:lineRule="exact"/>
              <w:rPr>
                <w:sz w:val="20"/>
                <w:szCs w:val="20"/>
                <w:color w:val="auto"/>
              </w:rPr>
            </w:pPr>
            <w:r>
              <w:rPr>
                <w:rFonts w:ascii="Arial" w:cs="Arial" w:eastAsia="Arial" w:hAnsi="Arial"/>
                <w:sz w:val="18"/>
                <w:szCs w:val="18"/>
                <w:color w:val="0000FF"/>
              </w:rPr>
              <w:t>Act of 2002</w:t>
            </w:r>
          </w:p>
        </w:tc>
        <w:tc>
          <w:tcPr>
            <w:tcW w:w="20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320" w:type="dxa"/>
            <w:vAlign w:val="bottom"/>
            <w:gridSpan w:val="2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40" w:type="dxa"/>
            <w:vAlign w:val="bottom"/>
          </w:tcPr>
          <w:p>
            <w:pPr>
              <w:ind w:left="20"/>
              <w:spacing w:after="0"/>
              <w:rPr>
                <w:sz w:val="20"/>
                <w:szCs w:val="20"/>
                <w:color w:val="auto"/>
              </w:rPr>
            </w:pPr>
            <w:r>
              <w:rPr>
                <w:rFonts w:ascii="Arial" w:cs="Arial" w:eastAsia="Arial" w:hAnsi="Arial"/>
                <w:sz w:val="18"/>
                <w:szCs w:val="18"/>
                <w:color w:val="auto"/>
              </w:rPr>
              <w:t>101.INS</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auto"/>
              </w:rPr>
              <w:t>Inline XBRL Instance Document</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101.SCH</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Document</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101.PRE</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40" w:type="dxa"/>
            <w:vAlign w:val="bottom"/>
          </w:tcPr>
          <w:p>
            <w:pPr>
              <w:ind w:left="20"/>
              <w:spacing w:after="0"/>
              <w:rPr>
                <w:sz w:val="20"/>
                <w:szCs w:val="20"/>
                <w:color w:val="auto"/>
              </w:rPr>
            </w:pPr>
            <w:r>
              <w:rPr>
                <w:rFonts w:ascii="Arial" w:cs="Arial" w:eastAsia="Arial" w:hAnsi="Arial"/>
                <w:sz w:val="18"/>
                <w:szCs w:val="18"/>
                <w:color w:val="auto"/>
              </w:rPr>
              <w:t>101.DEF</w:t>
            </w:r>
          </w:p>
        </w:tc>
        <w:tc>
          <w:tcPr>
            <w:tcW w:w="500" w:type="dxa"/>
            <w:vAlign w:val="bottom"/>
          </w:tcPr>
          <w:p>
            <w:pPr>
              <w:ind w:left="80"/>
              <w:spacing w:after="0"/>
              <w:rPr>
                <w:sz w:val="20"/>
                <w:szCs w:val="20"/>
                <w:color w:val="auto"/>
              </w:rPr>
            </w:pPr>
            <w:r>
              <w:rPr>
                <w:rFonts w:ascii="Arial" w:cs="Arial" w:eastAsia="Arial" w:hAnsi="Arial"/>
                <w:sz w:val="18"/>
                <w:szCs w:val="18"/>
                <w:color w:val="auto"/>
              </w:rPr>
              <w:t>†</w:t>
            </w:r>
          </w:p>
        </w:tc>
        <w:tc>
          <w:tcPr>
            <w:tcW w:w="6220" w:type="dxa"/>
            <w:vAlign w:val="bottom"/>
            <w:gridSpan w:val="2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104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220" w:type="dxa"/>
            <w:vAlign w:val="bottom"/>
            <w:tcBorders>
              <w:bottom w:val="single" w:sz="8" w:color="auto"/>
            </w:tcBorders>
            <w:gridSpan w:val="28"/>
          </w:tcPr>
          <w:p>
            <w:pPr>
              <w:spacing w:after="0"/>
              <w:rPr>
                <w:sz w:val="20"/>
                <w:szCs w:val="20"/>
                <w:color w:val="auto"/>
              </w:rPr>
            </w:pPr>
            <w:r>
              <w:rPr>
                <w:rFonts w:ascii="Arial" w:cs="Arial" w:eastAsia="Arial" w:hAnsi="Arial"/>
                <w:sz w:val="18"/>
                <w:szCs w:val="18"/>
                <w:color w:val="auto"/>
              </w:rPr>
              <w:t>Cover Page Interactive Data File (Inline XBRL)</w:t>
            </w:r>
          </w:p>
        </w:tc>
        <w:tc>
          <w:tcPr>
            <w:tcW w:w="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hanging="94"/>
        <w:spacing w:after="0"/>
        <w:tabs>
          <w:tab w:leader="none" w:pos="1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Management contract, compensatory plan or arrangement</w:t>
      </w:r>
    </w:p>
    <w:p>
      <w:pPr>
        <w:spacing w:after="0" w:line="4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Filed herewith electronically</w:t>
      </w:r>
    </w:p>
    <w:p>
      <w:pPr>
        <w:spacing w:after="0" w:line="41" w:lineRule="exact"/>
        <w:rPr>
          <w:rFonts w:ascii="Arial" w:cs="Arial" w:eastAsia="Arial" w:hAnsi="Arial"/>
          <w:sz w:val="14"/>
          <w:szCs w:val="14"/>
          <w:color w:val="auto"/>
        </w:rPr>
      </w:pPr>
    </w:p>
    <w:p>
      <w:pPr>
        <w:ind w:left="20"/>
        <w:spacing w:after="0"/>
        <w:rPr>
          <w:rFonts w:ascii="Arial" w:cs="Arial" w:eastAsia="Arial" w:hAnsi="Arial"/>
          <w:sz w:val="14"/>
          <w:szCs w:val="14"/>
          <w:color w:val="auto"/>
        </w:rPr>
      </w:pPr>
      <w:r>
        <w:rPr>
          <w:rFonts w:ascii="Arial" w:cs="Arial" w:eastAsia="Arial" w:hAnsi="Arial"/>
          <w:sz w:val="14"/>
          <w:szCs w:val="14"/>
          <w:color w:val="auto"/>
        </w:rPr>
        <w:t>‡ Furnished herewith electronically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18"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NORDSTROM, INC.</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(Registrant)</w:t>
      </w:r>
    </w:p>
    <w:p>
      <w:pPr>
        <w:spacing w:after="0" w:line="229" w:lineRule="exact"/>
        <w:rPr>
          <w:sz w:val="20"/>
          <w:szCs w:val="20"/>
          <w:color w:val="auto"/>
        </w:rPr>
      </w:pPr>
    </w:p>
    <w:p>
      <w:pPr>
        <w:ind w:left="6400"/>
        <w:spacing w:after="0"/>
        <w:tabs>
          <w:tab w:leader="none" w:pos="97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Michael W.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17780</wp:posOffset>
            </wp:positionV>
            <wp:extent cx="3068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Michael W. Maher</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Interim Chief Financial Officer and Chief Accounting Officer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2023</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23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960" w:type="dxa"/>
            <w:vAlign w:val="bottom"/>
          </w:tcPr>
          <w:p>
            <w:pPr>
              <w:spacing w:after="0"/>
              <w:rPr>
                <w:sz w:val="20"/>
                <w:szCs w:val="20"/>
                <w:color w:val="auto"/>
              </w:rPr>
            </w:pPr>
          </w:p>
        </w:tc>
      </w:tr>
      <w:tr>
        <w:trPr>
          <w:trHeight w:val="279"/>
        </w:trPr>
        <w:tc>
          <w:tcPr>
            <w:tcW w:w="56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Michael W. Maher</w:t>
            </w:r>
          </w:p>
        </w:tc>
        <w:tc>
          <w:tcPr>
            <w:tcW w:w="232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jc w:val="right"/>
              <w:spacing w:after="0"/>
              <w:rPr>
                <w:sz w:val="20"/>
                <w:szCs w:val="20"/>
                <w:color w:val="auto"/>
              </w:rPr>
            </w:pPr>
            <w:r>
              <w:rPr>
                <w:rFonts w:ascii="Arial" w:cs="Arial" w:eastAsia="Arial" w:hAnsi="Arial"/>
                <w:sz w:val="18"/>
                <w:szCs w:val="18"/>
                <w:color w:val="auto"/>
              </w:rPr>
              <w:t>Erik B. Nordstrom</w:t>
            </w:r>
          </w:p>
        </w:tc>
      </w:tr>
      <w:tr>
        <w:trPr>
          <w:trHeight w:val="218"/>
        </w:trPr>
        <w:tc>
          <w:tcPr>
            <w:tcW w:w="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Michael W. Maher</w:t>
            </w:r>
          </w:p>
        </w:tc>
        <w:tc>
          <w:tcPr>
            <w:tcW w:w="66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Erik B. Nordstrom</w:t>
            </w:r>
          </w:p>
        </w:tc>
      </w:tr>
      <w:tr>
        <w:trPr>
          <w:trHeight w:val="181"/>
        </w:trPr>
        <w:tc>
          <w:tcPr>
            <w:tcW w:w="560" w:type="dxa"/>
            <w:vAlign w:val="bottom"/>
          </w:tcPr>
          <w:p>
            <w:pPr>
              <w:spacing w:after="0"/>
              <w:rPr>
                <w:sz w:val="15"/>
                <w:szCs w:val="15"/>
                <w:color w:val="auto"/>
              </w:rPr>
            </w:pPr>
          </w:p>
        </w:tc>
        <w:tc>
          <w:tcPr>
            <w:tcW w:w="5360" w:type="dxa"/>
            <w:vAlign w:val="bottom"/>
            <w:gridSpan w:val="2"/>
          </w:tcPr>
          <w:p>
            <w:pPr>
              <w:jc w:val="right"/>
              <w:ind w:right="680"/>
              <w:spacing w:after="0" w:line="181" w:lineRule="exact"/>
              <w:rPr>
                <w:sz w:val="20"/>
                <w:szCs w:val="20"/>
                <w:color w:val="auto"/>
              </w:rPr>
            </w:pPr>
            <w:r>
              <w:rPr>
                <w:rFonts w:ascii="Arial" w:cs="Arial" w:eastAsia="Arial" w:hAnsi="Arial"/>
                <w:sz w:val="18"/>
                <w:szCs w:val="18"/>
                <w:color w:val="auto"/>
              </w:rPr>
              <w:t>Interim Chief Financial Officer and Chief Accounting</w:t>
            </w:r>
          </w:p>
        </w:tc>
        <w:tc>
          <w:tcPr>
            <w:tcW w:w="2320" w:type="dxa"/>
            <w:vAlign w:val="bottom"/>
          </w:tcPr>
          <w:p>
            <w:pPr>
              <w:spacing w:after="0"/>
              <w:rPr>
                <w:sz w:val="15"/>
                <w:szCs w:val="15"/>
                <w:color w:val="auto"/>
              </w:rPr>
            </w:pPr>
          </w:p>
        </w:tc>
        <w:tc>
          <w:tcPr>
            <w:tcW w:w="2960" w:type="dxa"/>
            <w:vAlign w:val="bottom"/>
          </w:tcPr>
          <w:p>
            <w:pPr>
              <w:jc w:val="right"/>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560" w:type="dxa"/>
            <w:vAlign w:val="bottom"/>
          </w:tcPr>
          <w:p>
            <w:pPr>
              <w:spacing w:after="0"/>
              <w:rPr>
                <w:sz w:val="20"/>
                <w:szCs w:val="20"/>
                <w:color w:val="auto"/>
              </w:rPr>
            </w:pP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Officer</w:t>
            </w:r>
          </w:p>
        </w:tc>
        <w:tc>
          <w:tcPr>
            <w:tcW w:w="23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92"/>
        </w:trPr>
        <w:tc>
          <w:tcPr>
            <w:tcW w:w="5920" w:type="dxa"/>
            <w:vAlign w:val="bottom"/>
            <w:gridSpan w:val="3"/>
          </w:tcPr>
          <w:p>
            <w:pPr>
              <w:ind w:left="20"/>
              <w:spacing w:after="0"/>
              <w:rPr>
                <w:sz w:val="20"/>
                <w:szCs w:val="20"/>
                <w:color w:val="auto"/>
              </w:rPr>
            </w:pPr>
            <w:r>
              <w:rPr>
                <w:rFonts w:ascii="Arial" w:cs="Arial" w:eastAsia="Arial" w:hAnsi="Arial"/>
                <w:sz w:val="18"/>
                <w:szCs w:val="18"/>
                <w:color w:val="auto"/>
              </w:rPr>
              <w:t>Directors:</w:t>
            </w:r>
          </w:p>
        </w:tc>
        <w:tc>
          <w:tcPr>
            <w:tcW w:w="23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79"/>
        </w:trPr>
        <w:tc>
          <w:tcPr>
            <w:tcW w:w="56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Stacy Brown-Philpot</w:t>
            </w:r>
          </w:p>
        </w:tc>
        <w:tc>
          <w:tcPr>
            <w:tcW w:w="232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jc w:val="right"/>
              <w:spacing w:after="0"/>
              <w:rPr>
                <w:sz w:val="20"/>
                <w:szCs w:val="20"/>
                <w:color w:val="auto"/>
              </w:rPr>
            </w:pPr>
            <w:r>
              <w:rPr>
                <w:rFonts w:ascii="Arial" w:cs="Arial" w:eastAsia="Arial" w:hAnsi="Arial"/>
                <w:sz w:val="18"/>
                <w:szCs w:val="18"/>
                <w:color w:val="auto"/>
              </w:rPr>
              <w:t>James L. Donald</w:t>
            </w:r>
          </w:p>
        </w:tc>
      </w:tr>
      <w:tr>
        <w:trPr>
          <w:trHeight w:val="218"/>
        </w:trPr>
        <w:tc>
          <w:tcPr>
            <w:tcW w:w="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Stacy Brown-Philpot</w:t>
            </w:r>
          </w:p>
        </w:tc>
        <w:tc>
          <w:tcPr>
            <w:tcW w:w="66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James L. Donald</w:t>
            </w:r>
          </w:p>
        </w:tc>
      </w:tr>
      <w:tr>
        <w:trPr>
          <w:trHeight w:val="239"/>
        </w:trPr>
        <w:tc>
          <w:tcPr>
            <w:tcW w:w="560" w:type="dxa"/>
            <w:vAlign w:val="bottom"/>
          </w:tcPr>
          <w:p>
            <w:pPr>
              <w:spacing w:after="0"/>
              <w:rPr>
                <w:sz w:val="20"/>
                <w:szCs w:val="20"/>
                <w:color w:val="auto"/>
              </w:rPr>
            </w:pP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Director</w:t>
            </w:r>
          </w:p>
        </w:tc>
        <w:tc>
          <w:tcPr>
            <w:tcW w:w="232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0"/>
        </w:trPr>
        <w:tc>
          <w:tcPr>
            <w:tcW w:w="56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Kirsten A. Green</w:t>
            </w:r>
          </w:p>
        </w:tc>
        <w:tc>
          <w:tcPr>
            <w:tcW w:w="232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jc w:val="right"/>
              <w:spacing w:after="0"/>
              <w:rPr>
                <w:sz w:val="20"/>
                <w:szCs w:val="20"/>
                <w:color w:val="auto"/>
              </w:rPr>
            </w:pPr>
            <w:r>
              <w:rPr>
                <w:rFonts w:ascii="Arial" w:cs="Arial" w:eastAsia="Arial" w:hAnsi="Arial"/>
                <w:sz w:val="18"/>
                <w:szCs w:val="18"/>
                <w:color w:val="auto"/>
              </w:rPr>
              <w:t>Glenda G. McNeal</w:t>
            </w:r>
          </w:p>
        </w:tc>
      </w:tr>
      <w:tr>
        <w:trPr>
          <w:trHeight w:val="218"/>
        </w:trPr>
        <w:tc>
          <w:tcPr>
            <w:tcW w:w="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Kirsten A. Green</w:t>
            </w:r>
          </w:p>
        </w:tc>
        <w:tc>
          <w:tcPr>
            <w:tcW w:w="66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Glenda G. McNeal</w:t>
            </w:r>
          </w:p>
        </w:tc>
      </w:tr>
      <w:tr>
        <w:trPr>
          <w:trHeight w:val="239"/>
        </w:trPr>
        <w:tc>
          <w:tcPr>
            <w:tcW w:w="560" w:type="dxa"/>
            <w:vAlign w:val="bottom"/>
          </w:tcPr>
          <w:p>
            <w:pPr>
              <w:spacing w:after="0"/>
              <w:rPr>
                <w:sz w:val="20"/>
                <w:szCs w:val="20"/>
                <w:color w:val="auto"/>
              </w:rPr>
            </w:pP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Director</w:t>
            </w:r>
          </w:p>
        </w:tc>
        <w:tc>
          <w:tcPr>
            <w:tcW w:w="232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0"/>
        </w:trPr>
        <w:tc>
          <w:tcPr>
            <w:tcW w:w="56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Erik B. Nordstrom</w:t>
            </w:r>
          </w:p>
        </w:tc>
        <w:tc>
          <w:tcPr>
            <w:tcW w:w="232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jc w:val="right"/>
              <w:spacing w:after="0"/>
              <w:rPr>
                <w:sz w:val="20"/>
                <w:szCs w:val="20"/>
                <w:color w:val="auto"/>
              </w:rPr>
            </w:pPr>
            <w:r>
              <w:rPr>
                <w:rFonts w:ascii="Arial" w:cs="Arial" w:eastAsia="Arial" w:hAnsi="Arial"/>
                <w:sz w:val="18"/>
                <w:szCs w:val="18"/>
                <w:color w:val="auto"/>
              </w:rPr>
              <w:t>Peter E. Nordstrom</w:t>
            </w:r>
          </w:p>
        </w:tc>
      </w:tr>
      <w:tr>
        <w:trPr>
          <w:trHeight w:val="218"/>
        </w:trPr>
        <w:tc>
          <w:tcPr>
            <w:tcW w:w="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Erik B. Nordstrom</w:t>
            </w:r>
          </w:p>
        </w:tc>
        <w:tc>
          <w:tcPr>
            <w:tcW w:w="66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Peter E. Nordstrom</w:t>
            </w:r>
          </w:p>
        </w:tc>
      </w:tr>
      <w:tr>
        <w:trPr>
          <w:trHeight w:val="239"/>
        </w:trPr>
        <w:tc>
          <w:tcPr>
            <w:tcW w:w="560" w:type="dxa"/>
            <w:vAlign w:val="bottom"/>
          </w:tcPr>
          <w:p>
            <w:pPr>
              <w:spacing w:after="0"/>
              <w:rPr>
                <w:sz w:val="20"/>
                <w:szCs w:val="20"/>
                <w:color w:val="auto"/>
              </w:rPr>
            </w:pP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Director</w:t>
            </w:r>
          </w:p>
        </w:tc>
        <w:tc>
          <w:tcPr>
            <w:tcW w:w="232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280"/>
        </w:trPr>
        <w:tc>
          <w:tcPr>
            <w:tcW w:w="56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Amie Thuener O’Toole</w:t>
            </w:r>
          </w:p>
        </w:tc>
        <w:tc>
          <w:tcPr>
            <w:tcW w:w="232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jc w:val="right"/>
              <w:spacing w:after="0"/>
              <w:rPr>
                <w:sz w:val="20"/>
                <w:szCs w:val="20"/>
                <w:color w:val="auto"/>
              </w:rPr>
            </w:pPr>
            <w:r>
              <w:rPr>
                <w:rFonts w:ascii="Arial" w:cs="Arial" w:eastAsia="Arial" w:hAnsi="Arial"/>
                <w:sz w:val="18"/>
                <w:szCs w:val="18"/>
                <w:color w:val="auto"/>
              </w:rPr>
              <w:t>Bradley D. Tilden</w:t>
            </w:r>
          </w:p>
        </w:tc>
      </w:tr>
      <w:tr>
        <w:trPr>
          <w:trHeight w:val="218"/>
        </w:trPr>
        <w:tc>
          <w:tcPr>
            <w:tcW w:w="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Amie Thuener O’Toole</w:t>
            </w:r>
          </w:p>
        </w:tc>
        <w:tc>
          <w:tcPr>
            <w:tcW w:w="66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Bradley D. Tilden</w:t>
            </w:r>
          </w:p>
        </w:tc>
      </w:tr>
      <w:tr>
        <w:trPr>
          <w:trHeight w:val="239"/>
        </w:trPr>
        <w:tc>
          <w:tcPr>
            <w:tcW w:w="560" w:type="dxa"/>
            <w:vAlign w:val="bottom"/>
          </w:tcPr>
          <w:p>
            <w:pPr>
              <w:spacing w:after="0"/>
              <w:rPr>
                <w:sz w:val="20"/>
                <w:szCs w:val="20"/>
                <w:color w:val="auto"/>
              </w:rPr>
            </w:pP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Director</w:t>
            </w:r>
          </w:p>
        </w:tc>
        <w:tc>
          <w:tcPr>
            <w:tcW w:w="232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Chairman of the Board of Directors</w:t>
            </w:r>
          </w:p>
        </w:tc>
      </w:tr>
      <w:tr>
        <w:trPr>
          <w:trHeight w:val="280"/>
        </w:trPr>
        <w:tc>
          <w:tcPr>
            <w:tcW w:w="560" w:type="dxa"/>
            <w:vAlign w:val="bottom"/>
          </w:tcPr>
          <w:p>
            <w:pPr>
              <w:ind w:left="20"/>
              <w:spacing w:after="0"/>
              <w:rPr>
                <w:sz w:val="20"/>
                <w:szCs w:val="20"/>
                <w:color w:val="auto"/>
              </w:rPr>
            </w:pPr>
            <w:r>
              <w:rPr>
                <w:rFonts w:ascii="Arial" w:cs="Arial" w:eastAsia="Arial" w:hAnsi="Arial"/>
                <w:sz w:val="18"/>
                <w:szCs w:val="18"/>
                <w:color w:val="auto"/>
              </w:rPr>
              <w:t>/s/</w:t>
            </w: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Mark J. Tritton</w:t>
            </w:r>
          </w:p>
        </w:tc>
        <w:tc>
          <w:tcPr>
            <w:tcW w:w="2320" w:type="dxa"/>
            <w:vAlign w:val="bottom"/>
          </w:tcPr>
          <w:p>
            <w:pPr>
              <w:ind w:left="20"/>
              <w:spacing w:after="0"/>
              <w:rPr>
                <w:sz w:val="20"/>
                <w:szCs w:val="20"/>
                <w:color w:val="auto"/>
              </w:rPr>
            </w:pPr>
            <w:r>
              <w:rPr>
                <w:rFonts w:ascii="Arial" w:cs="Arial" w:eastAsia="Arial" w:hAnsi="Arial"/>
                <w:sz w:val="18"/>
                <w:szCs w:val="18"/>
                <w:color w:val="auto"/>
              </w:rPr>
              <w:t>/s/</w:t>
            </w:r>
          </w:p>
        </w:tc>
        <w:tc>
          <w:tcPr>
            <w:tcW w:w="2960" w:type="dxa"/>
            <w:vAlign w:val="bottom"/>
          </w:tcPr>
          <w:p>
            <w:pPr>
              <w:jc w:val="right"/>
              <w:spacing w:after="0"/>
              <w:rPr>
                <w:sz w:val="20"/>
                <w:szCs w:val="20"/>
                <w:color w:val="auto"/>
              </w:rPr>
            </w:pPr>
            <w:r>
              <w:rPr>
                <w:rFonts w:ascii="Arial" w:cs="Arial" w:eastAsia="Arial" w:hAnsi="Arial"/>
                <w:sz w:val="18"/>
                <w:szCs w:val="18"/>
                <w:color w:val="auto"/>
              </w:rPr>
              <w:t>Atticus N. Tysen</w:t>
            </w:r>
          </w:p>
        </w:tc>
      </w:tr>
      <w:tr>
        <w:trPr>
          <w:trHeight w:val="218"/>
        </w:trPr>
        <w:tc>
          <w:tcPr>
            <w:tcW w:w="560" w:type="dxa"/>
            <w:vAlign w:val="bottom"/>
            <w:tcBorders>
              <w:top w:val="single" w:sz="8" w:color="auto"/>
            </w:tcBorders>
          </w:tcPr>
          <w:p>
            <w:pPr>
              <w:spacing w:after="0"/>
              <w:rPr>
                <w:sz w:val="18"/>
                <w:szCs w:val="18"/>
                <w:color w:val="auto"/>
              </w:rPr>
            </w:pPr>
          </w:p>
        </w:tc>
        <w:tc>
          <w:tcPr>
            <w:tcW w:w="4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Mark J. Tritton</w:t>
            </w:r>
          </w:p>
        </w:tc>
        <w:tc>
          <w:tcPr>
            <w:tcW w:w="66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Atticus N. Tysen</w:t>
            </w:r>
          </w:p>
        </w:tc>
      </w:tr>
      <w:tr>
        <w:trPr>
          <w:trHeight w:val="239"/>
        </w:trPr>
        <w:tc>
          <w:tcPr>
            <w:tcW w:w="560" w:type="dxa"/>
            <w:vAlign w:val="bottom"/>
          </w:tcPr>
          <w:p>
            <w:pPr>
              <w:spacing w:after="0"/>
              <w:rPr>
                <w:sz w:val="20"/>
                <w:szCs w:val="20"/>
                <w:color w:val="auto"/>
              </w:rPr>
            </w:pPr>
          </w:p>
        </w:tc>
        <w:tc>
          <w:tcPr>
            <w:tcW w:w="5360" w:type="dxa"/>
            <w:vAlign w:val="bottom"/>
            <w:gridSpan w:val="2"/>
          </w:tcPr>
          <w:p>
            <w:pPr>
              <w:jc w:val="right"/>
              <w:ind w:right="680"/>
              <w:spacing w:after="0"/>
              <w:rPr>
                <w:sz w:val="20"/>
                <w:szCs w:val="20"/>
                <w:color w:val="auto"/>
              </w:rPr>
            </w:pPr>
            <w:r>
              <w:rPr>
                <w:rFonts w:ascii="Arial" w:cs="Arial" w:eastAsia="Arial" w:hAnsi="Arial"/>
                <w:sz w:val="18"/>
                <w:szCs w:val="18"/>
                <w:color w:val="auto"/>
              </w:rPr>
              <w:t>Director</w:t>
            </w:r>
          </w:p>
        </w:tc>
        <w:tc>
          <w:tcPr>
            <w:tcW w:w="2320" w:type="dxa"/>
            <w:vAlign w:val="bottom"/>
          </w:tcPr>
          <w:p>
            <w:pPr>
              <w:spacing w:after="0"/>
              <w:rPr>
                <w:sz w:val="20"/>
                <w:szCs w:val="20"/>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Director</w:t>
            </w:r>
          </w:p>
        </w:tc>
      </w:tr>
      <w:tr>
        <w:trPr>
          <w:trHeight w:val="104"/>
        </w:trPr>
        <w:tc>
          <w:tcPr>
            <w:tcW w:w="56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960" w:type="dxa"/>
            <w:vAlign w:val="bottom"/>
            <w:tcBorders>
              <w:bottom w:val="single" w:sz="8" w:color="auto"/>
            </w:tcBorders>
          </w:tcPr>
          <w:p>
            <w:pPr>
              <w:spacing w:after="0"/>
              <w:rPr>
                <w:sz w:val="9"/>
                <w:szCs w:val="9"/>
                <w:color w:val="auto"/>
              </w:rPr>
            </w:pPr>
          </w:p>
        </w:tc>
      </w:tr>
      <w:tr>
        <w:trPr>
          <w:trHeight w:val="268"/>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5360" w:type="dxa"/>
            <w:vAlign w:val="bottom"/>
            <w:gridSpan w:val="2"/>
          </w:tcPr>
          <w:p>
            <w:pPr>
              <w:ind w:left="120"/>
              <w:spacing w:after="0"/>
              <w:rPr>
                <w:sz w:val="20"/>
                <w:szCs w:val="20"/>
                <w:color w:val="auto"/>
              </w:rPr>
            </w:pPr>
            <w:r>
              <w:rPr>
                <w:rFonts w:ascii="Arial" w:cs="Arial" w:eastAsia="Arial" w:hAnsi="Arial"/>
                <w:sz w:val="18"/>
                <w:szCs w:val="18"/>
                <w:color w:val="auto"/>
              </w:rPr>
              <w:t>March 10, 2023</w:t>
            </w:r>
          </w:p>
        </w:tc>
        <w:tc>
          <w:tcPr>
            <w:tcW w:w="2320" w:type="dxa"/>
            <w:vAlign w:val="bottom"/>
          </w:tcPr>
          <w:p>
            <w:pPr>
              <w:spacing w:after="0"/>
              <w:rPr>
                <w:sz w:val="23"/>
                <w:szCs w:val="23"/>
                <w:color w:val="auto"/>
              </w:rPr>
            </w:pPr>
          </w:p>
        </w:tc>
        <w:tc>
          <w:tcPr>
            <w:tcW w:w="29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xml:space="preserve">Nordstrom, Inc. and subsidiaries </w:t>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333-239087, 333-239086, 333-239083, 333-231969, 333-225295, 333-211825, 333-207396, 333-198413, 333-189301, 333-166961, 333-161803 on Form S-8 and No. 333-230379 on Form S-3 of our reports dated March 10, 2023, relating to the financial statements of Nordstrom Inc. and subsidiaries, and the effectiveness of Nordstrom, Inc. and subsidiaries’ internal control over financial reporting, appearing in the Annual Report on Form 10-K of Nordstrom, Inc. for the year ended January 28, 2023.</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2023</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220"/>
          </w:cols>
          <w:pgMar w:left="320" w:top="125" w:right="35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AMENDED AND RESTATED NORDSTROM, INC.</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EXECUTIVE MANAGEMENT BONUS PLAN</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Effective January 28, 2023</w:t>
      </w:r>
    </w:p>
    <w:p>
      <w:pPr>
        <w:spacing w:after="0" w:line="177"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ARTICLE I</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Purpose</w:t>
      </w:r>
    </w:p>
    <w:p>
      <w:pPr>
        <w:spacing w:after="0" w:line="181" w:lineRule="exact"/>
        <w:rPr>
          <w:sz w:val="20"/>
          <w:szCs w:val="20"/>
          <w:color w:val="auto"/>
        </w:rPr>
      </w:pPr>
    </w:p>
    <w:p>
      <w:pPr>
        <w:jc w:val="both"/>
        <w:ind w:right="100"/>
        <w:spacing w:after="0" w:line="212" w:lineRule="auto"/>
        <w:rPr>
          <w:sz w:val="20"/>
          <w:szCs w:val="20"/>
          <w:color w:val="auto"/>
        </w:rPr>
      </w:pPr>
      <w:r>
        <w:rPr>
          <w:rFonts w:ascii="Arial" w:cs="Arial" w:eastAsia="Arial" w:hAnsi="Arial"/>
          <w:sz w:val="22"/>
          <w:szCs w:val="22"/>
          <w:color w:val="auto"/>
        </w:rPr>
        <w:t>The purpose of the Plan is to promote the interests of the Company and its shareholders by providing incentives to the Company’s leadership employees for positively influencing the Company’s business results. The mechanism for providing incentives under this Plan is Performance Bonus Awards. The specific group of employees eligible for these awards are those individuals designated by the Company’s Board of Directors as being executive officers of the Company for purposes of Section 16 of the Securities Exchange Act of 1934, as amended (the “Exchange Act”). The Performance Bonus Awards are designed to create alignment between the Company’s business strategy and operating performance. The Plan was amended and restated, as set forth herein, on February 28, 2023, effective for Performance Periods commencing on or after January 28, 2023.</w:t>
      </w:r>
    </w:p>
    <w:p>
      <w:pPr>
        <w:spacing w:after="0" w:line="15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Definitions</w:t>
      </w:r>
    </w:p>
    <w:p>
      <w:pPr>
        <w:spacing w:after="0" w:line="180" w:lineRule="exact"/>
        <w:rPr>
          <w:sz w:val="20"/>
          <w:szCs w:val="20"/>
          <w:color w:val="auto"/>
        </w:rPr>
      </w:pPr>
    </w:p>
    <w:p>
      <w:pPr>
        <w:jc w:val="both"/>
        <w:ind w:right="1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 </w:t>
      </w:r>
      <w:r>
        <w:rPr>
          <w:rFonts w:ascii="Arial" w:cs="Arial" w:eastAsia="Arial" w:hAnsi="Arial"/>
          <w:sz w:val="22"/>
          <w:szCs w:val="22"/>
          <w:color w:val="auto"/>
        </w:rPr>
        <w:t>“Administrator” means the Compensation, People and Culture Committee of the Board of Directors of</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the Company.</w:t>
      </w:r>
    </w:p>
    <w:p>
      <w:pPr>
        <w:spacing w:after="0" w:line="149" w:lineRule="exact"/>
        <w:rPr>
          <w:sz w:val="20"/>
          <w:szCs w:val="20"/>
          <w:color w:val="auto"/>
        </w:rPr>
      </w:pPr>
    </w:p>
    <w:p>
      <w:pPr>
        <w:jc w:val="both"/>
        <w:ind w:right="120" w:firstLine="648"/>
        <w:spacing w:after="0" w:line="208" w:lineRule="auto"/>
        <w:rPr>
          <w:sz w:val="20"/>
          <w:szCs w:val="20"/>
          <w:color w:val="auto"/>
        </w:rPr>
      </w:pPr>
      <w:r>
        <w:rPr>
          <w:rFonts w:ascii="Times New Roman" w:cs="Times New Roman" w:eastAsia="Times New Roman" w:hAnsi="Times New Roman"/>
          <w:sz w:val="22"/>
          <w:szCs w:val="22"/>
          <w:color w:val="auto"/>
        </w:rPr>
        <w:t xml:space="preserve">2.2 </w:t>
      </w:r>
      <w:r>
        <w:rPr>
          <w:rFonts w:ascii="Arial" w:cs="Arial" w:eastAsia="Arial" w:hAnsi="Arial"/>
          <w:sz w:val="22"/>
          <w:szCs w:val="22"/>
          <w:color w:val="auto"/>
        </w:rPr>
        <w:t>“Cause” means as a reason for a Participant’s termination of employment or service shall have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meaning provided in the applicable employment agreement between the Company or a subsidiary and the Participant, or severance plan covering the Participant, if any, or if there is no such agreement or plan, as applicable, that defines the term, then “Cause” shall mean (a) the Participant’s conviction of, or plea of guilty or no contest to, (i) any felony (or its international equivalent) or (ii) any other crime that results, or could reasonably be expected to result, in material harm to the business or reputation of the Company or any subsidiary, (b) an act of personal dishonesty or disloyalty in the course of fulfilling the Participant’s duties to the Company or a subsidiary, or an act of fraud or misappropriation, embezzlement, or misuse of funds or property belonging to the Company or any subsidiary, (c) the Participant’s deliberate and continued failure to perform substantially such Participant’s material duties to the Company or a subsidiary, (d) a material violation of the written policies of the Company and its subsidiaries, including but not limited to those relating to sexual harassment or the disclosure or misuse of confidential information, or those set forth in the manuals or statements of policy of the Company and its subsidiaries, (e) the Participant’s engagement in willful misconduct in connection with the Participant’s employment or services with the Company and its subsidiaries, which results, or could reasonably be expected to result, in material harm to the business or reputation of the Company or any subsidiary, and (f) breach of any restrictive covenants applicable to the Participant as a result of any agreement with the Company or any subsidiary or any policy or plan maintained by the Company or any subsidiary. The foregoing, however, shall not be deemed an exclusive list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Page 1 of 8</w:t>
      </w:r>
    </w:p>
    <w:p>
      <w:pPr>
        <w:sectPr>
          <w:pgSz w:w="11900" w:h="16838" w:orient="portrait"/>
          <w:cols w:equalWidth="0" w:num="1">
            <w:col w:w="11140"/>
          </w:cols>
          <w:pgMar w:left="420" w:top="98" w:right="339" w:bottom="144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22"/>
          <w:szCs w:val="22"/>
          <w:color w:val="auto"/>
        </w:rPr>
        <w:t>acts or omissions that the Company (or the Parent or Subsidiary employing the Participant) may consider as grounds for the discharge of the Participant without Cause.</w:t>
      </w:r>
    </w:p>
    <w:p>
      <w:pPr>
        <w:spacing w:after="0" w:line="150"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Arial" w:cs="Arial" w:eastAsia="Arial" w:hAnsi="Arial"/>
          <w:sz w:val="21"/>
          <w:szCs w:val="21"/>
          <w:color w:val="auto"/>
        </w:rPr>
        <w:t>“Code” means the Internal Revenue Code of 1986, as amended.</w:t>
      </w:r>
    </w:p>
    <w:p>
      <w:pPr>
        <w:spacing w:after="0" w:line="179"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Arial" w:cs="Arial" w:eastAsia="Arial" w:hAnsi="Arial"/>
          <w:sz w:val="21"/>
          <w:szCs w:val="21"/>
          <w:color w:val="auto"/>
        </w:rPr>
        <w:t>“Company” means Nordstrom, Inc. or its successor.</w:t>
      </w:r>
    </w:p>
    <w:p>
      <w:pPr>
        <w:spacing w:after="0" w:line="17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2.5 </w:t>
      </w:r>
      <w:r>
        <w:rPr>
          <w:rFonts w:ascii="Arial" w:cs="Arial" w:eastAsia="Arial" w:hAnsi="Arial"/>
          <w:sz w:val="22"/>
          <w:szCs w:val="22"/>
          <w:color w:val="auto"/>
        </w:rPr>
        <w:t>“Disability” means the inability of the Participant to engage in any substantial gainful activity by reason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of any medically determinable physical or mental impairment which can be expected to result in death or which has lasted or can be expected to last for a continuous period of not less than twelve (12) months.</w:t>
      </w:r>
    </w:p>
    <w:p>
      <w:pPr>
        <w:spacing w:after="0" w:line="148"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Arial" w:cs="Arial" w:eastAsia="Arial" w:hAnsi="Arial"/>
          <w:sz w:val="21"/>
          <w:szCs w:val="21"/>
          <w:color w:val="auto"/>
        </w:rPr>
        <w:t>“Incentive Grants” has the meaning provided in Section 5.2 below.</w:t>
      </w:r>
    </w:p>
    <w:p>
      <w:pPr>
        <w:spacing w:after="0" w:line="179"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Arial" w:cs="Arial" w:eastAsia="Arial" w:hAnsi="Arial"/>
          <w:sz w:val="21"/>
          <w:szCs w:val="21"/>
          <w:color w:val="auto"/>
        </w:rPr>
        <w:t>“Incentive Plan” has the meaning provided in Section 5.2 below.</w:t>
      </w:r>
    </w:p>
    <w:p>
      <w:pPr>
        <w:spacing w:after="0" w:line="17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2.8 </w:t>
      </w:r>
      <w:r>
        <w:rPr>
          <w:rFonts w:ascii="Arial" w:cs="Arial" w:eastAsia="Arial" w:hAnsi="Arial"/>
          <w:sz w:val="22"/>
          <w:szCs w:val="22"/>
          <w:color w:val="auto"/>
        </w:rPr>
        <w:t>“Participant” means an individual who, with respect to any fiscal year of the Company, has been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designated by the Company’s Board of Directors as being an executive officer of the Company for purposes of Section 16 of the Exchange Act for all or some portion of such fiscal year.</w:t>
      </w:r>
    </w:p>
    <w:p>
      <w:pPr>
        <w:spacing w:after="0" w:line="148"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Arial" w:cs="Arial" w:eastAsia="Arial" w:hAnsi="Arial"/>
          <w:sz w:val="21"/>
          <w:szCs w:val="21"/>
          <w:color w:val="auto"/>
        </w:rPr>
        <w:t>“Performance Bonus Award” means an incentive compensation award under the Plan.</w:t>
      </w:r>
    </w:p>
    <w:p>
      <w:pPr>
        <w:spacing w:after="0" w:line="162" w:lineRule="exact"/>
        <w:rPr>
          <w:sz w:val="20"/>
          <w:szCs w:val="20"/>
          <w:color w:val="auto"/>
        </w:rPr>
      </w:pPr>
    </w:p>
    <w:p>
      <w:pPr>
        <w:ind w:left="640"/>
        <w:spacing w:after="0"/>
        <w:tabs>
          <w:tab w:leader="none" w:pos="118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Arial" w:cs="Arial" w:eastAsia="Arial" w:hAnsi="Arial"/>
          <w:sz w:val="22"/>
          <w:szCs w:val="22"/>
          <w:color w:val="auto"/>
        </w:rPr>
        <w:t>“Performance Measure” refers to the performance measures determined in accordance with Section</w:t>
      </w:r>
    </w:p>
    <w:p>
      <w:pPr>
        <w:spacing w:after="0"/>
        <w:rPr>
          <w:sz w:val="20"/>
          <w:szCs w:val="20"/>
          <w:color w:val="auto"/>
        </w:rPr>
      </w:pPr>
      <w:r>
        <w:rPr>
          <w:rFonts w:ascii="Arial" w:cs="Arial" w:eastAsia="Arial" w:hAnsi="Arial"/>
          <w:sz w:val="22"/>
          <w:szCs w:val="22"/>
          <w:color w:val="auto"/>
        </w:rPr>
        <w:t>4.1 of the Plan.</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2.11 </w:t>
      </w:r>
      <w:r>
        <w:rPr>
          <w:rFonts w:ascii="Arial" w:cs="Arial" w:eastAsia="Arial" w:hAnsi="Arial"/>
          <w:sz w:val="22"/>
          <w:szCs w:val="22"/>
          <w:color w:val="auto"/>
        </w:rPr>
        <w:t>“Performance Milestone” means a level of performance with respect to a Performance Measure,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achievement of which may determine the degree of payout of a Performance Bonus Award.</w:t>
      </w:r>
    </w:p>
    <w:p>
      <w:pPr>
        <w:spacing w:after="0" w:line="14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2.12 </w:t>
      </w:r>
      <w:r>
        <w:rPr>
          <w:rFonts w:ascii="Arial" w:cs="Arial" w:eastAsia="Arial" w:hAnsi="Arial"/>
          <w:sz w:val="22"/>
          <w:szCs w:val="22"/>
          <w:color w:val="auto"/>
        </w:rPr>
        <w:t>“Performance Period” means the fiscal year of the Company, or a shorter period within the fiscal year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of the Company that the Administrator may prescribe for a Participant or group of Participants.</w:t>
      </w:r>
    </w:p>
    <w:p>
      <w:pPr>
        <w:spacing w:after="0" w:line="14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Arial" w:cs="Arial" w:eastAsia="Arial" w:hAnsi="Arial"/>
          <w:sz w:val="21"/>
          <w:szCs w:val="21"/>
          <w:color w:val="auto"/>
        </w:rPr>
        <w:t>“Plan” means this Nordstrom, Inc. Executive Management Bonus Plan.</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2.14 </w:t>
      </w:r>
      <w:r>
        <w:rPr>
          <w:rFonts w:ascii="Arial" w:cs="Arial" w:eastAsia="Arial" w:hAnsi="Arial"/>
          <w:sz w:val="22"/>
          <w:szCs w:val="22"/>
          <w:color w:val="auto"/>
        </w:rPr>
        <w:t>“Retirement” means a termination of employment (and not for Cause) by a Participant at age 55 or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older with at least 10 years of continuous service with the Company and its subsidiaries, or at age 60 or older.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w:t>
      </w:r>
    </w:p>
    <w:p>
      <w:pPr>
        <w:spacing w:after="0" w:line="18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3.1 </w:t>
      </w:r>
      <w:r>
        <w:rPr>
          <w:rFonts w:ascii="Arial" w:cs="Arial" w:eastAsia="Arial" w:hAnsi="Arial"/>
          <w:sz w:val="22"/>
          <w:szCs w:val="22"/>
          <w:u w:val="single" w:color="auto"/>
          <w:color w:val="auto"/>
        </w:rPr>
        <w:t>Eligible Employees</w:t>
      </w:r>
      <w:r>
        <w:rPr>
          <w:rFonts w:ascii="Arial" w:cs="Arial" w:eastAsia="Arial" w:hAnsi="Arial"/>
          <w:sz w:val="22"/>
          <w:szCs w:val="22"/>
          <w:color w:val="auto"/>
        </w:rPr>
        <w:t>. Eligibility for the Plan is limited to individuals meeting the definition of Participant.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The Administrator may further limit eligibility for this Plan. An employee who is a Participant for a given Performance Period is neither guaranteed nor assured of being a Participant in any subsequent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Page 2 of 8</w:t>
      </w:r>
    </w:p>
    <w:p>
      <w:pPr>
        <w:sectPr>
          <w:pgSz w:w="11900" w:h="16838" w:orient="portrait"/>
          <w:cols w:equalWidth="0" w:num="1">
            <w:col w:w="11020"/>
          </w:cols>
          <w:pgMar w:left="420" w:top="1396" w:right="459" w:bottom="1440" w:gutter="0" w:footer="0" w:header="0"/>
        </w:sectPr>
      </w:pPr>
    </w:p>
    <w:bookmarkStart w:id="76" w:name="page77"/>
    <w:bookmarkEnd w:id="76"/>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3.2 </w:t>
      </w:r>
      <w:r>
        <w:rPr>
          <w:rFonts w:ascii="Arial" w:cs="Arial" w:eastAsia="Arial" w:hAnsi="Arial"/>
          <w:sz w:val="22"/>
          <w:szCs w:val="22"/>
          <w:u w:val="single" w:color="auto"/>
          <w:color w:val="auto"/>
        </w:rPr>
        <w:t>Employment Requirement</w:t>
      </w:r>
      <w:r>
        <w:rPr>
          <w:rFonts w:ascii="Arial" w:cs="Arial" w:eastAsia="Arial" w:hAnsi="Arial"/>
          <w:sz w:val="22"/>
          <w:szCs w:val="22"/>
          <w:color w:val="auto"/>
        </w:rPr>
        <w:t>. Except as provided under Article IV of the Plan, or as otherwise provided</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by the Administrator, a Participant is required to be an employee of the Company on the last day of the Performance Period in order to remain eligible for a Performance Bonus Award. Notwithstanding anything to the contrary, a Participant whose employment is terminated for Cause after the last day of the Performance Period but before the payment of a Performance Bonus Award shall not be eligible to receive any Performance Bonus Award that otherwise would have been payable.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Grant and Evaluation of Performance Bonus Awards</w:t>
      </w:r>
    </w:p>
    <w:p>
      <w:pPr>
        <w:spacing w:after="0" w:line="180"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4.1 </w:t>
      </w:r>
      <w:r>
        <w:rPr>
          <w:rFonts w:ascii="Arial" w:cs="Arial" w:eastAsia="Arial" w:hAnsi="Arial"/>
          <w:sz w:val="22"/>
          <w:szCs w:val="22"/>
          <w:u w:val="single" w:color="auto"/>
          <w:color w:val="auto"/>
        </w:rPr>
        <w:t>Establishment of Written Terms</w:t>
      </w:r>
      <w:r>
        <w:rPr>
          <w:rFonts w:ascii="Arial" w:cs="Arial" w:eastAsia="Arial" w:hAnsi="Arial"/>
          <w:sz w:val="22"/>
          <w:szCs w:val="22"/>
          <w:color w:val="auto"/>
        </w:rPr>
        <w:t>. Within the first ninety (90) days of the designated Performance Period</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(or such other period as determined by the Administrator), the Administrator will determine in writing (a) the Participants receiving Performance Bonus Awards for the Performance Period, (b) the Performance Measures and Performance Milestones for each Participant for the Performance Period and (c) the amount payable to a Participant upon attainment of the applicable Performance Milestones for the Performance Period.</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4.2 </w:t>
      </w:r>
      <w:r>
        <w:rPr>
          <w:rFonts w:ascii="Arial" w:cs="Arial" w:eastAsia="Arial" w:hAnsi="Arial"/>
          <w:sz w:val="22"/>
          <w:szCs w:val="22"/>
          <w:u w:val="single" w:color="auto"/>
          <w:color w:val="auto"/>
        </w:rPr>
        <w:t>Performance Milestones and Measures</w:t>
      </w:r>
      <w:r>
        <w:rPr>
          <w:rFonts w:ascii="Arial" w:cs="Arial" w:eastAsia="Arial" w:hAnsi="Arial"/>
          <w:sz w:val="22"/>
          <w:szCs w:val="22"/>
          <w:color w:val="auto"/>
        </w:rPr>
        <w:t>. Performance Milestones may be based upon the relative or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comparative achievement of Performance Measures, whether in absolute terms or relative to the performance of one or more similarly situated companies or a published index covering the performance of a number of companies, as determined by the Administrator for the applicable Performance Period, which Performance Measures may include:</w:t>
      </w:r>
    </w:p>
    <w:p>
      <w:pPr>
        <w:spacing w:after="0" w:line="145" w:lineRule="exact"/>
        <w:rPr>
          <w:sz w:val="20"/>
          <w:szCs w:val="20"/>
          <w:color w:val="auto"/>
        </w:rPr>
      </w:pPr>
    </w:p>
    <w:p>
      <w:pPr>
        <w:ind w:left="1840" w:hanging="546"/>
        <w:spacing w:after="0"/>
        <w:tabs>
          <w:tab w:leader="none" w:pos="1840" w:val="left"/>
        </w:tabs>
        <w:numPr>
          <w:ilvl w:val="0"/>
          <w:numId w:val="46"/>
        </w:numPr>
        <w:rPr>
          <w:rFonts w:ascii="Times New Roman" w:cs="Times New Roman" w:eastAsia="Times New Roman" w:hAnsi="Times New Roman"/>
          <w:sz w:val="21"/>
          <w:szCs w:val="21"/>
          <w:color w:val="auto"/>
        </w:rPr>
      </w:pPr>
      <w:r>
        <w:rPr>
          <w:rFonts w:ascii="Arial" w:cs="Arial" w:eastAsia="Arial" w:hAnsi="Arial"/>
          <w:sz w:val="21"/>
          <w:szCs w:val="21"/>
          <w:color w:val="auto"/>
        </w:rPr>
        <w:t>the Company’s shareholder return as compared to any designated industry or other comparator</w:t>
      </w:r>
    </w:p>
    <w:p>
      <w:pPr>
        <w:spacing w:after="0"/>
        <w:rPr>
          <w:sz w:val="20"/>
          <w:szCs w:val="20"/>
          <w:color w:val="auto"/>
        </w:rPr>
      </w:pPr>
      <w:r>
        <w:rPr>
          <w:rFonts w:ascii="Arial" w:cs="Arial" w:eastAsia="Arial" w:hAnsi="Arial"/>
          <w:sz w:val="22"/>
          <w:szCs w:val="22"/>
          <w:color w:val="auto"/>
        </w:rPr>
        <w:t>group;</w:t>
      </w:r>
    </w:p>
    <w:p>
      <w:pPr>
        <w:spacing w:after="0" w:line="159" w:lineRule="exact"/>
        <w:rPr>
          <w:sz w:val="20"/>
          <w:szCs w:val="20"/>
          <w:color w:val="auto"/>
        </w:rPr>
      </w:pPr>
    </w:p>
    <w:p>
      <w:pPr>
        <w:ind w:left="1580" w:hanging="286"/>
        <w:spacing w:after="0"/>
        <w:tabs>
          <w:tab w:leader="none" w:pos="158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the trading price of the Company’s common stock;</w:t>
      </w:r>
    </w:p>
    <w:p>
      <w:pPr>
        <w:spacing w:after="0" w:line="178" w:lineRule="exact"/>
        <w:rPr>
          <w:rFonts w:ascii="Times New Roman" w:cs="Times New Roman" w:eastAsia="Times New Roman" w:hAnsi="Times New Roman"/>
          <w:sz w:val="22"/>
          <w:szCs w:val="22"/>
          <w:color w:val="auto"/>
        </w:rPr>
      </w:pPr>
    </w:p>
    <w:p>
      <w:pPr>
        <w:jc w:val="both"/>
        <w:ind w:firstLine="1294"/>
        <w:spacing w:after="0" w:line="225" w:lineRule="auto"/>
        <w:tabs>
          <w:tab w:leader="none" w:pos="1846"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the results of operations, such as sales, earnings, net income (before or after taxes), cash flow, return on assets, same-store sales, economic profit, or return on investment (including return on equity or return on invested capital);</w:t>
      </w:r>
    </w:p>
    <w:p>
      <w:pPr>
        <w:spacing w:after="0" w:line="151" w:lineRule="exact"/>
        <w:rPr>
          <w:rFonts w:ascii="Times New Roman" w:cs="Times New Roman" w:eastAsia="Times New Roman" w:hAnsi="Times New Roman"/>
          <w:sz w:val="22"/>
          <w:szCs w:val="22"/>
          <w:color w:val="auto"/>
        </w:rPr>
      </w:pPr>
    </w:p>
    <w:p>
      <w:pPr>
        <w:ind w:right="1860" w:firstLine="1294"/>
        <w:spacing w:after="0" w:line="236" w:lineRule="auto"/>
        <w:tabs>
          <w:tab w:leader="none" w:pos="1845"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earnings before or after taxes, interest, depreciation and/or amortization, and including/excluding capital gains and losses;</w:t>
      </w:r>
    </w:p>
    <w:p>
      <w:pPr>
        <w:spacing w:after="0" w:line="149" w:lineRule="exact"/>
        <w:rPr>
          <w:rFonts w:ascii="Times New Roman" w:cs="Times New Roman" w:eastAsia="Times New Roman" w:hAnsi="Times New Roman"/>
          <w:sz w:val="22"/>
          <w:szCs w:val="22"/>
          <w:color w:val="auto"/>
        </w:rPr>
      </w:pPr>
    </w:p>
    <w:p>
      <w:pPr>
        <w:ind w:right="20" w:firstLine="1294"/>
        <w:spacing w:after="0" w:line="236" w:lineRule="auto"/>
        <w:tabs>
          <w:tab w:leader="none" w:pos="1846"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other financial results, such as profit margins, operational efficiency, expense reduction, or asset management goals;</w:t>
      </w:r>
    </w:p>
    <w:p>
      <w:pPr>
        <w:spacing w:after="0" w:line="149" w:lineRule="exact"/>
        <w:rPr>
          <w:rFonts w:ascii="Times New Roman" w:cs="Times New Roman" w:eastAsia="Times New Roman" w:hAnsi="Times New Roman"/>
          <w:sz w:val="22"/>
          <w:szCs w:val="22"/>
          <w:color w:val="auto"/>
        </w:rPr>
      </w:pPr>
    </w:p>
    <w:p>
      <w:pPr>
        <w:jc w:val="both"/>
        <w:ind w:right="20" w:firstLine="1294"/>
        <w:spacing w:after="0" w:line="225" w:lineRule="auto"/>
        <w:tabs>
          <w:tab w:leader="none" w:pos="1849"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sustainability metrics (including, without limitation, environmental, social or governance matters) or human capital metrics (including, without limitation, employee satisfaction, employee engagement, management of employment practices, and workforce retention, safety or diversity);</w:t>
      </w:r>
    </w:p>
    <w:p>
      <w:pPr>
        <w:spacing w:after="0" w:line="151" w:lineRule="exact"/>
        <w:rPr>
          <w:rFonts w:ascii="Times New Roman" w:cs="Times New Roman" w:eastAsia="Times New Roman" w:hAnsi="Times New Roman"/>
          <w:sz w:val="22"/>
          <w:szCs w:val="22"/>
          <w:color w:val="auto"/>
        </w:rPr>
      </w:pPr>
    </w:p>
    <w:p>
      <w:pPr>
        <w:ind w:left="1840" w:hanging="546"/>
        <w:spacing w:after="0"/>
        <w:tabs>
          <w:tab w:leader="none" w:pos="1840"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the internal or external market share of a product or line of products; and</w:t>
      </w:r>
    </w:p>
    <w:p>
      <w:pPr>
        <w:spacing w:after="0" w:line="178" w:lineRule="exact"/>
        <w:rPr>
          <w:rFonts w:ascii="Times New Roman" w:cs="Times New Roman" w:eastAsia="Times New Roman" w:hAnsi="Times New Roman"/>
          <w:sz w:val="22"/>
          <w:szCs w:val="22"/>
          <w:color w:val="auto"/>
        </w:rPr>
      </w:pPr>
    </w:p>
    <w:p>
      <w:pPr>
        <w:ind w:right="20" w:firstLine="1294"/>
        <w:spacing w:after="0" w:line="236" w:lineRule="auto"/>
        <w:tabs>
          <w:tab w:leader="none" w:pos="1845" w:val="left"/>
        </w:tabs>
        <w:numPr>
          <w:ilvl w:val="0"/>
          <w:numId w:val="47"/>
        </w:numPr>
        <w:rPr>
          <w:rFonts w:ascii="Times New Roman" w:cs="Times New Roman" w:eastAsia="Times New Roman" w:hAnsi="Times New Roman"/>
          <w:sz w:val="22"/>
          <w:szCs w:val="22"/>
          <w:color w:val="auto"/>
        </w:rPr>
      </w:pPr>
      <w:r>
        <w:rPr>
          <w:rFonts w:ascii="Arial" w:cs="Arial" w:eastAsia="Arial" w:hAnsi="Arial"/>
          <w:sz w:val="22"/>
          <w:szCs w:val="22"/>
          <w:color w:val="auto"/>
        </w:rPr>
        <w:t>individual goals based on business criteria underlying the Performance Measures listed above and which pertain to individual effort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Page 3 of 8</w:t>
      </w:r>
    </w:p>
    <w:p>
      <w:pPr>
        <w:sectPr>
          <w:pgSz w:w="11900" w:h="16838" w:orient="portrait"/>
          <w:cols w:equalWidth="0" w:num="1">
            <w:col w:w="11040"/>
          </w:cols>
          <w:pgMar w:left="420" w:top="1395" w:right="439" w:bottom="1440" w:gutter="0" w:footer="0" w:header="0"/>
        </w:sectPr>
      </w:pPr>
    </w:p>
    <w:bookmarkStart w:id="77" w:name="page78"/>
    <w:bookmarkEnd w:id="77"/>
    <w:p>
      <w:pPr>
        <w:jc w:val="both"/>
        <w:ind w:right="20"/>
        <w:spacing w:after="0" w:line="226" w:lineRule="auto"/>
        <w:rPr>
          <w:sz w:val="20"/>
          <w:szCs w:val="20"/>
          <w:color w:val="auto"/>
        </w:rPr>
      </w:pPr>
      <w:r>
        <w:rPr>
          <w:rFonts w:ascii="Arial" w:cs="Arial" w:eastAsia="Arial" w:hAnsi="Arial"/>
          <w:sz w:val="22"/>
          <w:szCs w:val="22"/>
          <w:color w:val="auto"/>
        </w:rPr>
        <w:t>achievement of those goals or to one or more business criteria in the areas of litigation, human resources, information services, production, inventory, support services, site development, facility development, government relations, or similar areas.</w:t>
      </w:r>
    </w:p>
    <w:p>
      <w:pPr>
        <w:spacing w:after="0" w:line="149"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The Performance Measures may be based on the performance of the Company generally, or the performance of a particular Participant, department, business unit, subsidiary, or other segment to which a particular Participant is assigned. The Administrator may establish different Performance Measures and Milestones for individual Participants or groups of Participants. For each Participant, each Performance Measure will be weighted to reflect its relative significance to the Company for the Performance Period. The Administrator may also use one or more Performance Measures as a modifier to the amounts otherwise payable under a Performance Bonus Award.</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4.3 </w:t>
      </w:r>
      <w:r>
        <w:rPr>
          <w:rFonts w:ascii="Arial" w:cs="Arial" w:eastAsia="Arial" w:hAnsi="Arial"/>
          <w:sz w:val="22"/>
          <w:szCs w:val="22"/>
          <w:u w:val="single" w:color="auto"/>
          <w:color w:val="auto"/>
        </w:rPr>
        <w:t>New Participants</w:t>
      </w:r>
      <w:r>
        <w:rPr>
          <w:rFonts w:ascii="Arial" w:cs="Arial" w:eastAsia="Arial" w:hAnsi="Arial"/>
          <w:sz w:val="22"/>
          <w:szCs w:val="22"/>
          <w:color w:val="auto"/>
        </w:rPr>
        <w:t>. The Administrator may grant a Performance Bonus Award to an individual who</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becomes a Participant during a Company fiscal year based on performance during the fiscal year or such other Performance Period as the Administrator may determine, which awards shall be pro-rated to reflect the portion of the Performance Period during which the Participant was actually employed by the Company, unless otherwise determined by the Administrator.</w:t>
      </w:r>
    </w:p>
    <w:p>
      <w:pPr>
        <w:spacing w:after="0" w:line="151"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4.4 </w:t>
      </w:r>
      <w:r>
        <w:rPr>
          <w:rFonts w:ascii="Arial" w:cs="Arial" w:eastAsia="Arial" w:hAnsi="Arial"/>
          <w:sz w:val="22"/>
          <w:szCs w:val="22"/>
          <w:u w:val="single" w:color="auto"/>
          <w:color w:val="auto"/>
        </w:rPr>
        <w:t>Evaluation of Performance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 At the end of each Performance Period, the Administrator will evaluate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performance of each Participant by comparing each Participant’s actual performance to the Performance Milestones established for such Participant by the Administrator at the start of the Performance Period. The Administrator will certify in writing the degree of achievement of each Performance Milestone by each Participant. Approved minutes of the Administrator meeting in which the certification is made will be treated as adequate written certification.</w:t>
      </w:r>
    </w:p>
    <w:p>
      <w:pPr>
        <w:spacing w:after="0" w:line="151" w:lineRule="exact"/>
        <w:rPr>
          <w:sz w:val="20"/>
          <w:szCs w:val="20"/>
          <w:color w:val="auto"/>
        </w:rPr>
      </w:pPr>
    </w:p>
    <w:p>
      <w:pPr>
        <w:jc w:val="both"/>
        <w:ind w:firstLine="558"/>
        <w:spacing w:after="0" w:line="222" w:lineRule="auto"/>
        <w:rPr>
          <w:sz w:val="20"/>
          <w:szCs w:val="20"/>
          <w:color w:val="auto"/>
        </w:rPr>
      </w:pPr>
      <w:r>
        <w:rPr>
          <w:rFonts w:ascii="Times New Roman" w:cs="Times New Roman" w:eastAsia="Times New Roman" w:hAnsi="Times New Roman"/>
          <w:sz w:val="21"/>
          <w:szCs w:val="21"/>
          <w:color w:val="auto"/>
        </w:rPr>
        <w:t xml:space="preserve">4.5 </w:t>
      </w:r>
      <w:r>
        <w:rPr>
          <w:rFonts w:ascii="Arial" w:cs="Arial" w:eastAsia="Arial" w:hAnsi="Arial"/>
          <w:sz w:val="21"/>
          <w:szCs w:val="21"/>
          <w:u w:val="single" w:color="auto"/>
          <w:color w:val="auto"/>
        </w:rPr>
        <w:t>Calculation of Performance Bonus Award</w:t>
      </w:r>
      <w:r>
        <w:rPr>
          <w:rFonts w:ascii="Arial" w:cs="Arial" w:eastAsia="Arial" w:hAnsi="Arial"/>
          <w:sz w:val="21"/>
          <w:szCs w:val="21"/>
          <w:color w:val="auto"/>
        </w:rPr>
        <w:t>. After the end of each Performance Period, the Administrator</w:t>
      </w:r>
      <w:r>
        <w:rPr>
          <w:rFonts w:ascii="Times New Roman" w:cs="Times New Roman" w:eastAsia="Times New Roman" w:hAnsi="Times New Roman"/>
          <w:sz w:val="21"/>
          <w:szCs w:val="21"/>
          <w:color w:val="auto"/>
        </w:rPr>
        <w:t xml:space="preserve"> </w:t>
      </w:r>
      <w:r>
        <w:rPr>
          <w:rFonts w:ascii="Arial" w:cs="Arial" w:eastAsia="Arial" w:hAnsi="Arial"/>
          <w:sz w:val="21"/>
          <w:szCs w:val="21"/>
          <w:color w:val="auto"/>
        </w:rPr>
        <w:t>will approve the amount of a Participant’s Performance Bonus Award for the Performance Period, applying the actual performance certified under Section 4.4 to the Performance Bonus Awards established under this Article IV. The Administrator may, in its absolute discretion, and without the consent of any Participant, increase, reduce or eliminate the Performance Bonus Award based upon factors that the Administrator deems relevant. A Participant has no legal entitlement or expectation to receive a Performance Bonus Award unless and until the Administrator has certified the Performance Bonus Award. No amounts shall be paid to a Participant under a Performance Bonus Award prior to the Administrator’s certification under Section 4.4 above that actual performance satisfies the applicable Performance Milestones set forth in the Participant’s written Performance Bonus Award.</w:t>
      </w:r>
    </w:p>
    <w:p>
      <w:pPr>
        <w:spacing w:after="0" w:line="150"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Moreover, except in the case of the Participant’s death, Disability or Retirement prior to the end of a Performance Period, a Participant also must remain employed as of the end of the Performance Period in order to be eligible to receive payment of a Performance Bonus Award to such Participant. If a Participant has terminated employment due to death, Disability or Retirement during a Performance Period, and where the Administrator has certified that the actual performance requirements have been met with respect to such Performance Bonus Award under Section 4.5, such Performance Bonus Award will be paid at the same time such bonuses are paid to Participants who remain employed by the Company and, in no event, will such amounts be paid later than the end of the calendar year in which such amounts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4 of 8</w:t>
      </w:r>
    </w:p>
    <w:p>
      <w:pPr>
        <w:sectPr>
          <w:pgSz w:w="11900" w:h="16838" w:orient="portrait"/>
          <w:cols w:equalWidth="0" w:num="1">
            <w:col w:w="11040"/>
          </w:cols>
          <w:pgMar w:left="420" w:top="1396" w:right="439" w:bottom="1440" w:gutter="0" w:footer="0" w:header="0"/>
        </w:sectPr>
      </w:pPr>
    </w:p>
    <w:bookmarkStart w:id="78" w:name="page79"/>
    <w:bookmarkEnd w:id="78"/>
    <w:p>
      <w:pPr>
        <w:jc w:val="both"/>
        <w:ind w:right="20"/>
        <w:spacing w:after="0" w:line="237" w:lineRule="auto"/>
        <w:rPr>
          <w:sz w:val="20"/>
          <w:szCs w:val="20"/>
          <w:color w:val="auto"/>
        </w:rPr>
      </w:pPr>
      <w:r>
        <w:rPr>
          <w:rFonts w:ascii="Arial" w:cs="Arial" w:eastAsia="Arial" w:hAnsi="Arial"/>
          <w:sz w:val="21"/>
          <w:szCs w:val="21"/>
          <w:color w:val="auto"/>
        </w:rPr>
        <w:t>become payable. Moreover, any Performance Bonus Award payable to a Participant whose employment terminated during the Performance Period on account of death, Disability or Retirement shall be pro-rated to reflect the portion of the Performance Period during which the Participant was actually employed by the Company.</w:t>
      </w:r>
    </w:p>
    <w:p>
      <w:pPr>
        <w:spacing w:after="0" w:line="149" w:lineRule="exact"/>
        <w:rPr>
          <w:sz w:val="20"/>
          <w:szCs w:val="20"/>
          <w:color w:val="auto"/>
        </w:rPr>
      </w:pPr>
    </w:p>
    <w:p>
      <w:pPr>
        <w:jc w:val="both"/>
        <w:ind w:firstLine="639"/>
        <w:spacing w:after="0" w:line="212"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Adjustment of Awards</w:t>
      </w:r>
      <w:r>
        <w:rPr>
          <w:rFonts w:ascii="Arial" w:cs="Arial" w:eastAsia="Arial" w:hAnsi="Arial"/>
          <w:sz w:val="22"/>
          <w:szCs w:val="22"/>
          <w:color w:val="auto"/>
        </w:rPr>
        <w:t>. The Administrator may in its sole discretion, and without the consent of Participants, modify the calculation of the Performance Measures, the applicable Performance Milestones or the related minimum acceptable level of achievement, in whole or in part, as the Administrator deems appropriate and equitable (a) to reflect a change in the business, operations, corporate structure or capital structure of the Company or its subsidiaries, the manner in which it conducts its business, or similar events or circumstances; (b) in the event that a Participant’s responsibilities materially change during a Performance Period or the Participant is transferred to a position that is not designated or eligible to participate in the Plan; or (c) in such other circumstances as the Administrator may determine, in its sole discretion.</w:t>
      </w:r>
    </w:p>
    <w:p>
      <w:pPr>
        <w:spacing w:after="0" w:line="156" w:lineRule="exact"/>
        <w:rPr>
          <w:sz w:val="20"/>
          <w:szCs w:val="20"/>
          <w:color w:val="auto"/>
        </w:rPr>
      </w:pPr>
    </w:p>
    <w:p>
      <w:pPr>
        <w:jc w:val="both"/>
        <w:ind w:firstLine="639"/>
        <w:spacing w:after="0" w:line="212"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u w:val="single" w:color="auto"/>
          <w:color w:val="auto"/>
        </w:rPr>
        <w:t>Clawback Policy</w:t>
      </w:r>
      <w:r>
        <w:rPr>
          <w:rFonts w:ascii="Arial" w:cs="Arial" w:eastAsia="Arial" w:hAnsi="Arial"/>
          <w:sz w:val="22"/>
          <w:szCs w:val="22"/>
          <w:color w:val="auto"/>
        </w:rPr>
        <w:t>. All Performance Bonus Awards are subject to the Clawback Policy adopted by the Company’s Board of Directors and as may be amended from time to time, whether such policy is adopted before or after the grant of a Performance Bonus Award. For the avoidance of doubt, the Clawback Policy that applies to Performance Bonus Awards shall at all times comply with the requirements of the listing standards of any national securities exchange or association on which the Company’s securities are listed or as is otherwise required by the Dodd-Frank Wall Street Reform and Consumer Protection Act or other applicable law. Moreover, the Administrator may impose other such clawback, recovery or recoupment provisions in the written statement referenced above in Section 4.1 as the Administrator deems necessary or appropriate.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and Timing of Payment</w:t>
      </w:r>
    </w:p>
    <w:p>
      <w:pPr>
        <w:spacing w:after="0" w:line="18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5.1 </w:t>
      </w:r>
      <w:r>
        <w:rPr>
          <w:rFonts w:ascii="Arial" w:cs="Arial" w:eastAsia="Arial" w:hAnsi="Arial"/>
          <w:sz w:val="22"/>
          <w:szCs w:val="22"/>
          <w:u w:val="single" w:color="auto"/>
          <w:color w:val="auto"/>
        </w:rPr>
        <w:t>Normal Form</w:t>
      </w:r>
      <w:r>
        <w:rPr>
          <w:rFonts w:ascii="Arial" w:cs="Arial" w:eastAsia="Arial" w:hAnsi="Arial"/>
          <w:sz w:val="22"/>
          <w:szCs w:val="22"/>
          <w:color w:val="auto"/>
        </w:rPr>
        <w:t>. The normal form of payment of Performance Bonus Awards will be cash, paid as soon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as practicable following the Administrator’s certification of the awards but not later than the end of the calendar year containing the last day of the Performance Period to which the Performance Bonus Award relates, and no one shall have the discretion or authority to extend this deadline. All Performance Bonus Award payments are subject to federal, state, and local laws regarding taxes and other deductions in effect on the date of payment.</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5.2 </w:t>
      </w:r>
      <w:r>
        <w:rPr>
          <w:rFonts w:ascii="Arial" w:cs="Arial" w:eastAsia="Arial" w:hAnsi="Arial"/>
          <w:sz w:val="22"/>
          <w:szCs w:val="22"/>
          <w:u w:val="single" w:color="auto"/>
          <w:color w:val="auto"/>
        </w:rPr>
        <w:t>Election to Receive Company Stock</w:t>
      </w:r>
      <w:r>
        <w:rPr>
          <w:rFonts w:ascii="Arial" w:cs="Arial" w:eastAsia="Arial" w:hAnsi="Arial"/>
          <w:sz w:val="22"/>
          <w:szCs w:val="22"/>
          <w:color w:val="auto"/>
        </w:rPr>
        <w:t>. The Administrator has the sole and exclusive discretion to</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determine whether and when the Company may either (a) pay, or (b) allow a Participant to elect to receive, all or a portion of a Performance Bonus Award in the form of long-term incentive awards based on the Common Stock of the Company (“Incentive Grants”). The number of shares of Incentive Grants to be received by the Participant shall be based on the fair market value of the Common Stock as of the last market trading day of the applicable Performance Period. Incentive Grants (including shares of the Company’s common stock) will be issued under the Nordstrom, Inc. 2019 Equity Incentive Plan (as amended) (“Incentive Plan”) or any successor plan to the Incentive Plan that has been approved by the Company’s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Page 5 of 8</w:t>
      </w:r>
    </w:p>
    <w:p>
      <w:pPr>
        <w:sectPr>
          <w:pgSz w:w="11900" w:h="16838" w:orient="portrait"/>
          <w:cols w:equalWidth="0" w:num="1">
            <w:col w:w="11040"/>
          </w:cols>
          <w:pgMar w:left="420" w:top="1396" w:right="43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Administrative Provisions</w:t>
      </w:r>
    </w:p>
    <w:p>
      <w:pPr>
        <w:spacing w:after="0" w:line="18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6.1 </w:t>
      </w:r>
      <w:r>
        <w:rPr>
          <w:rFonts w:ascii="Arial" w:cs="Arial" w:eastAsia="Arial" w:hAnsi="Arial"/>
          <w:sz w:val="22"/>
          <w:szCs w:val="22"/>
          <w:u w:val="single" w:color="auto"/>
          <w:color w:val="auto"/>
        </w:rPr>
        <w:t>Authority of Administrator</w:t>
      </w:r>
      <w:r>
        <w:rPr>
          <w:rFonts w:ascii="Arial" w:cs="Arial" w:eastAsia="Arial" w:hAnsi="Arial"/>
          <w:sz w:val="22"/>
          <w:szCs w:val="22"/>
          <w:color w:val="auto"/>
        </w:rPr>
        <w:t>. Subject to Section 6.2, the Administrator has the right and authority, in its</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sole and absolute discretion, to:</w:t>
      </w:r>
    </w:p>
    <w:p>
      <w:pPr>
        <w:spacing w:after="0" w:line="150" w:lineRule="exact"/>
        <w:rPr>
          <w:sz w:val="20"/>
          <w:szCs w:val="20"/>
          <w:color w:val="auto"/>
        </w:rPr>
      </w:pPr>
    </w:p>
    <w:p>
      <w:pPr>
        <w:ind w:right="700" w:firstLine="1294"/>
        <w:spacing w:after="0" w:line="236" w:lineRule="auto"/>
        <w:tabs>
          <w:tab w:leader="none" w:pos="1846"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adopt, amend, or rescind administrative and interpretative rules, policies, and procedures relating to the Plan;</w:t>
      </w:r>
    </w:p>
    <w:p>
      <w:pPr>
        <w:spacing w:after="0" w:line="149" w:lineRule="exact"/>
        <w:rPr>
          <w:rFonts w:ascii="Times New Roman" w:cs="Times New Roman" w:eastAsia="Times New Roman" w:hAnsi="Times New Roman"/>
          <w:sz w:val="22"/>
          <w:szCs w:val="22"/>
          <w:color w:val="auto"/>
        </w:rPr>
      </w:pPr>
    </w:p>
    <w:p>
      <w:pPr>
        <w:ind w:left="1580" w:hanging="286"/>
        <w:spacing w:after="0"/>
        <w:tabs>
          <w:tab w:leader="none" w:pos="158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construe and interpret the terms of the Plan;</w:t>
      </w:r>
    </w:p>
    <w:p>
      <w:pPr>
        <w:spacing w:after="0" w:line="178" w:lineRule="exact"/>
        <w:rPr>
          <w:rFonts w:ascii="Times New Roman" w:cs="Times New Roman" w:eastAsia="Times New Roman" w:hAnsi="Times New Roman"/>
          <w:sz w:val="22"/>
          <w:szCs w:val="22"/>
          <w:color w:val="auto"/>
        </w:rPr>
      </w:pPr>
    </w:p>
    <w:p>
      <w:pPr>
        <w:ind w:left="1580" w:hanging="286"/>
        <w:spacing w:after="0"/>
        <w:tabs>
          <w:tab w:leader="none" w:pos="158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make all other determinations necessary or advisable for administering the Plan;</w:t>
      </w:r>
    </w:p>
    <w:p>
      <w:pPr>
        <w:spacing w:after="0" w:line="178" w:lineRule="exact"/>
        <w:rPr>
          <w:rFonts w:ascii="Times New Roman" w:cs="Times New Roman" w:eastAsia="Times New Roman" w:hAnsi="Times New Roman"/>
          <w:sz w:val="22"/>
          <w:szCs w:val="22"/>
          <w:color w:val="auto"/>
        </w:rPr>
      </w:pPr>
    </w:p>
    <w:p>
      <w:pPr>
        <w:ind w:left="1580" w:hanging="286"/>
        <w:spacing w:after="0"/>
        <w:tabs>
          <w:tab w:leader="none" w:pos="158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exercise the powers conferred on the Administrator under the Plan;</w:t>
      </w:r>
    </w:p>
    <w:p>
      <w:pPr>
        <w:spacing w:after="0" w:line="178" w:lineRule="exact"/>
        <w:rPr>
          <w:rFonts w:ascii="Times New Roman" w:cs="Times New Roman" w:eastAsia="Times New Roman" w:hAnsi="Times New Roman"/>
          <w:sz w:val="22"/>
          <w:szCs w:val="22"/>
          <w:color w:val="auto"/>
        </w:rPr>
      </w:pPr>
    </w:p>
    <w:p>
      <w:pPr>
        <w:ind w:right="620" w:firstLine="1294"/>
        <w:spacing w:after="0" w:line="236" w:lineRule="auto"/>
        <w:tabs>
          <w:tab w:leader="none" w:pos="1846"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correct any defect or supply any omission or reconcile any inconsistency in the Plan in the manner and to the extent it deems appropriate to effectuate the purpose of the Plan;</w:t>
      </w:r>
    </w:p>
    <w:p>
      <w:pPr>
        <w:spacing w:after="0" w:line="131" w:lineRule="exact"/>
        <w:rPr>
          <w:rFonts w:ascii="Times New Roman" w:cs="Times New Roman" w:eastAsia="Times New Roman" w:hAnsi="Times New Roman"/>
          <w:sz w:val="22"/>
          <w:szCs w:val="22"/>
          <w:color w:val="auto"/>
        </w:rPr>
      </w:pPr>
    </w:p>
    <w:p>
      <w:pPr>
        <w:ind w:left="1840" w:hanging="546"/>
        <w:spacing w:after="0"/>
        <w:tabs>
          <w:tab w:leader="none" w:pos="1840"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amend, modify, suspend, or terminate the Plan at any time and without the consent of any</w:t>
      </w:r>
    </w:p>
    <w:p>
      <w:pPr>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Participant; and</w:t>
      </w:r>
    </w:p>
    <w:p>
      <w:pPr>
        <w:spacing w:after="0" w:line="159" w:lineRule="exact"/>
        <w:rPr>
          <w:rFonts w:ascii="Times New Roman" w:cs="Times New Roman" w:eastAsia="Times New Roman" w:hAnsi="Times New Roman"/>
          <w:sz w:val="22"/>
          <w:szCs w:val="22"/>
          <w:color w:val="auto"/>
        </w:rPr>
      </w:pPr>
    </w:p>
    <w:p>
      <w:pPr>
        <w:jc w:val="both"/>
        <w:ind w:firstLine="1294"/>
        <w:spacing w:after="0" w:line="211" w:lineRule="auto"/>
        <w:tabs>
          <w:tab w:leader="none" w:pos="1845" w:val="left"/>
        </w:tabs>
        <w:numPr>
          <w:ilvl w:val="0"/>
          <w:numId w:val="48"/>
        </w:numPr>
        <w:rPr>
          <w:rFonts w:ascii="Times New Roman" w:cs="Times New Roman" w:eastAsia="Times New Roman" w:hAnsi="Times New Roman"/>
          <w:sz w:val="22"/>
          <w:szCs w:val="22"/>
          <w:color w:val="auto"/>
        </w:rPr>
      </w:pPr>
      <w:r>
        <w:rPr>
          <w:rFonts w:ascii="Arial" w:cs="Arial" w:eastAsia="Arial" w:hAnsi="Arial"/>
          <w:sz w:val="22"/>
          <w:szCs w:val="22"/>
          <w:color w:val="auto"/>
        </w:rPr>
        <w:t>delegate administration of the Plan to one or more officers of the Company, and the term “Delegates” shall apply to any officer or officers of the Company to whom such authority has been delegated. If administration is delegated to Delegates under this subparagraph (g), Delegates shall have, in connection with the administration of the Plan, the powers theretofore possessed by the Administrator, including the power to delegate to a sub-delegate or sub-delegates any of the administrative powers Delegates are authorized to exercise (and references in this Plan to the Administrator shall thereafter be to Delegates or sub- delegates, as applicable), subject, however, to such resolutions, not inconsistent with the provisions of the Plan, as may be adopted from time to time by the Administrator. The Administrator may cancel a prior delegation to Delegates at any time, in which case all previously delegated administrative authority shall revert back to the Administrator, subject to future delegation under this subparagraph (g).</w:t>
      </w:r>
    </w:p>
    <w:p>
      <w:pPr>
        <w:spacing w:after="0" w:line="151"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Administrator’s determinations under the Plan need not be uniform and may be made by it selectively with respect to Participants (regardless of whether such Participants are similarly situated). Without limiting the generality of the foregoing, the Administrator shall be entitled, among other things, to make non-uniform and selective determinations as to Participants who receive Performance Bonus Awards under the Plan and the terms and provisions of awards under the Plan. Determinations, interpretations, or other actions made or taken by the Administrator pursuant to the provisions of the Plan shall be final, binding and conclusive for all purposes and upon all Participants and all other interested parties.</w:t>
      </w:r>
    </w:p>
    <w:p>
      <w:pPr>
        <w:spacing w:after="0" w:line="148" w:lineRule="exact"/>
        <w:rPr>
          <w:sz w:val="20"/>
          <w:szCs w:val="20"/>
          <w:color w:val="auto"/>
        </w:rPr>
      </w:pPr>
    </w:p>
    <w:p>
      <w:pPr>
        <w:jc w:val="both"/>
        <w:ind w:firstLine="558"/>
        <w:spacing w:after="0" w:line="217" w:lineRule="auto"/>
        <w:rPr>
          <w:sz w:val="20"/>
          <w:szCs w:val="20"/>
          <w:color w:val="auto"/>
        </w:rPr>
      </w:pPr>
      <w:r>
        <w:rPr>
          <w:rFonts w:ascii="Times New Roman" w:cs="Times New Roman" w:eastAsia="Times New Roman" w:hAnsi="Times New Roman"/>
          <w:sz w:val="22"/>
          <w:szCs w:val="22"/>
          <w:color w:val="auto"/>
        </w:rPr>
        <w:t xml:space="preserve">6.2 </w:t>
      </w:r>
      <w:r>
        <w:rPr>
          <w:rFonts w:ascii="Arial" w:cs="Arial" w:eastAsia="Arial" w:hAnsi="Arial"/>
          <w:sz w:val="22"/>
          <w:szCs w:val="22"/>
          <w:u w:val="single" w:color="auto"/>
          <w:color w:val="auto"/>
        </w:rPr>
        <w:t>Compliance with Code Section 409A</w:t>
      </w:r>
      <w:r>
        <w:rPr>
          <w:rFonts w:ascii="Arial" w:cs="Arial" w:eastAsia="Arial" w:hAnsi="Arial"/>
          <w:sz w:val="22"/>
          <w:szCs w:val="22"/>
          <w:color w:val="auto"/>
        </w:rPr>
        <w:t>. Awards under the Plan are intended to comply with Code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Section 409A and all Performance Bonus Awards shall be interpreted in a manner that results in compliance with Section 409A, Department of Treasury regulations, and other interpretative guidance under Section 409A. Notwithstanding any provision of the Plan or an award to the contrary, if the Administrator determines that any Performance Bonus Award does not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Page 6 of 8</w:t>
      </w:r>
    </w:p>
    <w:p>
      <w:pPr>
        <w:sectPr>
          <w:pgSz w:w="11900" w:h="16838" w:orient="portrait"/>
          <w:cols w:equalWidth="0" w:num="1">
            <w:col w:w="11040"/>
          </w:cols>
          <w:pgMar w:left="420" w:top="1394" w:right="439" w:bottom="1440" w:gutter="0" w:footer="0" w:header="0"/>
        </w:sectPr>
      </w:pPr>
    </w:p>
    <w:bookmarkStart w:id="80" w:name="page81"/>
    <w:bookmarkEnd w:id="80"/>
    <w:p>
      <w:pPr>
        <w:jc w:val="both"/>
        <w:spacing w:after="0" w:line="215" w:lineRule="auto"/>
        <w:rPr>
          <w:sz w:val="20"/>
          <w:szCs w:val="20"/>
          <w:color w:val="auto"/>
        </w:rPr>
      </w:pPr>
      <w:r>
        <w:rPr>
          <w:rFonts w:ascii="Arial" w:cs="Arial" w:eastAsia="Arial" w:hAnsi="Arial"/>
          <w:sz w:val="22"/>
          <w:szCs w:val="22"/>
          <w:color w:val="auto"/>
        </w:rPr>
        <w:t>Code Section 409A, the Company may adopt such amendments to the Plan and the affected award (without consent of the Participant) or adopt other policies or procedures (including amendments, policies and procedures with retroactive effect), or take any other actions, that the Administrator determines are necessary and appropriate to (a) exempt the Plan and the award from application of Code Section 409A and/or preserve the intended tax treatment of amounts payable with respect to the award, or (b) comply with the requirements of Code Section 409A.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Limitation of Rights</w:t>
      </w:r>
    </w:p>
    <w:p>
      <w:pPr>
        <w:spacing w:after="0" w:line="18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7.1 </w:t>
      </w:r>
      <w:r>
        <w:rPr>
          <w:rFonts w:ascii="Arial" w:cs="Arial" w:eastAsia="Arial" w:hAnsi="Arial"/>
          <w:sz w:val="22"/>
          <w:szCs w:val="22"/>
          <w:u w:val="single" w:color="auto"/>
          <w:color w:val="auto"/>
        </w:rPr>
        <w:t>No Employment Contract</w:t>
      </w:r>
      <w:r>
        <w:rPr>
          <w:rFonts w:ascii="Arial" w:cs="Arial" w:eastAsia="Arial" w:hAnsi="Arial"/>
          <w:sz w:val="22"/>
          <w:szCs w:val="22"/>
          <w:color w:val="auto"/>
        </w:rPr>
        <w:t>. Nothing in the Plan, including an employee’s eligibility to participate in the</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Plan, will confer on such employee the right to continued employment with the Company or any subsidiary thereof or any limitation on the right of the Company or any subsidiary to terminate the employment of any Participant. The loss of any existing or potential value of Performance Bonus Awards will not constitute an element of damages, or otherwise be recoverable, in any cause of action related to the termination of a Participant’s employment, regardless of the reason for such termination.</w:t>
      </w:r>
    </w:p>
    <w:p>
      <w:pPr>
        <w:spacing w:after="0" w:line="15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7.2 </w:t>
      </w:r>
      <w:r>
        <w:rPr>
          <w:rFonts w:ascii="Arial" w:cs="Arial" w:eastAsia="Arial" w:hAnsi="Arial"/>
          <w:sz w:val="22"/>
          <w:szCs w:val="22"/>
          <w:u w:val="single" w:color="auto"/>
          <w:color w:val="auto"/>
        </w:rPr>
        <w:t>Assignment and Alienation</w:t>
      </w:r>
      <w:r>
        <w:rPr>
          <w:rFonts w:ascii="Arial" w:cs="Arial" w:eastAsia="Arial" w:hAnsi="Arial"/>
          <w:sz w:val="22"/>
          <w:szCs w:val="22"/>
          <w:color w:val="auto"/>
        </w:rPr>
        <w:t>. No Participant shall have the right to alienate, sell, transfer, pledge, or</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encumber his or her actual or anticipated right to receive a Performance Bonus Award under the Plan.</w:t>
      </w:r>
    </w:p>
    <w:p>
      <w:pPr>
        <w:spacing w:after="0" w:line="14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7.3 </w:t>
      </w:r>
      <w:r>
        <w:rPr>
          <w:rFonts w:ascii="Arial" w:cs="Arial" w:eastAsia="Arial" w:hAnsi="Arial"/>
          <w:sz w:val="22"/>
          <w:szCs w:val="22"/>
          <w:u w:val="single" w:color="auto"/>
          <w:color w:val="auto"/>
        </w:rPr>
        <w:t>Unfunded Plan</w:t>
      </w:r>
      <w:r>
        <w:rPr>
          <w:rFonts w:ascii="Arial" w:cs="Arial" w:eastAsia="Arial" w:hAnsi="Arial"/>
          <w:sz w:val="22"/>
          <w:szCs w:val="22"/>
          <w:color w:val="auto"/>
        </w:rPr>
        <w:t>. The Plan constitutes an unfunded, unsecured commitment of the Company. No</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Participant shall have any lien on any assets of the Company or any subsidiary thereof by reason of any actual or anticipated right to receive a Performance Bonus Award.</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7.4 </w:t>
      </w:r>
      <w:r>
        <w:rPr>
          <w:rFonts w:ascii="Arial" w:cs="Arial" w:eastAsia="Arial" w:hAnsi="Arial"/>
          <w:sz w:val="22"/>
          <w:szCs w:val="22"/>
          <w:u w:val="single" w:color="auto"/>
          <w:color w:val="auto"/>
        </w:rPr>
        <w:t>Indemnification</w:t>
      </w:r>
      <w:r>
        <w:rPr>
          <w:rFonts w:ascii="Arial" w:cs="Arial" w:eastAsia="Arial" w:hAnsi="Arial"/>
          <w:sz w:val="22"/>
          <w:szCs w:val="22"/>
          <w:color w:val="auto"/>
        </w:rPr>
        <w:t>. No member of the Administrator shall be liable for any act, omission, or determination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taken or made in good faith with respect to the Plan or any Performance Bonus Awards paid under the Plan. The Company will indemnify, defend, and reimburse members of the Administrator in relation to any claim, loss, damage, or expenses (including attorney fees and costs) arising from the Administrator’s good faith performance of duties under the Plan to the full extent permitted by law and under any directors’ and officers’ liability or similar insurance policy or indemnification agreement. The Company reserves the right to select counsel to defend any litigation covered by this Section 7.4.</w:t>
      </w:r>
    </w:p>
    <w:p>
      <w:pPr>
        <w:spacing w:after="0" w:line="15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 xml:space="preserve">7.5 </w:t>
      </w:r>
      <w:r>
        <w:rPr>
          <w:rFonts w:ascii="Arial" w:cs="Arial" w:eastAsia="Arial" w:hAnsi="Arial"/>
          <w:sz w:val="22"/>
          <w:szCs w:val="22"/>
          <w:u w:val="single" w:color="auto"/>
          <w:color w:val="auto"/>
        </w:rPr>
        <w:t>Future of Plan</w:t>
      </w:r>
      <w:r>
        <w:rPr>
          <w:rFonts w:ascii="Arial" w:cs="Arial" w:eastAsia="Arial" w:hAnsi="Arial"/>
          <w:sz w:val="22"/>
          <w:szCs w:val="22"/>
          <w:color w:val="auto"/>
        </w:rPr>
        <w:t>. The adoption, modification, or amendment of the Plan does not imply or impose an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obligation on the Company to continue or adopt the same plan, or any modification of the Plan, or any other incentive compensation plan, for any future period.</w:t>
      </w:r>
    </w:p>
    <w:p>
      <w:pPr>
        <w:spacing w:after="0" w:line="148"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7.6 </w:t>
      </w: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Washington shall govern the Plan, to the extent not</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preempted by the Code or other Federal law.</w:t>
      </w:r>
    </w:p>
    <w:p>
      <w:pPr>
        <w:spacing w:after="0" w:line="150"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7.7 </w:t>
      </w:r>
      <w:r>
        <w:rPr>
          <w:rFonts w:ascii="Arial" w:cs="Arial" w:eastAsia="Arial" w:hAnsi="Arial"/>
          <w:sz w:val="22"/>
          <w:szCs w:val="22"/>
          <w:u w:val="single" w:color="auto"/>
          <w:color w:val="auto"/>
        </w:rPr>
        <w:t>Acceptance of Plan</w:t>
      </w:r>
      <w:r>
        <w:rPr>
          <w:rFonts w:ascii="Arial" w:cs="Arial" w:eastAsia="Arial" w:hAnsi="Arial"/>
          <w:sz w:val="22"/>
          <w:szCs w:val="22"/>
          <w:color w:val="auto"/>
        </w:rPr>
        <w:t>. By accepting any benefit under the Plan, each Participant and each person</w:t>
      </w:r>
      <w:r>
        <w:rPr>
          <w:rFonts w:ascii="Times New Roman" w:cs="Times New Roman" w:eastAsia="Times New Roman" w:hAnsi="Times New Roman"/>
          <w:sz w:val="22"/>
          <w:szCs w:val="22"/>
          <w:color w:val="auto"/>
        </w:rPr>
        <w:t xml:space="preserve"> </w:t>
      </w:r>
      <w:r>
        <w:rPr>
          <w:rFonts w:ascii="Arial" w:cs="Arial" w:eastAsia="Arial" w:hAnsi="Arial"/>
          <w:sz w:val="22"/>
          <w:szCs w:val="22"/>
          <w:color w:val="auto"/>
        </w:rPr>
        <w:t>claiming under or through any such Participant shall be conclusively deemed to have indicated their acceptance and ratification of, and consent to, all of the terms and conditions of the Plan and any action taken under the Plan by the Administrator or the Company, in any case in accordance with the terms and conditions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Page 7 of 8</w:t>
      </w:r>
    </w:p>
    <w:p>
      <w:pPr>
        <w:sectPr>
          <w:pgSz w:w="11900" w:h="16838" w:orient="portrait"/>
          <w:cols w:equalWidth="0" w:num="1">
            <w:col w:w="11040"/>
          </w:cols>
          <w:pgMar w:left="420" w:top="1396" w:right="439" w:bottom="1440" w:gutter="0" w:footer="0" w:header="0"/>
        </w:sectPr>
      </w:pPr>
    </w:p>
    <w:bookmarkStart w:id="81" w:name="page82"/>
    <w:bookmarkEnd w:id="81"/>
    <w:p>
      <w:pPr>
        <w:spacing w:after="0"/>
        <w:tabs>
          <w:tab w:leader="none" w:pos="540" w:val="left"/>
        </w:tabs>
        <w:rPr>
          <w:sz w:val="20"/>
          <w:szCs w:val="20"/>
          <w:color w:val="auto"/>
        </w:rPr>
      </w:pPr>
      <w:r>
        <w:rPr>
          <w:rFonts w:ascii="Times New Roman" w:cs="Times New Roman" w:eastAsia="Times New Roman" w:hAnsi="Times New Roman"/>
          <w:sz w:val="22"/>
          <w:szCs w:val="22"/>
          <w:color w:val="auto"/>
        </w:rPr>
        <w:t>7.8</w:t>
      </w:r>
      <w:r>
        <w:rPr>
          <w:sz w:val="20"/>
          <w:szCs w:val="20"/>
          <w:color w:val="auto"/>
        </w:rPr>
        <w:tab/>
      </w:r>
      <w:r>
        <w:rPr>
          <w:rFonts w:ascii="Arial" w:cs="Arial" w:eastAsia="Arial" w:hAnsi="Arial"/>
          <w:sz w:val="21"/>
          <w:szCs w:val="21"/>
          <w:u w:val="single" w:color="auto"/>
          <w:color w:val="auto"/>
        </w:rPr>
        <w:t>Successors</w:t>
      </w:r>
      <w:r>
        <w:rPr>
          <w:rFonts w:ascii="Arial" w:cs="Arial" w:eastAsia="Arial" w:hAnsi="Arial"/>
          <w:sz w:val="21"/>
          <w:szCs w:val="21"/>
          <w:color w:val="auto"/>
        </w:rPr>
        <w:t>. The Plan shall be binding on the Company and on any successors thereto.</w:t>
      </w:r>
    </w:p>
    <w:p>
      <w:pPr>
        <w:sectPr>
          <w:pgSz w:w="11900" w:h="16838" w:orient="portrait"/>
          <w:cols w:equalWidth="0" w:num="1">
            <w:col w:w="9399"/>
          </w:cols>
          <w:pgMar w:left="106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80"/>
        <w:spacing w:after="0"/>
        <w:rPr>
          <w:sz w:val="20"/>
          <w:szCs w:val="20"/>
          <w:color w:val="auto"/>
        </w:rPr>
      </w:pPr>
      <w:r>
        <w:rPr>
          <w:rFonts w:ascii="Calibri" w:cs="Calibri" w:eastAsia="Calibri" w:hAnsi="Calibri"/>
          <w:sz w:val="20"/>
          <w:szCs w:val="20"/>
          <w:color w:val="auto"/>
        </w:rPr>
        <w:t>Page 8 of 8</w:t>
      </w:r>
    </w:p>
    <w:p>
      <w:pPr>
        <w:sectPr>
          <w:pgSz w:w="11900" w:h="16838" w:orient="portrait"/>
          <w:cols w:equalWidth="0" w:num="1">
            <w:col w:w="9399"/>
          </w:cols>
          <w:pgMar w:left="1060" w:top="1395" w:right="1440"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REVOLVING CREDIT AGREEMENT</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This FIRST AMENDMENT TO REVOLVING CREDIT AGREEMENT (this “</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is entered into and effective as of March 1, 2023 (the “</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among Nordstrom, Inc., a Washington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hereto, the Lenders party hereto and Wells Fargo Bank, National Association, as administrative agent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Capitalized terms used herein and not otherwise defined shall have the meanings set forth in the Credit Agreement (as defined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WHEREAS, the Borrower, the Lenders party thereto and the Agent are party to that certain Revolving Credit Agreement dated as of May 6, 2022 (as amended and modified from time to time, including as amended by this First Amendment,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Borrower has requested an amendment to the Credit Agreement as described below; and</w:t>
      </w:r>
    </w:p>
    <w:p>
      <w:pPr>
        <w:spacing w:after="0" w:line="21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WHEREAS, the Required Lenders are willing to agree to such amendment, subject to the terms set forth herein as more fully set forth below.</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NOW THEREFORE, for good and valuable consideration, the receipt and sufficiency of which are hereby acknowledged, the parties hereto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16" w:lineRule="exact"/>
        <w:rPr>
          <w:sz w:val="20"/>
          <w:szCs w:val="20"/>
          <w:color w:val="auto"/>
        </w:rPr>
      </w:pPr>
    </w:p>
    <w:p>
      <w:pPr>
        <w:ind w:left="860" w:hanging="204"/>
        <w:spacing w:after="0"/>
        <w:tabs>
          <w:tab w:leader="none" w:pos="8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660" w:firstLine="644"/>
        <w:spacing w:after="0" w:line="269" w:lineRule="auto"/>
        <w:tabs>
          <w:tab w:leader="none" w:pos="1577"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are hereby added to Section 1.1 of the Credit Agreement in the appropriate alphabetical order to read as follows:</w:t>
      </w:r>
    </w:p>
    <w:p>
      <w:pPr>
        <w:spacing w:after="0" w:line="142" w:lineRule="exact"/>
        <w:rPr>
          <w:sz w:val="20"/>
          <w:szCs w:val="20"/>
          <w:color w:val="auto"/>
        </w:rPr>
      </w:pPr>
    </w:p>
    <w:p>
      <w:pPr>
        <w:jc w:val="both"/>
        <w:ind w:left="1300" w:firstLine="972"/>
        <w:spacing w:after="0" w:line="249"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CCAA Proceedings</w:t>
      </w:r>
      <w:r>
        <w:rPr>
          <w:rFonts w:ascii="Times New Roman" w:cs="Times New Roman" w:eastAsia="Times New Roman" w:hAnsi="Times New Roman"/>
          <w:sz w:val="20"/>
          <w:szCs w:val="20"/>
          <w:i w:val="1"/>
          <w:iCs w:val="1"/>
          <w:color w:val="auto"/>
        </w:rPr>
        <w:t>” means the proceedings under the Companies’ Creditors Arrangement Act (Canada) to be commenced before the Ontario Superior Court of Justice (Commercial List) by or with respect to the Nordstrom Canada Entities.</w:t>
      </w:r>
    </w:p>
    <w:p>
      <w:pPr>
        <w:spacing w:after="0" w:line="162" w:lineRule="exact"/>
        <w:rPr>
          <w:sz w:val="20"/>
          <w:szCs w:val="20"/>
          <w:color w:val="auto"/>
        </w:rPr>
      </w:pPr>
    </w:p>
    <w:p>
      <w:pPr>
        <w:jc w:val="both"/>
        <w:ind w:left="1300" w:firstLine="972"/>
        <w:spacing w:after="0" w:line="273"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First Amendment</w:t>
      </w:r>
      <w:r>
        <w:rPr>
          <w:rFonts w:ascii="Times New Roman" w:cs="Times New Roman" w:eastAsia="Times New Roman" w:hAnsi="Times New Roman"/>
          <w:sz w:val="20"/>
          <w:szCs w:val="20"/>
          <w:i w:val="1"/>
          <w:iCs w:val="1"/>
          <w:color w:val="auto"/>
        </w:rPr>
        <w:t>” means that certain First Amendment to Revolving Credit Agreement, dated as of the First Amendment Effective Date, by and among the Loan Parties, the Lenders party thereto and the Administrative Agent.</w:t>
      </w:r>
    </w:p>
    <w:p>
      <w:pPr>
        <w:spacing w:after="0" w:line="13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First Amendment Effective Date</w:t>
      </w:r>
      <w:r>
        <w:rPr>
          <w:rFonts w:ascii="Times New Roman" w:cs="Times New Roman" w:eastAsia="Times New Roman" w:hAnsi="Times New Roman"/>
          <w:sz w:val="20"/>
          <w:szCs w:val="20"/>
          <w:i w:val="1"/>
          <w:iCs w:val="1"/>
          <w:color w:val="auto"/>
        </w:rPr>
        <w:t>” means March 1, 2023.</w:t>
      </w:r>
    </w:p>
    <w:p>
      <w:pPr>
        <w:spacing w:after="0" w:line="21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NCRI</w:t>
      </w:r>
      <w:r>
        <w:rPr>
          <w:rFonts w:ascii="Times New Roman" w:cs="Times New Roman" w:eastAsia="Times New Roman" w:hAnsi="Times New Roman"/>
          <w:sz w:val="20"/>
          <w:szCs w:val="20"/>
          <w:i w:val="1"/>
          <w:iCs w:val="1"/>
          <w:color w:val="auto"/>
        </w:rPr>
        <w:t>” means Nordstrom Canada Retail, Inc.</w:t>
      </w:r>
    </w:p>
    <w:p>
      <w:pPr>
        <w:spacing w:after="0" w:line="202" w:lineRule="exact"/>
        <w:rPr>
          <w:sz w:val="20"/>
          <w:szCs w:val="20"/>
          <w:color w:val="auto"/>
        </w:rPr>
      </w:pPr>
    </w:p>
    <w:p>
      <w:pPr>
        <w:jc w:val="both"/>
        <w:ind w:left="1300" w:firstLine="972"/>
        <w:spacing w:after="0" w:line="273"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Nordstrom Canada Entities</w:t>
      </w:r>
      <w:r>
        <w:rPr>
          <w:rFonts w:ascii="Times New Roman" w:cs="Times New Roman" w:eastAsia="Times New Roman" w:hAnsi="Times New Roman"/>
          <w:sz w:val="20"/>
          <w:szCs w:val="20"/>
          <w:i w:val="1"/>
          <w:iCs w:val="1"/>
          <w:color w:val="auto"/>
        </w:rPr>
        <w:t>” means, collectively, NCRI, Nordstrom Canada Leasing LP, Nordstrom Canada Holdings, LLC and Nordstrom Canada Holdings II, LLC.</w:t>
      </w:r>
    </w:p>
    <w:p>
      <w:pPr>
        <w:spacing w:after="0" w:line="1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(b) The following definitions in Section 1.1 of the Credit Agreement are hereby amended to read as follows:</w:t>
      </w:r>
    </w:p>
    <w:p>
      <w:pPr>
        <w:spacing w:after="0" w:line="198" w:lineRule="exact"/>
        <w:rPr>
          <w:sz w:val="20"/>
          <w:szCs w:val="20"/>
          <w:color w:val="auto"/>
        </w:rPr>
      </w:pPr>
    </w:p>
    <w:p>
      <w:pPr>
        <w:jc w:val="both"/>
        <w:ind w:left="1300" w:firstLine="810"/>
        <w:spacing w:after="0" w:line="249"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Affiliate</w:t>
      </w:r>
      <w:r>
        <w:rPr>
          <w:rFonts w:ascii="Times New Roman" w:cs="Times New Roman" w:eastAsia="Times New Roman" w:hAnsi="Times New Roman"/>
          <w:sz w:val="20"/>
          <w:szCs w:val="20"/>
          <w:i w:val="1"/>
          <w:iCs w:val="1"/>
          <w:color w:val="auto"/>
        </w:rPr>
        <w:t>” means, with respect to any Person, any other Person that, directly or indirectly through one or more intermediaries, controls, or is controlled by, or is under common control with, such first Person. The term “control” means the possession,</w:t>
      </w:r>
    </w:p>
    <w:p>
      <w:pPr>
        <w:sectPr>
          <w:pgSz w:w="11900" w:h="16838" w:orient="portrait"/>
          <w:cols w:equalWidth="0" w:num="1">
            <w:col w:w="11240"/>
          </w:cols>
          <w:pgMar w:left="320" w:top="94" w:right="339" w:bottom="1440" w:gutter="0" w:footer="0" w:header="0"/>
        </w:sectPr>
      </w:pPr>
    </w:p>
    <w:bookmarkStart w:id="83" w:name="page84"/>
    <w:bookmarkEnd w:id="83"/>
    <w:p>
      <w:pPr>
        <w:jc w:val="both"/>
        <w:ind w:left="180"/>
        <w:spacing w:after="0" w:line="238" w:lineRule="auto"/>
        <w:rPr>
          <w:sz w:val="20"/>
          <w:szCs w:val="20"/>
          <w:color w:val="auto"/>
        </w:rPr>
      </w:pPr>
      <w:r>
        <w:rPr>
          <w:rFonts w:ascii="Times New Roman" w:cs="Times New Roman" w:eastAsia="Times New Roman" w:hAnsi="Times New Roman"/>
          <w:sz w:val="20"/>
          <w:szCs w:val="20"/>
          <w:i w:val="1"/>
          <w:iCs w:val="1"/>
          <w:color w:val="auto"/>
        </w:rPr>
        <w:t xml:space="preserve">directly or indirectly, of the power, whether or not exercised, to direct or cause the direction of the management or policies of a Person, whether through the ownership of Capital Stock, by contract or otherwise, and the terms “controlled” and “common control” have correlative meanings. Unless otherwise indicated, “Affiliate” refers to an Affiliate of the Borrower. Notwithstanding the foregoing, (a) in no event shall any Lender Party or any Affiliate of any Lender Party be deemed to be an Affiliate of the Borrower and (b) from and after the First Amendment Effective Date, the Nordstrom Canada Entities shall not be considered Affiliates of the Borrower and its Subsidiaries for purposes of this Agreement and the Loan Documents except for purposes of </w:t>
      </w:r>
      <w:r>
        <w:rPr>
          <w:rFonts w:ascii="Times New Roman" w:cs="Times New Roman" w:eastAsia="Times New Roman" w:hAnsi="Times New Roman"/>
          <w:sz w:val="20"/>
          <w:szCs w:val="20"/>
          <w:i w:val="1"/>
          <w:iCs w:val="1"/>
          <w:u w:val="single" w:color="auto"/>
          <w:color w:val="auto"/>
        </w:rPr>
        <w:t>Section 6.6</w:t>
      </w:r>
      <w:r>
        <w:rPr>
          <w:rFonts w:ascii="Times New Roman" w:cs="Times New Roman" w:eastAsia="Times New Roman" w:hAnsi="Times New Roman"/>
          <w:sz w:val="20"/>
          <w:szCs w:val="20"/>
          <w:i w:val="1"/>
          <w:iCs w:val="1"/>
          <w:color w:val="auto"/>
        </w:rPr>
        <w:t>.</w:t>
      </w:r>
    </w:p>
    <w:p>
      <w:pPr>
        <w:spacing w:after="0" w:line="172" w:lineRule="exact"/>
        <w:rPr>
          <w:sz w:val="20"/>
          <w:szCs w:val="20"/>
          <w:color w:val="auto"/>
        </w:rPr>
      </w:pPr>
    </w:p>
    <w:p>
      <w:pPr>
        <w:jc w:val="both"/>
        <w:ind w:left="100" w:firstLine="891"/>
        <w:spacing w:after="0" w:line="224" w:lineRule="exact"/>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u w:val="single" w:color="auto"/>
          <w:color w:val="auto"/>
        </w:rPr>
        <w:t>Debt</w:t>
      </w:r>
      <w:r>
        <w:rPr>
          <w:rFonts w:ascii="Times New Roman" w:cs="Times New Roman" w:eastAsia="Times New Roman" w:hAnsi="Times New Roman"/>
          <w:sz w:val="19"/>
          <w:szCs w:val="19"/>
          <w:i w:val="1"/>
          <w:iCs w:val="1"/>
          <w:color w:val="auto"/>
        </w:rPr>
        <w:t>” means, with respect to any Person, the aggregate amount of, without duplication: (i) all obligations for borrowed money (including, except as otherwise provided in subpart (iii) below, purchase money indebtedness) other than, with respect to Debt of the Borrower or any of its Subsidiaries, funds borrowed by the Borrower or any such Subsidiary from the Borrower or another such Subsidiary; (ii) all obligations evidenced by bonds, debentures, notes or other similar instruments; (iii) all obligations to pay the deferred purchase price of property or services, except trade accounts payable (which trade payables are deemed to include any consignment purchases) arising in the ordinary course of business that are not overdue; (iv) the principal portion of all obligations under (a) Capitalized Leases and (b) any synthetic lease, tax retention operating lease, off-balance sheet loan or similar off</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balance sheet financing product of such Person where such transaction is considered borrowed money indebtedness for tax purposes but is classified as an operating lease in accordance with GAAP; (v) all obligations of third parties secured by a Lien on any asset owned by such Person whether or not such obligation or liability is assumed; (vi) all obligations of such Person, contingent or otherwise, in respect of any letters of credit or bankers’ acceptances; (vii) all Contingent Obligations (other than Contingent Obligations incurred as a result of, in connection with or stayed by any CCAA Proceedings; provided, that the aggregate amount of Contingent Obligations excluded from Debt pursuant to this parenthetical shall not exceed the “Contingent Obligations amount” on </w:t>
      </w:r>
      <w:r>
        <w:rPr>
          <w:rFonts w:ascii="Times New Roman" w:cs="Times New Roman" w:eastAsia="Times New Roman" w:hAnsi="Times New Roman"/>
          <w:sz w:val="19"/>
          <w:szCs w:val="19"/>
          <w:i w:val="1"/>
          <w:iCs w:val="1"/>
          <w:u w:val="single" w:color="auto"/>
          <w:color w:val="auto"/>
        </w:rPr>
        <w:t>Schedule 1</w:t>
      </w:r>
      <w:r>
        <w:rPr>
          <w:rFonts w:ascii="Times New Roman" w:cs="Times New Roman" w:eastAsia="Times New Roman" w:hAnsi="Times New Roman"/>
          <w:sz w:val="19"/>
          <w:szCs w:val="19"/>
          <w:i w:val="1"/>
          <w:iCs w:val="1"/>
          <w:color w:val="auto"/>
        </w:rPr>
        <w:t xml:space="preserve"> attached to the First Amendment); (viii) the aggregate amount paid to, or borrowed by, such Person as of such date under a sale of receivables or similar transaction (regardless of whether such transaction is effected without recourse to such Person or in a manner that would not be reflected on the balance sheet of such Person in accordance with GAAP); (ix) all Debt of any partnership or unincorporated joint venture to the extent such Person is legally obligated with respect thereto; and (x) all net obligations with respect to interest rate protection agreements, foreign currency exchange agreements, commodity purchase or option agreements or other interest or exchange rate or commodity price hedging agreements.</w:t>
      </w:r>
    </w:p>
    <w:p>
      <w:pPr>
        <w:spacing w:after="0" w:line="183" w:lineRule="exact"/>
        <w:rPr>
          <w:sz w:val="20"/>
          <w:szCs w:val="20"/>
          <w:color w:val="auto"/>
        </w:rPr>
      </w:pPr>
    </w:p>
    <w:p>
      <w:pPr>
        <w:jc w:val="both"/>
        <w:ind w:left="100" w:firstLine="891"/>
        <w:spacing w:after="0" w:line="236"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EBITDAR</w:t>
      </w:r>
      <w:r>
        <w:rPr>
          <w:rFonts w:ascii="Times New Roman" w:cs="Times New Roman" w:eastAsia="Times New Roman" w:hAnsi="Times New Roman"/>
          <w:sz w:val="20"/>
          <w:szCs w:val="20"/>
          <w:i w:val="1"/>
          <w:iCs w:val="1"/>
          <w:color w:val="auto"/>
        </w:rPr>
        <w:t>” means, for any period, with respect to the Borrower and its consolidated Subsidiaries, Net Income plus, to the extent deducted in determining such Net Income, the sum of, without duplication, (a) Interest Expense, (b) any make-whole payment and any unamortized bond premium with respect to a redemption of Debt, (c) income tax expense, (d) depreciation expense, (e) amortization expense, (f) Rent Expense, (g) non-cash charges (including goodwill or other impairment charges) related to acquisitions, in each case as determined in accordance with GAAP, (h) any losses, charges or expenses in connection with the closure or discontinuation of operations (including, without limitation, the closure of any store or other facility) during such period, including non-cash impairment charges incurred as a result of the dissolution of the Nordstrom Canada Entities pursuant to, in connection with or following any CCAA</w:t>
      </w:r>
    </w:p>
    <w:p>
      <w:pPr>
        <w:sectPr>
          <w:pgSz w:w="11900" w:h="16838" w:orient="portrait"/>
          <w:cols w:equalWidth="0" w:num="1">
            <w:col w:w="10120"/>
          </w:cols>
          <w:pgMar w:left="1440" w:top="1409" w:right="339" w:bottom="1440" w:gutter="0" w:footer="0" w:header="0"/>
        </w:sectPr>
      </w:pPr>
    </w:p>
    <w:bookmarkStart w:id="84" w:name="page85"/>
    <w:bookmarkEnd w:id="84"/>
    <w:p>
      <w:pPr>
        <w:jc w:val="both"/>
        <w:ind w:left="100"/>
        <w:spacing w:after="0" w:line="251" w:lineRule="auto"/>
        <w:rPr>
          <w:sz w:val="20"/>
          <w:szCs w:val="20"/>
          <w:color w:val="auto"/>
        </w:rPr>
      </w:pPr>
      <w:r>
        <w:rPr>
          <w:rFonts w:ascii="Times New Roman" w:cs="Times New Roman" w:eastAsia="Times New Roman" w:hAnsi="Times New Roman"/>
          <w:sz w:val="19"/>
          <w:szCs w:val="19"/>
          <w:i w:val="1"/>
          <w:iCs w:val="1"/>
          <w:color w:val="auto"/>
        </w:rPr>
        <w:t xml:space="preserve">Proceedings, (i) other expenses reducing such Net Income which do not represent a cash item in such period or any future period and (j) net cash charges incurred in connection with the dissolution of the Nordstrom Canada Entities pursuant to, in connection with or following any CCAA Proceedings; </w:t>
      </w:r>
      <w:r>
        <w:rPr>
          <w:rFonts w:ascii="Times New Roman" w:cs="Times New Roman" w:eastAsia="Times New Roman" w:hAnsi="Times New Roman"/>
          <w:sz w:val="19"/>
          <w:szCs w:val="19"/>
          <w:i w:val="1"/>
          <w:iCs w:val="1"/>
          <w:u w:val="single" w:color="auto"/>
          <w:color w:val="auto"/>
        </w:rPr>
        <w:t>provided</w:t>
      </w:r>
      <w:r>
        <w:rPr>
          <w:rFonts w:ascii="Times New Roman" w:cs="Times New Roman" w:eastAsia="Times New Roman" w:hAnsi="Times New Roman"/>
          <w:sz w:val="19"/>
          <w:szCs w:val="19"/>
          <w:i w:val="1"/>
          <w:iCs w:val="1"/>
          <w:color w:val="auto"/>
        </w:rPr>
        <w:t>, that the aggregate amount added back pursuant to this clause</w:t>
      </w:r>
    </w:p>
    <w:p>
      <w:pPr>
        <w:spacing w:after="0" w:line="2" w:lineRule="exact"/>
        <w:rPr>
          <w:sz w:val="20"/>
          <w:szCs w:val="20"/>
          <w:color w:val="auto"/>
        </w:rPr>
      </w:pPr>
    </w:p>
    <w:p>
      <w:pPr>
        <w:ind w:left="100" w:firstLine="3"/>
        <w:spacing w:after="0" w:line="246" w:lineRule="auto"/>
        <w:tabs>
          <w:tab w:leader="none" w:pos="340" w:val="left"/>
        </w:tabs>
        <w:numPr>
          <w:ilvl w:val="0"/>
          <w:numId w:val="5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shall not exceed the amount set out as the “EBITDAR subpart (j) amount” on </w:t>
      </w:r>
      <w:r>
        <w:rPr>
          <w:rFonts w:ascii="Times New Roman" w:cs="Times New Roman" w:eastAsia="Times New Roman" w:hAnsi="Times New Roman"/>
          <w:sz w:val="20"/>
          <w:szCs w:val="20"/>
          <w:i w:val="1"/>
          <w:iCs w:val="1"/>
          <w:u w:val="single" w:color="auto"/>
          <w:color w:val="auto"/>
        </w:rPr>
        <w:t>Schedule 1</w:t>
      </w:r>
      <w:r>
        <w:rPr>
          <w:rFonts w:ascii="Times New Roman" w:cs="Times New Roman" w:eastAsia="Times New Roman" w:hAnsi="Times New Roman"/>
          <w:sz w:val="20"/>
          <w:szCs w:val="20"/>
          <w:i w:val="1"/>
          <w:iCs w:val="1"/>
          <w:color w:val="auto"/>
        </w:rPr>
        <w:t xml:space="preserve"> attached to the First Amendment during the term of this Credit Agreement.</w:t>
      </w:r>
    </w:p>
    <w:p>
      <w:pPr>
        <w:spacing w:after="0" w:line="164" w:lineRule="exact"/>
        <w:rPr>
          <w:sz w:val="20"/>
          <w:szCs w:val="20"/>
          <w:color w:val="auto"/>
        </w:rPr>
      </w:pPr>
    </w:p>
    <w:p>
      <w:pPr>
        <w:jc w:val="both"/>
        <w:ind w:left="100" w:firstLine="891"/>
        <w:spacing w:after="0" w:line="238"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Subsidiary</w:t>
      </w:r>
      <w:r>
        <w:rPr>
          <w:rFonts w:ascii="Times New Roman" w:cs="Times New Roman" w:eastAsia="Times New Roman" w:hAnsi="Times New Roman"/>
          <w:sz w:val="20"/>
          <w:szCs w:val="20"/>
          <w:i w:val="1"/>
          <w:iCs w:val="1"/>
          <w:color w:val="auto"/>
        </w:rPr>
        <w:t>” means, with respect to any Person, any other Person of which more than 50% of the Voting Stock is at the time directly or indirectly owned by such first Person. Unless otherwise indicated, “</w:t>
      </w:r>
      <w:r>
        <w:rPr>
          <w:rFonts w:ascii="Times New Roman" w:cs="Times New Roman" w:eastAsia="Times New Roman" w:hAnsi="Times New Roman"/>
          <w:sz w:val="20"/>
          <w:szCs w:val="20"/>
          <w:i w:val="1"/>
          <w:iCs w:val="1"/>
          <w:u w:val="single" w:color="auto"/>
          <w:color w:val="auto"/>
        </w:rPr>
        <w:t>Subsidiary</w:t>
      </w:r>
      <w:r>
        <w:rPr>
          <w:rFonts w:ascii="Times New Roman" w:cs="Times New Roman" w:eastAsia="Times New Roman" w:hAnsi="Times New Roman"/>
          <w:sz w:val="20"/>
          <w:szCs w:val="20"/>
          <w:i w:val="1"/>
          <w:iCs w:val="1"/>
          <w:color w:val="auto"/>
        </w:rPr>
        <w:t xml:space="preserve">” refers to a Subsidiary of the Borrower. Notwithstanding the foregoing, from and after the First Amendment Effective Date the Nordstrom Canada Entities shall not be considered Subsidiaries of the Borrower for purposes of this Agreement (including any existing exhibit or schedule previously provided) and the Loan Documents, except for purposes of (i) clause (d) of the definition of “Excluded Property” in </w:t>
      </w:r>
      <w:r>
        <w:rPr>
          <w:rFonts w:ascii="Times New Roman" w:cs="Times New Roman" w:eastAsia="Times New Roman" w:hAnsi="Times New Roman"/>
          <w:sz w:val="20"/>
          <w:szCs w:val="20"/>
          <w:i w:val="1"/>
          <w:iCs w:val="1"/>
          <w:u w:val="single" w:color="auto"/>
          <w:color w:val="auto"/>
        </w:rPr>
        <w:t>Section 1.1</w:t>
      </w:r>
      <w:r>
        <w:rPr>
          <w:rFonts w:ascii="Times New Roman" w:cs="Times New Roman" w:eastAsia="Times New Roman" w:hAnsi="Times New Roman"/>
          <w:sz w:val="20"/>
          <w:szCs w:val="20"/>
          <w:i w:val="1"/>
          <w:iCs w:val="1"/>
          <w:color w:val="auto"/>
        </w:rPr>
        <w:t xml:space="preserve"> and (ii) the definition of “Information” in </w:t>
      </w:r>
      <w:r>
        <w:rPr>
          <w:rFonts w:ascii="Times New Roman" w:cs="Times New Roman" w:eastAsia="Times New Roman" w:hAnsi="Times New Roman"/>
          <w:sz w:val="20"/>
          <w:szCs w:val="20"/>
          <w:i w:val="1"/>
          <w:iCs w:val="1"/>
          <w:u w:val="single" w:color="auto"/>
          <w:color w:val="auto"/>
        </w:rPr>
        <w:t>Section 9.13</w:t>
      </w:r>
      <w:r>
        <w:rPr>
          <w:rFonts w:ascii="Times New Roman" w:cs="Times New Roman" w:eastAsia="Times New Roman" w:hAnsi="Times New Roman"/>
          <w:sz w:val="20"/>
          <w:szCs w:val="20"/>
          <w:i w:val="1"/>
          <w:iCs w:val="1"/>
          <w:color w:val="auto"/>
        </w:rPr>
        <w:t>.</w:t>
      </w:r>
    </w:p>
    <w:p>
      <w:pPr>
        <w:spacing w:after="0" w:line="188" w:lineRule="exact"/>
        <w:rPr>
          <w:sz w:val="20"/>
          <w:szCs w:val="20"/>
          <w:color w:val="auto"/>
        </w:rPr>
      </w:pPr>
    </w:p>
    <w:p>
      <w:pPr>
        <w:ind w:left="460" w:hanging="276"/>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Section 5.5(k) is hereby added to the Credit Agreement to read as follows:</w:t>
      </w:r>
    </w:p>
    <w:p>
      <w:pPr>
        <w:spacing w:after="0" w:line="198" w:lineRule="exact"/>
        <w:rPr>
          <w:rFonts w:ascii="Times New Roman" w:cs="Times New Roman" w:eastAsia="Times New Roman" w:hAnsi="Times New Roman"/>
          <w:sz w:val="20"/>
          <w:szCs w:val="20"/>
          <w:color w:val="auto"/>
        </w:rPr>
      </w:pPr>
    </w:p>
    <w:p>
      <w:pPr>
        <w:jc w:val="both"/>
        <w:ind w:left="180" w:firstLine="652"/>
        <w:spacing w:after="0" w:line="249" w:lineRule="auto"/>
        <w:tabs>
          <w:tab w:leader="none" w:pos="1110" w:val="left"/>
        </w:tabs>
        <w:numPr>
          <w:ilvl w:val="1"/>
          <w:numId w:val="5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the Borrower shall deliver concurrently with the delivery of any financial statements pursuant to </w:t>
      </w:r>
      <w:r>
        <w:rPr>
          <w:rFonts w:ascii="Times New Roman" w:cs="Times New Roman" w:eastAsia="Times New Roman" w:hAnsi="Times New Roman"/>
          <w:sz w:val="20"/>
          <w:szCs w:val="20"/>
          <w:i w:val="1"/>
          <w:iCs w:val="1"/>
          <w:u w:val="single" w:color="auto"/>
          <w:color w:val="auto"/>
        </w:rPr>
        <w:t>Section 5.1(a)</w:t>
      </w:r>
      <w:r>
        <w:rPr>
          <w:rFonts w:ascii="Times New Roman" w:cs="Times New Roman" w:eastAsia="Times New Roman" w:hAnsi="Times New Roman"/>
          <w:sz w:val="20"/>
          <w:szCs w:val="20"/>
          <w:i w:val="1"/>
          <w:iCs w:val="1"/>
          <w:color w:val="auto"/>
        </w:rPr>
        <w:t xml:space="preserve"> or </w:t>
      </w:r>
      <w:r>
        <w:rPr>
          <w:rFonts w:ascii="Times New Roman" w:cs="Times New Roman" w:eastAsia="Times New Roman" w:hAnsi="Times New Roman"/>
          <w:sz w:val="20"/>
          <w:szCs w:val="20"/>
          <w:i w:val="1"/>
          <w:iCs w:val="1"/>
          <w:u w:val="single" w:color="auto"/>
          <w:color w:val="auto"/>
        </w:rPr>
        <w:t>5.1(b)</w:t>
      </w:r>
      <w:r>
        <w:rPr>
          <w:rFonts w:ascii="Times New Roman" w:cs="Times New Roman" w:eastAsia="Times New Roman" w:hAnsi="Times New Roman"/>
          <w:sz w:val="20"/>
          <w:szCs w:val="20"/>
          <w:i w:val="1"/>
          <w:iCs w:val="1"/>
          <w:color w:val="auto"/>
        </w:rPr>
        <w:t>, the related unaudited consolidating financial statements reflecting the adjustments necessary to eliminate the accounts of the Nordstrom Canada Entities from such consolidated financial statements.</w:t>
      </w:r>
    </w:p>
    <w:p>
      <w:pPr>
        <w:spacing w:after="0" w:line="165" w:lineRule="exact"/>
        <w:rPr>
          <w:rFonts w:ascii="Times New Roman" w:cs="Times New Roman" w:eastAsia="Times New Roman" w:hAnsi="Times New Roman"/>
          <w:sz w:val="20"/>
          <w:szCs w:val="20"/>
          <w:i w:val="1"/>
          <w:iCs w:val="1"/>
          <w:color w:val="auto"/>
        </w:rPr>
      </w:pPr>
    </w:p>
    <w:p>
      <w:pPr>
        <w:ind w:left="460" w:hanging="276"/>
        <w:spacing w:after="0"/>
        <w:tabs>
          <w:tab w:leader="none" w:pos="4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6.6 of the Credit Agreement is hereby amended to read as follows: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i w:val="1"/>
          <w:iCs w:val="1"/>
          <w:color w:val="auto"/>
        </w:rPr>
        <w:t xml:space="preserve">6.6 </w:t>
      </w:r>
      <w:r>
        <w:rPr>
          <w:rFonts w:ascii="Times New Roman" w:cs="Times New Roman" w:eastAsia="Times New Roman" w:hAnsi="Times New Roman"/>
          <w:sz w:val="20"/>
          <w:szCs w:val="20"/>
          <w:i w:val="1"/>
          <w:iCs w:val="1"/>
          <w:u w:val="single" w:color="auto"/>
          <w:color w:val="auto"/>
        </w:rPr>
        <w:t>Transactions with Affiliates</w:t>
      </w:r>
      <w:r>
        <w:rPr>
          <w:rFonts w:ascii="Times New Roman" w:cs="Times New Roman" w:eastAsia="Times New Roman" w:hAnsi="Times New Roman"/>
          <w:sz w:val="20"/>
          <w:szCs w:val="20"/>
          <w:i w:val="1"/>
          <w:iCs w:val="1"/>
          <w:color w:val="auto"/>
        </w:rPr>
        <w:t>.</w:t>
      </w:r>
    </w:p>
    <w:p>
      <w:pPr>
        <w:spacing w:after="0" w:line="202" w:lineRule="exact"/>
        <w:rPr>
          <w:sz w:val="20"/>
          <w:szCs w:val="20"/>
          <w:color w:val="auto"/>
        </w:rPr>
      </w:pPr>
    </w:p>
    <w:p>
      <w:pPr>
        <w:jc w:val="both"/>
        <w:ind w:left="180" w:firstLine="648"/>
        <w:spacing w:after="0" w:line="234" w:lineRule="auto"/>
        <w:rPr>
          <w:sz w:val="20"/>
          <w:szCs w:val="20"/>
          <w:color w:val="auto"/>
        </w:rPr>
      </w:pPr>
      <w:r>
        <w:rPr>
          <w:rFonts w:ascii="Times New Roman" w:cs="Times New Roman" w:eastAsia="Times New Roman" w:hAnsi="Times New Roman"/>
          <w:sz w:val="20"/>
          <w:szCs w:val="20"/>
          <w:i w:val="1"/>
          <w:iCs w:val="1"/>
          <w:color w:val="auto"/>
        </w:rPr>
        <w:t xml:space="preserve">The Borrower shall not, and shall not permit any Subsidiary to, directly or indirectly, enter into any transaction (including the purchase, sale, lease, or exchange of any property or the rendering of any service) with any Affiliate of the Borrower, unless (a) such transaction is not otherwise prohibited by this Agreement, (b) such transaction is in the ordinary course of business and (c) if such transaction is other than with a Wholly Owned Subsidiary, such transaction is on fair and reasonable terms no less favorable to the Borrower or its Subsidiary, as the case may be, than those terms which might be obtained at the time in a comparable arm’s length transaction with a Person who is not an Affiliate or, if such transaction is not one which by its nature could be obtained from such other Person, is on fair and reasonable terms and was negotiated in good faith; provided that this </w:t>
      </w:r>
      <w:r>
        <w:rPr>
          <w:rFonts w:ascii="Times New Roman" w:cs="Times New Roman" w:eastAsia="Times New Roman" w:hAnsi="Times New Roman"/>
          <w:sz w:val="20"/>
          <w:szCs w:val="20"/>
          <w:i w:val="1"/>
          <w:iCs w:val="1"/>
          <w:u w:val="single" w:color="auto"/>
          <w:color w:val="auto"/>
        </w:rPr>
        <w:t>Section 6.6</w:t>
      </w:r>
      <w:r>
        <w:rPr>
          <w:rFonts w:ascii="Times New Roman" w:cs="Times New Roman" w:eastAsia="Times New Roman" w:hAnsi="Times New Roman"/>
          <w:sz w:val="20"/>
          <w:szCs w:val="20"/>
          <w:i w:val="1"/>
          <w:iCs w:val="1"/>
          <w:color w:val="auto"/>
        </w:rPr>
        <w:t xml:space="preserve"> shall not restrict (i) dividends, distributions and other payments and transfers on account of any shares of Capital Stock of the Borrower or any Subsidiary otherwise permissible hereunder, and (ii) transactions pursuant to (A) any agreement between the Borrower and any Affiliate of the Borrower pursuant to which the Borrower sells, discounts or otherwise transfers an interest in accounts receivable in the ordinary course of its business (including agreements under which the Borrower has an obligation to repurchase from or indemnify the purchaser with respect to accounts discounted, sold or otherwise transferred by the Borrower), (B) any agreement between the Borrower and any Affiliate of the Borrower or between one (1) or more Affiliates of the Borrower for or related to the sale of credit card accounts, associated receivables and related assets, (C) sales of loans or participations in loans by any Subsidiary financial institution to an Affiliate, (D) loans, advances and other transactions between or among the Borrower or any of its Subsidiaries to the extent permitted under </w:t>
      </w:r>
      <w:r>
        <w:rPr>
          <w:rFonts w:ascii="Times New Roman" w:cs="Times New Roman" w:eastAsia="Times New Roman" w:hAnsi="Times New Roman"/>
          <w:sz w:val="20"/>
          <w:szCs w:val="20"/>
          <w:i w:val="1"/>
          <w:iCs w:val="1"/>
          <w:u w:val="single" w:color="auto"/>
          <w:color w:val="auto"/>
        </w:rPr>
        <w:t>Section</w:t>
      </w:r>
    </w:p>
    <w:p>
      <w:pPr>
        <w:sectPr>
          <w:pgSz w:w="11900" w:h="16838" w:orient="portrait"/>
          <w:cols w:equalWidth="0" w:num="1">
            <w:col w:w="10120"/>
          </w:cols>
          <w:pgMar w:left="1440" w:top="1409" w:right="339" w:bottom="1440" w:gutter="0" w:footer="0" w:header="0"/>
        </w:sectPr>
      </w:pPr>
    </w:p>
    <w:bookmarkStart w:id="85" w:name="page86"/>
    <w:bookmarkEnd w:id="85"/>
    <w:p>
      <w:pPr>
        <w:jc w:val="both"/>
        <w:ind w:left="180"/>
        <w:spacing w:after="0" w:line="249" w:lineRule="auto"/>
        <w:rPr>
          <w:sz w:val="20"/>
          <w:szCs w:val="20"/>
          <w:color w:val="auto"/>
        </w:rPr>
      </w:pPr>
      <w:r>
        <w:rPr>
          <w:rFonts w:ascii="Times New Roman" w:cs="Times New Roman" w:eastAsia="Times New Roman" w:hAnsi="Times New Roman"/>
          <w:sz w:val="20"/>
          <w:szCs w:val="20"/>
          <w:i w:val="1"/>
          <w:iCs w:val="1"/>
          <w:u w:val="single" w:color="auto"/>
          <w:color w:val="auto"/>
        </w:rPr>
        <w:t>6.1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6.2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6.4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6.5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6.9</w:t>
      </w:r>
      <w:r>
        <w:rPr>
          <w:rFonts w:ascii="Times New Roman" w:cs="Times New Roman" w:eastAsia="Times New Roman" w:hAnsi="Times New Roman"/>
          <w:sz w:val="20"/>
          <w:szCs w:val="20"/>
          <w:i w:val="1"/>
          <w:iCs w:val="1"/>
          <w:color w:val="auto"/>
        </w:rPr>
        <w:t xml:space="preserve"> or </w:t>
      </w:r>
      <w:r>
        <w:rPr>
          <w:rFonts w:ascii="Times New Roman" w:cs="Times New Roman" w:eastAsia="Times New Roman" w:hAnsi="Times New Roman"/>
          <w:sz w:val="20"/>
          <w:szCs w:val="20"/>
          <w:i w:val="1"/>
          <w:iCs w:val="1"/>
          <w:u w:val="single" w:color="auto"/>
          <w:color w:val="auto"/>
        </w:rPr>
        <w:t>6.10</w:t>
      </w:r>
      <w:r>
        <w:rPr>
          <w:rFonts w:ascii="Times New Roman" w:cs="Times New Roman" w:eastAsia="Times New Roman" w:hAnsi="Times New Roman"/>
          <w:sz w:val="20"/>
          <w:szCs w:val="20"/>
          <w:i w:val="1"/>
          <w:iCs w:val="1"/>
          <w:color w:val="auto"/>
        </w:rPr>
        <w:t xml:space="preserve"> and (E) any financing or other amounts or services provided under any wind down agreement provided by the Borrower or its Subsidiaries to the Nordstrom Canada Entities or any of them as a result of, or in connection with, any CCAA Proceedings to the extent not prohibited under </w:t>
      </w:r>
      <w:r>
        <w:rPr>
          <w:rFonts w:ascii="Times New Roman" w:cs="Times New Roman" w:eastAsia="Times New Roman" w:hAnsi="Times New Roman"/>
          <w:sz w:val="20"/>
          <w:szCs w:val="20"/>
          <w:i w:val="1"/>
          <w:iCs w:val="1"/>
          <w:u w:val="single" w:color="auto"/>
          <w:color w:val="auto"/>
        </w:rPr>
        <w:t>Section 6.10(b)(viii)</w:t>
      </w:r>
      <w:r>
        <w:rPr>
          <w:rFonts w:ascii="Times New Roman" w:cs="Times New Roman" w:eastAsia="Times New Roman" w:hAnsi="Times New Roman"/>
          <w:sz w:val="20"/>
          <w:szCs w:val="20"/>
          <w:i w:val="1"/>
          <w:iCs w:val="1"/>
          <w:color w:val="auto"/>
        </w:rPr>
        <w:t>.</w:t>
      </w:r>
    </w:p>
    <w:p>
      <w:pPr>
        <w:spacing w:after="0" w:line="166" w:lineRule="exact"/>
        <w:rPr>
          <w:sz w:val="20"/>
          <w:szCs w:val="20"/>
          <w:color w:val="auto"/>
        </w:rPr>
      </w:pPr>
    </w:p>
    <w:p>
      <w:pPr>
        <w:ind w:left="-460" w:right="20" w:firstLine="644"/>
        <w:spacing w:after="0" w:line="269" w:lineRule="auto"/>
        <w:tabs>
          <w:tab w:leader="none" w:pos="45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6.10(b) of the Credit Agreement is hereby amended to (i) delete the “and” at the end of subclause (vi), (ii) replace the “.” at the end of subclause (vii) with “; and” and (iii) to add a new subclause (viii) to read as follows:</w:t>
      </w:r>
    </w:p>
    <w:p>
      <w:pPr>
        <w:spacing w:after="0" w:line="141" w:lineRule="exact"/>
        <w:rPr>
          <w:rFonts w:ascii="Times New Roman" w:cs="Times New Roman" w:eastAsia="Times New Roman" w:hAnsi="Times New Roman"/>
          <w:sz w:val="20"/>
          <w:szCs w:val="20"/>
          <w:color w:val="auto"/>
        </w:rPr>
      </w:pPr>
    </w:p>
    <w:p>
      <w:pPr>
        <w:jc w:val="both"/>
        <w:ind w:left="180" w:firstLine="814"/>
        <w:spacing w:after="0" w:line="238" w:lineRule="auto"/>
        <w:tabs>
          <w:tab w:leader="none" w:pos="1424" w:val="left"/>
        </w:tabs>
        <w:numPr>
          <w:ilvl w:val="1"/>
          <w:numId w:val="52"/>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Investments in the Nordstrom Canada Entities (including any debtor-in-possession financing provided by the Borrower and its Subsidiaries to the Nordstrom Canada Entities or any of them or any other amounts provided under any wind-down agreement with the Nordstrom Canada Entities or any of them), the establishment and maintenance of any employee trusts, and the waiver of any claims or purchase of assets under a plan of compromise or arrangement, in each case, to the extent required as a result of or in connection with any CCAA Proceedings; provided, that, the aggregate amount of Investments made pursuant to this </w:t>
      </w:r>
      <w:r>
        <w:rPr>
          <w:rFonts w:ascii="Times New Roman" w:cs="Times New Roman" w:eastAsia="Times New Roman" w:hAnsi="Times New Roman"/>
          <w:sz w:val="20"/>
          <w:szCs w:val="20"/>
          <w:i w:val="1"/>
          <w:iCs w:val="1"/>
          <w:u w:val="single" w:color="auto"/>
          <w:color w:val="auto"/>
        </w:rPr>
        <w:t>Section 6.10(b)(viii)</w:t>
      </w:r>
      <w:r>
        <w:rPr>
          <w:rFonts w:ascii="Times New Roman" w:cs="Times New Roman" w:eastAsia="Times New Roman" w:hAnsi="Times New Roman"/>
          <w:sz w:val="20"/>
          <w:szCs w:val="20"/>
          <w:i w:val="1"/>
          <w:iCs w:val="1"/>
          <w:color w:val="auto"/>
        </w:rPr>
        <w:t xml:space="preserve"> shall not exceed the “Section 6.10(b)(viii) Investment Cap” on </w:t>
      </w:r>
      <w:r>
        <w:rPr>
          <w:rFonts w:ascii="Times New Roman" w:cs="Times New Roman" w:eastAsia="Times New Roman" w:hAnsi="Times New Roman"/>
          <w:sz w:val="20"/>
          <w:szCs w:val="20"/>
          <w:i w:val="1"/>
          <w:iCs w:val="1"/>
          <w:u w:val="single" w:color="auto"/>
          <w:color w:val="auto"/>
        </w:rPr>
        <w:t>Schedule 1</w:t>
      </w:r>
      <w:r>
        <w:rPr>
          <w:rFonts w:ascii="Times New Roman" w:cs="Times New Roman" w:eastAsia="Times New Roman" w:hAnsi="Times New Roman"/>
          <w:sz w:val="20"/>
          <w:szCs w:val="20"/>
          <w:i w:val="1"/>
          <w:iCs w:val="1"/>
          <w:color w:val="auto"/>
        </w:rPr>
        <w:t xml:space="preserve"> to the First Amendment.</w:t>
      </w:r>
    </w:p>
    <w:p>
      <w:pPr>
        <w:spacing w:after="0" w:line="176" w:lineRule="exact"/>
        <w:rPr>
          <w:rFonts w:ascii="Times New Roman" w:cs="Times New Roman" w:eastAsia="Times New Roman" w:hAnsi="Times New Roman"/>
          <w:sz w:val="20"/>
          <w:szCs w:val="20"/>
          <w:i w:val="1"/>
          <w:iCs w:val="1"/>
          <w:color w:val="auto"/>
        </w:rPr>
      </w:pPr>
    </w:p>
    <w:p>
      <w:pPr>
        <w:ind w:left="440" w:hanging="256"/>
        <w:spacing w:after="0"/>
        <w:tabs>
          <w:tab w:leader="none" w:pos="4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sentence is hereby added at the end of Section 6.10(b) to read as follows:</w:t>
      </w:r>
    </w:p>
    <w:p>
      <w:pPr>
        <w:spacing w:after="0" w:line="198" w:lineRule="exact"/>
        <w:rPr>
          <w:sz w:val="20"/>
          <w:szCs w:val="20"/>
          <w:color w:val="auto"/>
        </w:rPr>
      </w:pPr>
    </w:p>
    <w:p>
      <w:pPr>
        <w:jc w:val="both"/>
        <w:ind w:left="1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Notwithstanding anything to the contrary contained herein, no Investments shall be made in the Nordstrom Canada Entities other than (x) Investments outstanding on the First Amendment Effective Date and (y) Investments made pursuant to </w:t>
      </w:r>
      <w:r>
        <w:rPr>
          <w:rFonts w:ascii="Times New Roman" w:cs="Times New Roman" w:eastAsia="Times New Roman" w:hAnsi="Times New Roman"/>
          <w:sz w:val="20"/>
          <w:szCs w:val="20"/>
          <w:i w:val="1"/>
          <w:iCs w:val="1"/>
          <w:u w:val="single" w:color="auto"/>
          <w:color w:val="auto"/>
        </w:rPr>
        <w:t>Section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i w:val="1"/>
          <w:iCs w:val="1"/>
          <w:u w:val="single" w:color="auto"/>
          <w:color w:val="auto"/>
        </w:rPr>
        <w:t>6.10(b)(viii)</w:t>
      </w:r>
      <w:r>
        <w:rPr>
          <w:rFonts w:ascii="Times New Roman" w:cs="Times New Roman" w:eastAsia="Times New Roman" w:hAnsi="Times New Roman"/>
          <w:sz w:val="20"/>
          <w:szCs w:val="20"/>
          <w:i w:val="1"/>
          <w:iCs w:val="1"/>
          <w:color w:val="auto"/>
        </w:rPr>
        <w:t>.</w:t>
      </w:r>
    </w:p>
    <w:p>
      <w:pPr>
        <w:spacing w:after="0" w:line="179" w:lineRule="exact"/>
        <w:rPr>
          <w:sz w:val="20"/>
          <w:szCs w:val="20"/>
          <w:color w:val="auto"/>
        </w:rPr>
      </w:pPr>
    </w:p>
    <w:p>
      <w:pPr>
        <w:ind w:left="460" w:hanging="276"/>
        <w:spacing w:after="0"/>
        <w:tabs>
          <w:tab w:leader="none" w:pos="4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7.1(g) of the Credit Agreement is hereby amended to read as follows:</w:t>
      </w:r>
    </w:p>
    <w:p>
      <w:pPr>
        <w:spacing w:after="0" w:line="198" w:lineRule="exact"/>
        <w:rPr>
          <w:rFonts w:ascii="Times New Roman" w:cs="Times New Roman" w:eastAsia="Times New Roman" w:hAnsi="Times New Roman"/>
          <w:sz w:val="20"/>
          <w:szCs w:val="20"/>
          <w:color w:val="auto"/>
        </w:rPr>
      </w:pPr>
    </w:p>
    <w:p>
      <w:pPr>
        <w:jc w:val="both"/>
        <w:ind w:left="180" w:firstLine="652"/>
        <w:spacing w:after="0" w:line="233" w:lineRule="auto"/>
        <w:tabs>
          <w:tab w:leader="none" w:pos="1108" w:val="left"/>
        </w:tabs>
        <w:numPr>
          <w:ilvl w:val="1"/>
          <w:numId w:val="5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Voluntary Bankruptcy; Appointment of Receiver, Etc</w:t>
      </w:r>
      <w:r>
        <w:rPr>
          <w:rFonts w:ascii="Times New Roman" w:cs="Times New Roman" w:eastAsia="Times New Roman" w:hAnsi="Times New Roman"/>
          <w:sz w:val="20"/>
          <w:szCs w:val="20"/>
          <w:i w:val="1"/>
          <w:iCs w:val="1"/>
          <w:color w:val="auto"/>
        </w:rPr>
        <w:t xml:space="preserve">. The Borrower or any Loan Party shall institute a voluntary case seeking liquidation or reorganization under Chapter 7 or Chapter 11, respectively, of the Bankruptcy Code or any similar proceeding under any Debtor Relief Law or any other Applicable Law, or shall consent thereto; or shall consent to the conversion of an involuntary case to a voluntary case; or shall make a proposal to its creditors or file notice of its intention to do so, shall institute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shall file a petition, answer a complaint or otherwise institute any proceeding seeking, or shall consent to or acquiesce in the appointment of, a receiver, receiver-manager, liquidator, sequestrator, custodian, trustee or other officer with similar powers over the Borrower or any Loan Party or to take possession of all or a substantial portion of its property or to operate all or a substantial portion of its business; or shall make a general assignment for the benefit of creditors; or shall generally not pay, or shall admit in writing its inability to pay, its debts as they become due; or the board of directors of the Borrower or any Loan Party (or any committee thereof) shall adopt any resolution or otherwise authorize action to approve any of the foregoing;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i w:val="1"/>
          <w:iCs w:val="1"/>
          <w:color w:val="auto"/>
        </w:rPr>
        <w:t>, that, notwithstanding the foregoing, any CCAA Proceedings, any subsequent proceedings (including, without limitation, any bankruptcy proceedings under the Bankruptcy and Insolvency Act (Canada)), any participation in such CCAA Proceedings or subsequent proceedings affecting the Nordstrom Canada Entities, direct or indirect, or any support provided by the Borrower or any Loan Party in connection therewith (it being understood that any such support that constitutes an</w:t>
      </w:r>
    </w:p>
    <w:p>
      <w:pPr>
        <w:sectPr>
          <w:pgSz w:w="11900" w:h="16838" w:orient="portrait"/>
          <w:cols w:equalWidth="0" w:num="1">
            <w:col w:w="10120"/>
          </w:cols>
          <w:pgMar w:left="1440" w:top="1409" w:right="339" w:bottom="1440" w:gutter="0" w:footer="0" w:header="0"/>
        </w:sectPr>
      </w:pPr>
    </w:p>
    <w:bookmarkStart w:id="86" w:name="page87"/>
    <w:bookmarkEnd w:id="86"/>
    <w:p>
      <w:pPr>
        <w:ind w:left="130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Investment, shall be subject to Section 6.10(b)(viii)) and in connection with the wind-down of the Nordstrom Canada Entities shall not constitute an “Event of Default” under this </w:t>
      </w:r>
      <w:r>
        <w:rPr>
          <w:rFonts w:ascii="Times New Roman" w:cs="Times New Roman" w:eastAsia="Times New Roman" w:hAnsi="Times New Roman"/>
          <w:sz w:val="20"/>
          <w:szCs w:val="20"/>
          <w:i w:val="1"/>
          <w:iCs w:val="1"/>
          <w:u w:val="single" w:color="auto"/>
          <w:color w:val="auto"/>
        </w:rPr>
        <w:t>Section 7.1(g)</w:t>
      </w:r>
      <w:r>
        <w:rPr>
          <w:rFonts w:ascii="Times New Roman" w:cs="Times New Roman" w:eastAsia="Times New Roman" w:hAnsi="Times New Roman"/>
          <w:sz w:val="20"/>
          <w:szCs w:val="20"/>
          <w:i w:val="1"/>
          <w:iCs w:val="1"/>
          <w:color w:val="auto"/>
        </w:rPr>
        <w:t>;</w:t>
      </w:r>
    </w:p>
    <w:p>
      <w:pPr>
        <w:spacing w:after="0" w:line="169" w:lineRule="exact"/>
        <w:rPr>
          <w:sz w:val="20"/>
          <w:szCs w:val="20"/>
          <w:color w:val="auto"/>
        </w:rPr>
      </w:pPr>
    </w:p>
    <w:p>
      <w:pPr>
        <w:ind w:left="660" w:firstLine="644"/>
        <w:spacing w:after="0" w:line="255" w:lineRule="auto"/>
        <w:tabs>
          <w:tab w:leader="none" w:pos="1588"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7.1 of the Credit Agreement is hereby amended to (i) replace the “.” at the end of clause (k) with “; or” and (ii) to add a new clause (l) to read as follows:</w:t>
      </w:r>
    </w:p>
    <w:p>
      <w:pPr>
        <w:spacing w:after="0" w:line="168" w:lineRule="exact"/>
        <w:rPr>
          <w:rFonts w:ascii="Times New Roman" w:cs="Times New Roman" w:eastAsia="Times New Roman" w:hAnsi="Times New Roman"/>
          <w:sz w:val="20"/>
          <w:szCs w:val="20"/>
          <w:color w:val="auto"/>
        </w:rPr>
      </w:pPr>
    </w:p>
    <w:p>
      <w:pPr>
        <w:jc w:val="both"/>
        <w:ind w:left="1300" w:firstLine="733"/>
        <w:spacing w:after="0" w:line="234" w:lineRule="auto"/>
        <w:tabs>
          <w:tab w:leader="none" w:pos="2279" w:val="left"/>
        </w:tabs>
        <w:numPr>
          <w:ilvl w:val="2"/>
          <w:numId w:val="5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There shall be a money judgment, writ or warrant of attachment against any Loan Party, or the assets of any Loan Party, or a final order of a court of competent jurisdiction against any such Loan Party or the assets of any such Loan Party, in each case, in the CCAA Proceedings or any subsequent or other proceeding directly related to or arising out of the CCAA Proceedings, and such judgement, writ, warrant or final order is for a cash amount payable by such Loan Party or the disgorgement of certain money, property or assets of such Loan Party, or divests such Loan Party of its interest in assets with a value, (i) individually or in the aggregate, in excess of $100,000,000, and (ii) that is not satisfied, compromised or released in any plan of compromise or arrangement (or other means of settlement) implemented in the CCAA Proceedings or any subsequent or other proceeding directly related to or arising out of the CCAA Proceedings; provided that, no Event of Default shall exist if (x) payment of such judgement, writ, warrant or final order is covered in full by insurance and the insurer has affirmed such coverage; or (y) the Borrower is in good faith prosecuting an appeal of such judgement, writ, warrant or final order and has (A) deposited funds as required for such appeal, if any, and (B) reserved amounts on its books for such judgement, writ, warrant or final order as required in accordance with GAAP; or (z) such judgment, writ, warrant or final order is stayed or dismissed within a period of ninety (90) days.</w:t>
      </w:r>
    </w:p>
    <w:p>
      <w:pPr>
        <w:spacing w:after="0" w:line="180" w:lineRule="exact"/>
        <w:rPr>
          <w:rFonts w:ascii="Times New Roman" w:cs="Times New Roman" w:eastAsia="Times New Roman" w:hAnsi="Times New Roman"/>
          <w:sz w:val="20"/>
          <w:szCs w:val="20"/>
          <w:i w:val="1"/>
          <w:iCs w:val="1"/>
          <w:color w:val="auto"/>
        </w:rPr>
      </w:pPr>
    </w:p>
    <w:p>
      <w:pPr>
        <w:jc w:val="both"/>
        <w:ind w:firstLine="656"/>
        <w:spacing w:after="0" w:line="234" w:lineRule="auto"/>
        <w:tabs>
          <w:tab w:leader="none" w:pos="846"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of NCRI</w:t>
      </w:r>
      <w:r>
        <w:rPr>
          <w:rFonts w:ascii="Times New Roman" w:cs="Times New Roman" w:eastAsia="Times New Roman" w:hAnsi="Times New Roman"/>
          <w:sz w:val="20"/>
          <w:szCs w:val="20"/>
          <w:color w:val="auto"/>
        </w:rPr>
        <w:t>. Effective automatically upon the First Amendment Effective Date, the Agent hereby (a) automatically releases NCRI without any further action whatsoever from all of its obligations and liabilities of any and every kind or character, whether known or unknown, present or future, arising under the Guaranty, the Canadian Security Agreement and each other Loan Document (and the Canadian Security Agreement shall cease to be a “Collateral Document”) and (b) releases, discharges and disclaims each Lien granted by NCRI in favor of the Agent pursuant to the Guaranty and the other Loan Documents. At the sole expense of the Borrower, the Agent will execute, as applicable, and deliver to the Borrower (or any designee of the Borrower) any such lien releases and/or lien terminations, authorizations to discharge security interests, discharges of security interests, pledges and/or guarantees, and other similar release, discharge and/or termination documents as are reasonably requested by the Borrower and are necessary to release, terminate or discharge, as of record, the security interests and Liens in favor of the Agent on the assets of NCRI. Without limiting the generality of the foregoing, effective automatically upon the First Amendment Effective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Agent authorizes NCRI and any other party on behalf of NCRI (including, without limitation, Lane Powell PC and Osler, Hoskin &amp; Harcourt LLP) to file the Personal Property Security Act financing change statements and UCC-3 termination statements in the forms attached hereto as Exhibit A. Notwithstanding this Section 2, the Credit Agreement and each other Loan Document remain in full force and effect with respect to each Loan Party, other than NCRI.</w:t>
      </w:r>
    </w:p>
    <w:p>
      <w:pPr>
        <w:spacing w:after="0" w:line="1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For the avoidance of doubt, the execution of this First Amendment by the Required Lenders shall constitute confirmation by the Required Lenders that the Agent is authorized to release NCRI from its obligations under the Loan Documents.</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Effectiveness; Conditions Precedent</w:t>
      </w:r>
      <w:r>
        <w:rPr>
          <w:rFonts w:ascii="Times New Roman" w:cs="Times New Roman" w:eastAsia="Times New Roman" w:hAnsi="Times New Roman"/>
          <w:sz w:val="20"/>
          <w:szCs w:val="20"/>
          <w:color w:val="auto"/>
        </w:rPr>
        <w:t>. This First Amendment shall be effective upon satisfaction of the following conditions:</w:t>
      </w:r>
    </w:p>
    <w:p>
      <w:pPr>
        <w:sectPr>
          <w:pgSz w:w="11900" w:h="16838" w:orient="portrait"/>
          <w:cols w:equalWidth="0" w:num="1">
            <w:col w:w="11240"/>
          </w:cols>
          <w:pgMar w:left="320" w:top="1409" w:right="339" w:bottom="1440" w:gutter="0" w:footer="0" w:header="0"/>
        </w:sectPr>
      </w:pPr>
    </w:p>
    <w:bookmarkStart w:id="87" w:name="page88"/>
    <w:bookmarkEnd w:id="87"/>
    <w:p>
      <w:pPr>
        <w:ind w:left="4" w:firstLine="725"/>
        <w:spacing w:after="0" w:line="255" w:lineRule="auto"/>
        <w:tabs>
          <w:tab w:leader="none" w:pos="1002"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by the Agent of copies of this First Amendment duly executed by the Borrower, the Guarantors, the Agent and the Required Lenders.</w:t>
      </w:r>
    </w:p>
    <w:p>
      <w:pPr>
        <w:spacing w:after="0" w:line="172" w:lineRule="exact"/>
        <w:rPr>
          <w:rFonts w:ascii="Times New Roman" w:cs="Times New Roman" w:eastAsia="Times New Roman" w:hAnsi="Times New Roman"/>
          <w:sz w:val="20"/>
          <w:szCs w:val="20"/>
          <w:color w:val="auto"/>
        </w:rPr>
      </w:pPr>
    </w:p>
    <w:p>
      <w:pPr>
        <w:ind w:left="1004" w:hanging="275"/>
        <w:spacing w:after="0"/>
        <w:tabs>
          <w:tab w:leader="none" w:pos="1004"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fees due and owing to the Administrative Agent and the Lenders.</w:t>
      </w:r>
    </w:p>
    <w:p>
      <w:pPr>
        <w:spacing w:after="0" w:line="202" w:lineRule="exact"/>
        <w:rPr>
          <w:rFonts w:ascii="Times New Roman" w:cs="Times New Roman" w:eastAsia="Times New Roman" w:hAnsi="Times New Roman"/>
          <w:sz w:val="20"/>
          <w:szCs w:val="20"/>
          <w:color w:val="auto"/>
        </w:rPr>
      </w:pPr>
    </w:p>
    <w:p>
      <w:pPr>
        <w:ind w:left="4" w:firstLine="725"/>
        <w:spacing w:after="0" w:line="269" w:lineRule="auto"/>
        <w:tabs>
          <w:tab w:leader="none" w:pos="1015"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all reasonable fees, charges and disbursements of counsel to the Agent (directly to such counsel if requested by the Agent) to the extent invoiced at least one (1) Business Day prior to the date hereof.</w:t>
      </w:r>
    </w:p>
    <w:p>
      <w:pPr>
        <w:spacing w:after="0" w:line="145" w:lineRule="exact"/>
        <w:rPr>
          <w:rFonts w:ascii="Times New Roman" w:cs="Times New Roman" w:eastAsia="Times New Roman" w:hAnsi="Times New Roman"/>
          <w:sz w:val="20"/>
          <w:szCs w:val="20"/>
          <w:color w:val="auto"/>
        </w:rPr>
      </w:pPr>
    </w:p>
    <w:p>
      <w:pPr>
        <w:jc w:val="both"/>
        <w:ind w:left="-656" w:firstLine="656"/>
        <w:spacing w:after="0" w:line="237" w:lineRule="auto"/>
        <w:tabs>
          <w:tab w:leader="none" w:pos="19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Credit Agreement</w:t>
      </w:r>
      <w:r>
        <w:rPr>
          <w:rFonts w:ascii="Times New Roman" w:cs="Times New Roman" w:eastAsia="Times New Roman" w:hAnsi="Times New Roman"/>
          <w:sz w:val="20"/>
          <w:szCs w:val="20"/>
          <w:color w:val="auto"/>
        </w:rPr>
        <w:t>. On and after the First Amendment Effective Date, the term “Credit Agreement” as used in each of the Loan Documents shall hereafter mean the Credit Agreement as amended and modified by this First Amendment. Except as herein specifically agreed, the Credit Agreement, as amended by this First Amendment, is hereby ratified and confirmed and shall remain in full force and effect according to its terms. Each of the Loan Parties acknowledges and consents to the modifications set forth herein and agree that, except as herein specifically agreed, this First Amendment does not impair, reduce or limit any of its obligations under the Loan Documents (including, without limitation, the indemnity obligations set forth therein) and that, after the date hereof, this First Amendment shall constitute a Loan Document.</w:t>
      </w:r>
    </w:p>
    <w:p>
      <w:pPr>
        <w:spacing w:after="0" w:line="178" w:lineRule="exact"/>
        <w:rPr>
          <w:rFonts w:ascii="Times New Roman" w:cs="Times New Roman" w:eastAsia="Times New Roman" w:hAnsi="Times New Roman"/>
          <w:sz w:val="20"/>
          <w:szCs w:val="20"/>
          <w:color w:val="auto"/>
        </w:rPr>
      </w:pPr>
    </w:p>
    <w:p>
      <w:pPr>
        <w:ind w:left="204" w:hanging="204"/>
        <w:spacing w:after="0"/>
        <w:tabs>
          <w:tab w:leader="none" w:pos="20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Authority/Enforceability</w:t>
      </w:r>
      <w:r>
        <w:rPr>
          <w:rFonts w:ascii="Times New Roman" w:cs="Times New Roman" w:eastAsia="Times New Roman" w:hAnsi="Times New Roman"/>
          <w:sz w:val="20"/>
          <w:szCs w:val="20"/>
          <w:color w:val="auto"/>
        </w:rPr>
        <w:t>. Each of the Loan Parties, including NCRI, represents and warrants as follows:</w:t>
      </w:r>
    </w:p>
    <w:p>
      <w:pPr>
        <w:spacing w:after="0" w:line="202" w:lineRule="exact"/>
        <w:rPr>
          <w:rFonts w:ascii="Times New Roman" w:cs="Times New Roman" w:eastAsia="Times New Roman" w:hAnsi="Times New Roman"/>
          <w:sz w:val="20"/>
          <w:szCs w:val="20"/>
          <w:color w:val="auto"/>
        </w:rPr>
      </w:pPr>
    </w:p>
    <w:p>
      <w:pPr>
        <w:ind w:left="924" w:hanging="276"/>
        <w:spacing w:after="0"/>
        <w:tabs>
          <w:tab w:leader="none" w:pos="92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taken all necessary action to authorize the execution, delivery and performance of this First Amendment.</w:t>
      </w:r>
    </w:p>
    <w:p>
      <w:pPr>
        <w:spacing w:after="0" w:line="215" w:lineRule="exact"/>
        <w:rPr>
          <w:rFonts w:ascii="Times New Roman" w:cs="Times New Roman" w:eastAsia="Times New Roman" w:hAnsi="Times New Roman"/>
          <w:sz w:val="20"/>
          <w:szCs w:val="20"/>
          <w:color w:val="auto"/>
        </w:rPr>
      </w:pPr>
    </w:p>
    <w:p>
      <w:pPr>
        <w:jc w:val="both"/>
        <w:ind w:left="4" w:firstLine="644"/>
        <w:spacing w:after="0" w:line="239" w:lineRule="auto"/>
        <w:tabs>
          <w:tab w:leader="none" w:pos="946"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First Amendment has been duly executed and delivered by such Person and constitutes such Person’s legal, valid and binding obligations,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190" w:lineRule="exact"/>
        <w:rPr>
          <w:rFonts w:ascii="Times New Roman" w:cs="Times New Roman" w:eastAsia="Times New Roman" w:hAnsi="Times New Roman"/>
          <w:sz w:val="20"/>
          <w:szCs w:val="20"/>
          <w:color w:val="auto"/>
        </w:rPr>
      </w:pPr>
    </w:p>
    <w:p>
      <w:pPr>
        <w:jc w:val="both"/>
        <w:ind w:left="4" w:firstLine="644"/>
        <w:spacing w:after="0"/>
        <w:tabs>
          <w:tab w:leader="none" w:pos="93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 order of, or filing, registration or qualification with, any court or governmental authority or third party is required in connection with the execution, delivery or performance by such Person of this First Amendment.</w:t>
      </w:r>
    </w:p>
    <w:p>
      <w:pPr>
        <w:spacing w:after="0" w:line="187" w:lineRule="exact"/>
        <w:rPr>
          <w:rFonts w:ascii="Times New Roman" w:cs="Times New Roman" w:eastAsia="Times New Roman" w:hAnsi="Times New Roman"/>
          <w:sz w:val="20"/>
          <w:szCs w:val="20"/>
          <w:color w:val="auto"/>
        </w:rPr>
      </w:pPr>
    </w:p>
    <w:p>
      <w:pPr>
        <w:jc w:val="both"/>
        <w:ind w:left="4" w:firstLine="644"/>
        <w:spacing w:after="0" w:line="247" w:lineRule="auto"/>
        <w:tabs>
          <w:tab w:leader="none" w:pos="93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First Amendment does not (i) violate, contravene or conflict with any provision of its organization or formation documents or (ii) materially violate, contravene or conflict with any law, regulation, order, writ, judgment, injunction, decree or permit applicable to it or any of its Subsidiaries.</w:t>
      </w:r>
    </w:p>
    <w:p>
      <w:pPr>
        <w:spacing w:after="0" w:line="167" w:lineRule="exact"/>
        <w:rPr>
          <w:rFonts w:ascii="Times New Roman" w:cs="Times New Roman" w:eastAsia="Times New Roman" w:hAnsi="Times New Roman"/>
          <w:sz w:val="20"/>
          <w:szCs w:val="20"/>
          <w:color w:val="auto"/>
        </w:rPr>
      </w:pPr>
    </w:p>
    <w:p>
      <w:pPr>
        <w:jc w:val="both"/>
        <w:ind w:left="-656" w:firstLine="656"/>
        <w:spacing w:after="0" w:line="239" w:lineRule="auto"/>
        <w:tabs>
          <w:tab w:leader="none" w:pos="20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of the Loan Parties</w:t>
      </w:r>
      <w:r>
        <w:rPr>
          <w:rFonts w:ascii="Times New Roman" w:cs="Times New Roman" w:eastAsia="Times New Roman" w:hAnsi="Times New Roman"/>
          <w:sz w:val="20"/>
          <w:szCs w:val="20"/>
          <w:color w:val="auto"/>
        </w:rPr>
        <w:t xml:space="preserve">. Each of the Loan Parties, other than NCRI, represents and warrants to the Agent and each Lender that (a) the representations and warranties of the Loan Parties other than NCRI set forth (i)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the Credit Agreement and (ii) in the other Loan Documents are true and correct in all material respects as of the First Amendment Effective Date (except to the extent a representation and warranty specifically refers to an earlier date and then as of such earlier date) and (b) after giving effect to this First Amendment, no event has occurred and is continuing which constitutes a Default or an Event of Default.</w:t>
      </w:r>
    </w:p>
    <w:p>
      <w:pPr>
        <w:spacing w:after="0" w:line="177" w:lineRule="exact"/>
        <w:rPr>
          <w:rFonts w:ascii="Times New Roman" w:cs="Times New Roman" w:eastAsia="Times New Roman" w:hAnsi="Times New Roman"/>
          <w:sz w:val="20"/>
          <w:szCs w:val="20"/>
          <w:color w:val="auto"/>
        </w:rPr>
      </w:pPr>
    </w:p>
    <w:p>
      <w:pPr>
        <w:jc w:val="both"/>
        <w:ind w:left="-656" w:firstLine="656"/>
        <w:spacing w:after="0" w:line="247" w:lineRule="auto"/>
        <w:tabs>
          <w:tab w:leader="none" w:pos="19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Counterparts/Electronic Delivery</w:t>
      </w:r>
      <w:r>
        <w:rPr>
          <w:rFonts w:ascii="Times New Roman" w:cs="Times New Roman" w:eastAsia="Times New Roman" w:hAnsi="Times New Roman"/>
          <w:sz w:val="20"/>
          <w:szCs w:val="20"/>
          <w:color w:val="auto"/>
        </w:rPr>
        <w:t>. This First Amendment may be executed in any number of counterparts, each of which when so executed and delivered shall be an original, but all of which shall constitute one and the same instrument. Delivery of executed counterparts of this First Amendment by</w:t>
      </w:r>
    </w:p>
    <w:p>
      <w:pPr>
        <w:sectPr>
          <w:pgSz w:w="11900" w:h="16838" w:orient="portrait"/>
          <w:cols w:equalWidth="0" w:num="1">
            <w:col w:w="10584"/>
          </w:cols>
          <w:pgMar w:left="976" w:top="1413" w:right="339" w:bottom="1440" w:gutter="0" w:footer="0" w:header="0"/>
        </w:sectPr>
      </w:pPr>
    </w:p>
    <w:bookmarkStart w:id="88" w:name="page89"/>
    <w:bookmarkEnd w:id="88"/>
    <w:p>
      <w:pPr>
        <w:spacing w:after="0" w:line="255" w:lineRule="auto"/>
        <w:rPr>
          <w:sz w:val="20"/>
          <w:szCs w:val="20"/>
          <w:color w:val="auto"/>
        </w:rPr>
      </w:pPr>
      <w:r>
        <w:rPr>
          <w:rFonts w:ascii="Times New Roman" w:cs="Times New Roman" w:eastAsia="Times New Roman" w:hAnsi="Times New Roman"/>
          <w:sz w:val="20"/>
          <w:szCs w:val="20"/>
          <w:color w:val="auto"/>
        </w:rPr>
        <w:t>telecopy or electronic transmission of a “PDF” copy shall be effective as an original and shall constitute a representation that an original shall be delivered promptly upon request.</w:t>
      </w:r>
    </w:p>
    <w:p>
      <w:pPr>
        <w:spacing w:after="0" w:line="173" w:lineRule="exact"/>
        <w:rPr>
          <w:sz w:val="20"/>
          <w:szCs w:val="20"/>
          <w:color w:val="auto"/>
        </w:rPr>
      </w:pPr>
    </w:p>
    <w:p>
      <w:pPr>
        <w:jc w:val="both"/>
        <w:ind w:firstLine="656"/>
        <w:spacing w:after="0" w:line="239" w:lineRule="auto"/>
        <w:tabs>
          <w:tab w:leader="none" w:pos="92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xml:space="preserve">. THIS FIRST AMENDMENT AND THE RIGHTS AND OBLIGATIONS OF THE PARTIES HEREUNDER SHALL BE GOVERNED BY AND CONSTRUED AND INTERPRETED IN ACCORDANCE WITH THE LAWS OF THE STATE OF NEW YORK. The jurisdiction, service of process, waiver of venue and waiver of jury trial provisions of Sections 9.12 and 9.23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89" w:name="page90"/>
    <w:bookmarkEnd w:id="89"/>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be duly executed as of the date first above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NORDSTROM, INC.</w:t>
      </w:r>
    </w:p>
    <w:p>
      <w:pPr>
        <w:spacing w:after="0" w:line="200" w:lineRule="exact"/>
        <w:rPr>
          <w:sz w:val="20"/>
          <w:szCs w:val="20"/>
          <w:color w:val="auto"/>
        </w:rPr>
      </w:pPr>
    </w:p>
    <w:p>
      <w:pPr>
        <w:spacing w:after="0" w:line="27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ind w:left="32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GUARANTORS: NORDSTROM, INC.</w:t>
      </w:r>
    </w:p>
    <w:p>
      <w:pPr>
        <w:spacing w:after="0" w:line="2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Name:</w:t>
      </w: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NIHC, INC.</w:t>
      </w:r>
    </w:p>
    <w:p>
      <w:pPr>
        <w:spacing w:after="0" w:line="2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w:t>
      </w:r>
    </w:p>
    <w:p>
      <w:pPr>
        <w:ind w:left="358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NORDSTROM CARD SERVICES, INC.</w:t>
      </w:r>
    </w:p>
    <w:p>
      <w:pPr>
        <w:spacing w:after="0" w:line="2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Name:</w:t>
      </w: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NORDSTROM CANADA RETAIL, INC.</w:t>
      </w:r>
    </w:p>
    <w:p>
      <w:pPr>
        <w:spacing w:after="0" w:line="22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color w:val="auto"/>
        </w:rPr>
        <w:t>Name:</w:t>
      </w:r>
    </w:p>
    <w:p>
      <w:pPr>
        <w:ind w:left="358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AGENTS AND LENDERS: WELLS FARGO BANK, NATIONAL ASSOCIATION,</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Agent, Swing Line Lender, L/C Issuer and Lender</w:t>
      </w:r>
    </w:p>
    <w:p>
      <w:pPr>
        <w:spacing w:after="0" w:line="2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Name:</w:t>
      </w:r>
    </w:p>
    <w:p>
      <w:pPr>
        <w:sectPr>
          <w:pgSz w:w="11900" w:h="16838" w:orient="portrait"/>
          <w:cols w:equalWidth="0" w:num="1">
            <w:col w:w="11240"/>
          </w:cols>
          <w:pgMar w:left="320" w:top="1440" w:right="339" w:bottom="1440" w:gutter="0" w:footer="0" w:header="0"/>
        </w:sectPr>
      </w:pPr>
    </w:p>
    <w:bookmarkStart w:id="90" w:name="page91"/>
    <w:bookmarkEnd w:id="90"/>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L/C Issuer and Lender</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L/C Issuer and Lender</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ind w:left="212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MUFG Bank, Ltd.,</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The Bank of Nova Scotia,</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The Toronto-Dominion Bank, New York Branch,</w:t>
      </w:r>
    </w:p>
    <w:p>
      <w:pPr>
        <w:spacing w:after="0" w:line="3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Goldman Sachs Bank USA,</w:t>
      </w:r>
    </w:p>
    <w:p>
      <w:pPr>
        <w:sectPr>
          <w:pgSz w:w="11900" w:h="16838" w:orient="portrait"/>
          <w:cols w:equalWidth="0" w:num="1">
            <w:col w:w="9019"/>
          </w:cols>
          <w:pgMar w:left="1440" w:top="1413" w:right="1440" w:bottom="1440" w:gutter="0" w:footer="0" w:header="0"/>
        </w:sectPr>
      </w:pPr>
    </w:p>
    <w:bookmarkStart w:id="91" w:name="page92"/>
    <w:bookmarkEnd w:id="91"/>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Morgan Stanley Bank, N.A.,</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ind w:left="212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ind w:left="2120"/>
        <w:spacing w:after="0" w:line="233" w:lineRule="auto"/>
        <w:rPr>
          <w:sz w:val="20"/>
          <w:szCs w:val="20"/>
          <w:color w:val="auto"/>
        </w:rPr>
      </w:pPr>
      <w:r>
        <w:rPr>
          <w:rFonts w:ascii="Times New Roman" w:cs="Times New Roman" w:eastAsia="Times New Roman" w:hAnsi="Times New Roman"/>
          <w:sz w:val="20"/>
          <w:szCs w:val="20"/>
          <w:color w:val="auto"/>
        </w:rPr>
        <w:t>Name:</w:t>
      </w:r>
    </w:p>
    <w:p>
      <w:pPr>
        <w:spacing w:after="0" w:line="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9"/>
          <w:szCs w:val="19"/>
          <w:color w:val="auto"/>
        </w:rPr>
        <w:t>The Bank of New York Mellon,</w:t>
      </w:r>
    </w:p>
    <w:p>
      <w:pPr>
        <w:spacing w:after="0" w:line="2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Bank of Hawaii,</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as a Lender</w:t>
      </w:r>
    </w:p>
    <w:p>
      <w:pPr>
        <w:spacing w:after="0" w:line="22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By:</w:t>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color w:val="auto"/>
        </w:rPr>
        <w:t>Name:</w:t>
      </w:r>
    </w:p>
    <w:p>
      <w:pPr>
        <w:ind w:left="212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1413"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Nordstrom,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 of the 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fiscal year ended January 28,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Name of Subsidiary</w:t>
            </w:r>
          </w:p>
        </w:tc>
        <w:tc>
          <w:tcPr>
            <w:tcW w:w="5780" w:type="dxa"/>
            <w:vAlign w:val="bottom"/>
          </w:tcPr>
          <w:p>
            <w:pPr>
              <w:ind w:left="20"/>
              <w:spacing w:after="0"/>
              <w:rPr>
                <w:sz w:val="20"/>
                <w:szCs w:val="20"/>
                <w:color w:val="auto"/>
              </w:rPr>
            </w:pPr>
            <w:r>
              <w:rPr>
                <w:rFonts w:ascii="Arial" w:cs="Arial" w:eastAsia="Arial" w:hAnsi="Arial"/>
                <w:sz w:val="18"/>
                <w:szCs w:val="18"/>
                <w:color w:val="auto"/>
              </w:rPr>
              <w:t>Jurisdiction of Incorporation</w:t>
            </w:r>
          </w:p>
        </w:tc>
      </w:tr>
      <w:tr>
        <w:trPr>
          <w:trHeight w:val="218"/>
        </w:trPr>
        <w:tc>
          <w:tcPr>
            <w:tcW w:w="5320" w:type="dxa"/>
            <w:vAlign w:val="bottom"/>
            <w:tcBorders>
              <w:top w:val="single" w:sz="8" w:color="auto"/>
            </w:tcBorders>
          </w:tcPr>
          <w:p>
            <w:pPr>
              <w:ind w:left="20"/>
              <w:spacing w:after="0" w:line="218" w:lineRule="exact"/>
              <w:rPr>
                <w:sz w:val="20"/>
                <w:szCs w:val="20"/>
                <w:color w:val="auto"/>
              </w:rPr>
            </w:pPr>
            <w:r>
              <w:rPr>
                <w:rFonts w:ascii="Arial" w:cs="Arial" w:eastAsia="Arial" w:hAnsi="Arial"/>
                <w:sz w:val="18"/>
                <w:szCs w:val="18"/>
                <w:color w:val="auto"/>
              </w:rPr>
              <w:t>Nordstrom International Limited</w:t>
            </w:r>
            <w:r>
              <w:rPr>
                <w:rFonts w:ascii="Arial" w:cs="Arial" w:eastAsia="Arial" w:hAnsi="Arial"/>
                <w:sz w:val="23"/>
                <w:szCs w:val="23"/>
                <w:color w:val="auto"/>
                <w:vertAlign w:val="superscript"/>
              </w:rPr>
              <w:t>1</w:t>
            </w:r>
          </w:p>
        </w:tc>
        <w:tc>
          <w:tcPr>
            <w:tcW w:w="140" w:type="dxa"/>
            <w:vAlign w:val="bottom"/>
          </w:tcPr>
          <w:p>
            <w:pPr>
              <w:spacing w:after="0"/>
              <w:rPr>
                <w:sz w:val="18"/>
                <w:szCs w:val="18"/>
                <w:color w:val="auto"/>
              </w:rPr>
            </w:pPr>
          </w:p>
        </w:tc>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Washington</w:t>
            </w:r>
          </w:p>
        </w:tc>
      </w:tr>
      <w:tr>
        <w:trPr>
          <w:trHeight w:val="235"/>
        </w:trPr>
        <w:tc>
          <w:tcPr>
            <w:tcW w:w="5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Nordstrom Card Services, Inc.</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r>
    </w:tbl>
    <w:p>
      <w:pPr>
        <w:spacing w:after="0" w:line="72" w:lineRule="exact"/>
        <w:rPr>
          <w:sz w:val="20"/>
          <w:szCs w:val="20"/>
          <w:color w:val="auto"/>
        </w:rPr>
      </w:pPr>
    </w:p>
    <w:p>
      <w:pPr>
        <w:ind w:left="80" w:hanging="72"/>
        <w:spacing w:after="0" w:line="305" w:lineRule="auto"/>
        <w:tabs>
          <w:tab w:leader="none" w:pos="91" w:val="left"/>
        </w:tabs>
        <w:numPr>
          <w:ilvl w:val="0"/>
          <w:numId w:val="59"/>
        </w:numPr>
        <w:rPr>
          <w:rFonts w:ascii="Arial" w:cs="Arial" w:eastAsia="Arial" w:hAnsi="Arial"/>
          <w:sz w:val="9"/>
          <w:szCs w:val="9"/>
          <w:color w:val="auto"/>
        </w:rPr>
      </w:pPr>
      <w:r>
        <w:rPr>
          <w:rFonts w:ascii="Arial" w:cs="Arial" w:eastAsia="Arial" w:hAnsi="Arial"/>
          <w:sz w:val="14"/>
          <w:szCs w:val="14"/>
          <w:color w:val="auto"/>
        </w:rPr>
        <w:t>As of January 28, 2023, Nordstrom International Limited included the Company's investment in Nordstrom Canada. On March 2, 2023, Nordstrom Canada commenced a wind-down of its business operations. See Note 15: Subsequent Events in Item 8 of the 2022 Annual Report on Form 10-K for further detail on this subsequent event.</w:t>
      </w:r>
    </w:p>
    <w:p>
      <w:pPr>
        <w:sectPr>
          <w:pgSz w:w="11900" w:h="16838" w:orient="portrait"/>
          <w:cols w:equalWidth="0" w:num="1">
            <w:col w:w="11240"/>
          </w:cols>
          <w:pgMar w:left="320" w:top="89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31.1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Erik B. Nordstrom, certify that:</w:t>
      </w:r>
    </w:p>
    <w:p>
      <w:pPr>
        <w:spacing w:after="0" w:line="158"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57"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8"/>
          <w:szCs w:val="18"/>
          <w:color w:val="auto"/>
        </w:rPr>
      </w:pPr>
    </w:p>
    <w:p>
      <w:pPr>
        <w:ind w:left="660" w:right="60" w:hanging="4"/>
        <w:spacing w:after="0" w:line="268" w:lineRule="auto"/>
        <w:tabs>
          <w:tab w:leader="none" w:pos="8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660" w:right="100" w:hanging="4"/>
        <w:spacing w:after="0" w:line="268" w:lineRule="auto"/>
        <w:tabs>
          <w:tab w:leader="none" w:pos="8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200" w:hanging="4"/>
        <w:spacing w:after="0" w:line="268" w:lineRule="auto"/>
        <w:tabs>
          <w:tab w:leader="none" w:pos="8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660" w:right="180" w:hanging="4"/>
        <w:spacing w:after="0" w:line="268" w:lineRule="auto"/>
        <w:tabs>
          <w:tab w:leader="none" w:pos="8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60" w:hanging="4"/>
        <w:spacing w:after="0" w:line="287" w:lineRule="auto"/>
        <w:tabs>
          <w:tab w:leader="none" w:pos="8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left="660" w:right="280" w:hanging="4"/>
        <w:spacing w:after="0" w:line="287" w:lineRule="auto"/>
        <w:tabs>
          <w:tab w:leader="none" w:pos="87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10, 2023</w:t>
      </w: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Erik B. Nordstrom</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Erik B. Nordstrom</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 of</w:t>
      </w:r>
    </w:p>
    <w:p>
      <w:pPr>
        <w:ind w:left="5220"/>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240"/>
          </w:cols>
          <w:pgMar w:left="320" w:top="89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31.2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required by Section 302(a) of the Sarbanes-Oxley Act of 2002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Michael W. Maher, certify that:</w:t>
      </w:r>
    </w:p>
    <w:p>
      <w:pPr>
        <w:spacing w:after="0" w:line="158" w:lineRule="exact"/>
        <w:rPr>
          <w:sz w:val="20"/>
          <w:szCs w:val="20"/>
          <w:color w:val="auto"/>
        </w:rPr>
      </w:pPr>
    </w:p>
    <w:p>
      <w:pPr>
        <w:ind w:left="200" w:hanging="192"/>
        <w:spacing w:after="0"/>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Nordstrom, Inc.;</w:t>
      </w:r>
    </w:p>
    <w:p>
      <w:pPr>
        <w:spacing w:after="0" w:line="157"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8"/>
          <w:szCs w:val="18"/>
          <w:color w:val="auto"/>
        </w:rPr>
      </w:pPr>
    </w:p>
    <w:p>
      <w:pPr>
        <w:ind w:left="660" w:right="60" w:hanging="4"/>
        <w:spacing w:after="0" w:line="268" w:lineRule="auto"/>
        <w:tabs>
          <w:tab w:leader="none" w:pos="8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660" w:right="100" w:hanging="4"/>
        <w:spacing w:after="0" w:line="268" w:lineRule="auto"/>
        <w:tabs>
          <w:tab w:leader="none" w:pos="8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8"/>
          <w:szCs w:val="18"/>
          <w:color w:val="auto"/>
        </w:rPr>
      </w:pPr>
    </w:p>
    <w:p>
      <w:pPr>
        <w:ind w:left="660" w:right="200" w:hanging="4"/>
        <w:spacing w:after="0" w:line="268" w:lineRule="auto"/>
        <w:tabs>
          <w:tab w:leader="none" w:pos="8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660" w:right="180" w:hanging="4"/>
        <w:spacing w:after="0" w:line="268" w:lineRule="auto"/>
        <w:tabs>
          <w:tab w:leader="none" w:pos="8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ind w:left="660" w:right="60" w:hanging="4"/>
        <w:spacing w:after="0" w:line="287" w:lineRule="auto"/>
        <w:tabs>
          <w:tab w:leader="none" w:pos="8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5" w:lineRule="exact"/>
        <w:rPr>
          <w:rFonts w:ascii="Arial" w:cs="Arial" w:eastAsia="Arial" w:hAnsi="Arial"/>
          <w:sz w:val="18"/>
          <w:szCs w:val="18"/>
          <w:color w:val="auto"/>
        </w:rPr>
      </w:pPr>
    </w:p>
    <w:p>
      <w:pPr>
        <w:ind w:left="660" w:right="280" w:hanging="4"/>
        <w:spacing w:after="0" w:line="287" w:lineRule="auto"/>
        <w:tabs>
          <w:tab w:leader="none" w:pos="8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Date: March 10, 2023</w:t>
      </w:r>
    </w:p>
    <w:p>
      <w:pPr>
        <w:spacing w:after="0" w:line="200" w:lineRule="exact"/>
        <w:rPr>
          <w:sz w:val="20"/>
          <w:szCs w:val="20"/>
          <w:color w:val="auto"/>
        </w:rPr>
      </w:pPr>
    </w:p>
    <w:p>
      <w:pPr>
        <w:spacing w:after="0" w:line="336"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/s/ Michael W. Maher</w:t>
      </w:r>
    </w:p>
    <w:p>
      <w:pPr>
        <w:spacing w:after="0" w:line="3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Michael W. Maher</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Interim Chief Financial Officer</w:t>
      </w:r>
    </w:p>
    <w:p>
      <w:pPr>
        <w:ind w:left="5220"/>
        <w:spacing w:after="0" w:line="203" w:lineRule="auto"/>
        <w:rPr>
          <w:sz w:val="20"/>
          <w:szCs w:val="20"/>
          <w:color w:val="auto"/>
        </w:rPr>
      </w:pPr>
      <w:r>
        <w:rPr>
          <w:rFonts w:ascii="Arial" w:cs="Arial" w:eastAsia="Arial" w:hAnsi="Arial"/>
          <w:sz w:val="18"/>
          <w:szCs w:val="18"/>
          <w:color w:val="auto"/>
        </w:rPr>
        <w:t>and Chief Accounting Officer of</w:t>
      </w:r>
    </w:p>
    <w:p>
      <w:pPr>
        <w:jc w:val="center"/>
        <w:ind w:left="380"/>
        <w:spacing w:after="0"/>
        <w:rPr>
          <w:sz w:val="20"/>
          <w:szCs w:val="20"/>
          <w:color w:val="auto"/>
        </w:rPr>
      </w:pPr>
      <w:r>
        <w:rPr>
          <w:rFonts w:ascii="Arial" w:cs="Arial" w:eastAsia="Arial" w:hAnsi="Arial"/>
          <w:sz w:val="18"/>
          <w:szCs w:val="18"/>
          <w:color w:val="auto"/>
        </w:rPr>
        <w:t>Nordstrom, Inc.</w:t>
      </w:r>
    </w:p>
    <w:p>
      <w:pPr>
        <w:sectPr>
          <w:pgSz w:w="11900" w:h="16838" w:orient="portrait"/>
          <w:cols w:equalWidth="0" w:num="1">
            <w:col w:w="11240"/>
          </w:cols>
          <w:pgMar w:left="320" w:top="89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Exhibit 32.1</w:t>
      </w:r>
    </w:p>
    <w:p>
      <w:pPr>
        <w:spacing w:after="0" w:line="337"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SEATTLE, WASHINGTON 98101</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connection with the Annual Report of Nordstrom, Inc. (the “Company”) on Form 10-K for the period ended January 28, 2023, as filed with the Securities and Exchange Commission on the date hereof (the “Report”), we, Erik B. Nordstrom, Chief Executive Officer (Principal Executive Officer), and Michael W. Maher, Interim Chief Financial Officer and Chief Accounting Officer (Principal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180" w:hanging="324"/>
        <w:spacing w:after="0" w:line="287" w:lineRule="auto"/>
        <w:tabs>
          <w:tab w:leader="none" w:pos="9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2" w:lineRule="exact"/>
        <w:rPr>
          <w:sz w:val="20"/>
          <w:szCs w:val="20"/>
          <w:color w:val="auto"/>
        </w:rPr>
      </w:pPr>
    </w:p>
    <w:p>
      <w:pPr>
        <w:ind w:left="580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March 10, 2023</w:t>
      </w:r>
    </w:p>
    <w:p>
      <w:pPr>
        <w:spacing w:after="0" w:line="200" w:lineRule="exact"/>
        <w:rPr>
          <w:sz w:val="20"/>
          <w:szCs w:val="20"/>
          <w:color w:val="auto"/>
        </w:rPr>
      </w:pPr>
    </w:p>
    <w:p>
      <w:pPr>
        <w:spacing w:after="0" w:line="336"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Erik B. Nordstrom</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Erik B. Nordstrom</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Executive Officer of Nordstrom, Inc.</w:t>
      </w:r>
    </w:p>
    <w:p>
      <w:pPr>
        <w:spacing w:after="0" w:line="200" w:lineRule="exact"/>
        <w:rPr>
          <w:sz w:val="20"/>
          <w:szCs w:val="20"/>
          <w:color w:val="auto"/>
        </w:rPr>
      </w:pPr>
    </w:p>
    <w:p>
      <w:pPr>
        <w:spacing w:after="0" w:line="340" w:lineRule="exact"/>
        <w:rPr>
          <w:sz w:val="20"/>
          <w:szCs w:val="20"/>
          <w:color w:val="auto"/>
        </w:rPr>
      </w:pPr>
    </w:p>
    <w:p>
      <w:pPr>
        <w:ind w:left="5800"/>
        <w:spacing w:after="0"/>
        <w:rPr>
          <w:sz w:val="20"/>
          <w:szCs w:val="20"/>
          <w:color w:val="auto"/>
        </w:rPr>
      </w:pPr>
      <w:r>
        <w:rPr>
          <w:rFonts w:ascii="Arial" w:cs="Arial" w:eastAsia="Arial" w:hAnsi="Arial"/>
          <w:sz w:val="18"/>
          <w:szCs w:val="18"/>
          <w:u w:val="single" w:color="auto"/>
          <w:color w:val="auto"/>
        </w:rPr>
        <w:t>/s/ Michael W. Maher</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Michael W. Maher</w:t>
      </w:r>
    </w:p>
    <w:p>
      <w:pPr>
        <w:ind w:left="5800"/>
        <w:spacing w:after="0"/>
        <w:rPr>
          <w:sz w:val="20"/>
          <w:szCs w:val="20"/>
          <w:color w:val="auto"/>
        </w:rPr>
      </w:pPr>
      <w:r>
        <w:rPr>
          <w:rFonts w:ascii="Arial" w:cs="Arial" w:eastAsia="Arial" w:hAnsi="Arial"/>
          <w:sz w:val="18"/>
          <w:szCs w:val="18"/>
          <w:color w:val="auto"/>
        </w:rPr>
        <w:t>Interim Chief Financial Officer and Chief Accounting Officer of</w:t>
      </w:r>
    </w:p>
    <w:p>
      <w:pPr>
        <w:ind w:left="5800"/>
        <w:spacing w:after="0"/>
        <w:rPr>
          <w:sz w:val="20"/>
          <w:szCs w:val="20"/>
          <w:color w:val="auto"/>
        </w:rPr>
      </w:pPr>
      <w:r>
        <w:rPr>
          <w:rFonts w:ascii="Arial" w:cs="Arial" w:eastAsia="Arial" w:hAnsi="Arial"/>
          <w:sz w:val="18"/>
          <w:szCs w:val="18"/>
          <w:color w:val="auto"/>
        </w:rPr>
        <w:t>Nordstrom, Inc.</w:t>
      </w:r>
    </w:p>
    <w:p>
      <w:pPr>
        <w:spacing w:after="0" w:line="200" w:lineRule="exact"/>
        <w:rPr>
          <w:sz w:val="20"/>
          <w:szCs w:val="20"/>
          <w:color w:val="auto"/>
        </w:rPr>
      </w:pPr>
    </w:p>
    <w:p>
      <w:pPr>
        <w:spacing w:after="0" w:line="38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lvl w:ilvl="1">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1"/>
      <w:numFmt w:val="bullet"/>
      <w:start w:val="1"/>
    </w:lvl>
  </w:abstractNum>
  <w:abstractNum w:abstractNumId="16">
    <w:nsid w:val="51EAD36B"/>
    <w:multiLevelType w:val="hybridMultilevel"/>
    <w:lvl w:ilvl="0">
      <w:lvlJc w:val="left"/>
      <w:lvlText w:val="1"/>
      <w:numFmt w:val="bullet"/>
      <w:start w:val="1"/>
    </w:lvl>
  </w:abstractNum>
  <w:abstractNum w:abstractNumId="17">
    <w:nsid w:val="2D517796"/>
    <w:multiLevelType w:val="hybridMultilevel"/>
    <w:lvl w:ilvl="0">
      <w:lvlJc w:val="left"/>
      <w:lvlText w:val="1"/>
      <w:numFmt w:val="bullet"/>
      <w:start w:val="1"/>
    </w:lvl>
  </w:abstractNum>
  <w:abstractNum w:abstractNumId="18">
    <w:nsid w:val="580BD78F"/>
    <w:multiLevelType w:val="hybridMultilevel"/>
    <w:lvl w:ilvl="0">
      <w:lvlJc w:val="left"/>
      <w:lvlText w:val="1"/>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bullet"/>
      <w:start w:val="1"/>
    </w:lvl>
  </w:abstractNum>
  <w:abstractNum w:abstractNumId="21">
    <w:nsid w:val="70A64E2A"/>
    <w:multiLevelType w:val="hybridMultilevel"/>
    <w:lvl w:ilvl="0">
      <w:lvlJc w:val="left"/>
      <w:lvlText w:val="1"/>
      <w:numFmt w:val="bullet"/>
      <w:start w:val="1"/>
    </w:lvl>
  </w:abstractNum>
  <w:abstractNum w:abstractNumId="22">
    <w:nsid w:val="6A2342EC"/>
    <w:multiLevelType w:val="hybridMultilevel"/>
    <w:lvl w:ilvl="0">
      <w:lvlJc w:val="left"/>
      <w:lvlText w:val="2"/>
      <w:numFmt w:val="bullet"/>
      <w:start w:val="1"/>
    </w:lvl>
  </w:abstractNum>
  <w:abstractNum w:abstractNumId="23">
    <w:nsid w:val="2A487CB0"/>
    <w:multiLevelType w:val="hybridMultilevel"/>
    <w:lvl w:ilvl="0">
      <w:lvlJc w:val="left"/>
      <w:lvlText w:val="3"/>
      <w:numFmt w:val="bullet"/>
      <w:start w:val="1"/>
    </w:lvl>
  </w:abstractNum>
  <w:abstractNum w:abstractNumId="24">
    <w:nsid w:val="1D4ED43B"/>
    <w:multiLevelType w:val="hybridMultilevel"/>
    <w:lvl w:ilvl="0">
      <w:lvlJc w:val="left"/>
      <w:lvlText w:val="1"/>
      <w:numFmt w:val="bullet"/>
      <w:start w:val="1"/>
    </w:lvl>
  </w:abstractNum>
  <w:abstractNum w:abstractNumId="25">
    <w:nsid w:val="725A06FB"/>
    <w:multiLevelType w:val="hybridMultilevel"/>
    <w:lvl w:ilvl="0">
      <w:lvlJc w:val="left"/>
      <w:lvlText w:val="1"/>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1"/>
      <w:numFmt w:val="bullet"/>
      <w:start w:val="1"/>
    </w:lvl>
  </w:abstractNum>
  <w:abstractNum w:abstractNumId="28">
    <w:nsid w:val="7A6D8D3C"/>
    <w:multiLevelType w:val="hybridMultilevel"/>
    <w:lvl w:ilvl="0">
      <w:lvlJc w:val="left"/>
      <w:lvlText w:val="2"/>
      <w:numFmt w:val="bullet"/>
      <w:start w:val="1"/>
    </w:lvl>
  </w:abstractNum>
  <w:abstractNum w:abstractNumId="29">
    <w:nsid w:val="4B588F54"/>
    <w:multiLevelType w:val="hybridMultilevel"/>
    <w:lvl w:ilvl="0">
      <w:lvlJc w:val="left"/>
      <w:lvlText w:val="•"/>
      <w:numFmt w:val="bullet"/>
      <w:start w:val="1"/>
    </w:lvl>
    <w:lvl w:ilvl="1">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bullet"/>
      <w:start w:val="1"/>
    </w:lvl>
  </w:abstractNum>
  <w:abstractNum w:abstractNumId="34">
    <w:nsid w:val="32FFF902"/>
    <w:multiLevelType w:val="hybridMultilevel"/>
    <w:lvl w:ilvl="0">
      <w:lvlJc w:val="left"/>
      <w:lvlText w:val="1"/>
      <w:numFmt w:val="bullet"/>
      <w:start w:val="1"/>
    </w:lvl>
  </w:abstractNum>
  <w:abstractNum w:abstractNumId="35">
    <w:nsid w:val="684A481A"/>
    <w:multiLevelType w:val="hybridMultilevel"/>
    <w:lvl w:ilvl="0">
      <w:lvlJc w:val="left"/>
      <w:lvlText w:val="1"/>
      <w:numFmt w:val="bullet"/>
      <w:start w:val="1"/>
    </w:lvl>
  </w:abstractNum>
  <w:abstractNum w:abstractNumId="36">
    <w:nsid w:val="579478FE"/>
    <w:multiLevelType w:val="hybridMultilevel"/>
    <w:lvl w:ilvl="0">
      <w:lvlJc w:val="left"/>
      <w:lvlText w:val="2"/>
      <w:numFmt w:val="bullet"/>
      <w:start w:val="1"/>
    </w:lvl>
  </w:abstractNum>
  <w:abstractNum w:abstractNumId="37">
    <w:nsid w:val="749ABB43"/>
    <w:multiLevelType w:val="hybridMultilevel"/>
    <w:lvl w:ilvl="0">
      <w:lvlJc w:val="left"/>
      <w:lvlText w:val="3"/>
      <w:numFmt w:val="bullet"/>
      <w:start w:val="1"/>
    </w:lvl>
  </w:abstractNum>
  <w:abstractNum w:abstractNumId="38">
    <w:nsid w:val="3DC240FB"/>
    <w:multiLevelType w:val="hybridMultilevel"/>
    <w:lvl w:ilvl="0">
      <w:lvlJc w:val="left"/>
      <w:lvlText w:val="1"/>
      <w:numFmt w:val="bullet"/>
      <w:start w:val="1"/>
    </w:lvl>
  </w:abstractNum>
  <w:abstractNum w:abstractNumId="39">
    <w:nsid w:val="1BA026FA"/>
    <w:multiLevelType w:val="hybridMultilevel"/>
    <w:lvl w:ilvl="0">
      <w:lvlJc w:val="left"/>
      <w:lvlText w:val="1"/>
      <w:numFmt w:val="bullet"/>
      <w:start w:val="1"/>
    </w:lvl>
  </w:abstractNum>
  <w:abstractNum w:abstractNumId="40">
    <w:nsid w:val="79A1DEAA"/>
    <w:multiLevelType w:val="hybridMultilevel"/>
    <w:lvl w:ilvl="0">
      <w:lvlJc w:val="left"/>
      <w:lvlText w:val="1"/>
      <w:numFmt w:val="bullet"/>
      <w:start w:val="1"/>
    </w:lvl>
  </w:abstractNum>
  <w:abstractNum w:abstractNumId="41">
    <w:nsid w:val="75C6C33A"/>
    <w:multiLevelType w:val="hybridMultilevel"/>
    <w:lvl w:ilvl="0">
      <w:lvlJc w:val="left"/>
      <w:lvlText w:val="1"/>
      <w:numFmt w:val="bullet"/>
      <w:start w:val="1"/>
    </w:lvl>
  </w:abstractNum>
  <w:abstractNum w:abstractNumId="42">
    <w:nsid w:val="12E685FB"/>
    <w:multiLevelType w:val="hybridMultilevel"/>
    <w:lvl w:ilvl="0">
      <w:lvlJc w:val="left"/>
      <w:lvlText w:val="2"/>
      <w:numFmt w:val="bullet"/>
      <w:start w:val="1"/>
    </w:lvl>
  </w:abstractNum>
  <w:abstractNum w:abstractNumId="43">
    <w:nsid w:val="70C6A529"/>
    <w:multiLevelType w:val="hybridMultilevel"/>
    <w:lvl w:ilvl="0">
      <w:lvlJc w:val="left"/>
      <w:lvlText w:val="1"/>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lowerLetter"/>
      <w:start w:val="1"/>
    </w:lvl>
  </w:abstractNum>
  <w:abstractNum w:abstractNumId="48">
    <w:nsid w:val="649BB77C"/>
    <w:multiLevelType w:val="hybridMultilevel"/>
    <w:lvl w:ilvl="0">
      <w:lvlJc w:val="left"/>
      <w:lvlText w:val="%1."/>
      <w:numFmt w:val="decimal"/>
      <w:start w:val="1"/>
    </w:lvl>
    <w:lvl w:ilvl="1">
      <w:lvlJc w:val="left"/>
      <w:lvlText w:val="(%2)"/>
      <w:numFmt w:val="lowerLetter"/>
      <w:start w:val="1"/>
    </w:lvl>
  </w:abstractNum>
  <w:abstractNum w:abstractNumId="49">
    <w:nsid w:val="275AC794"/>
    <w:multiLevelType w:val="hybridMultilevel"/>
    <w:lvl w:ilvl="0">
      <w:lvlJc w:val="left"/>
      <w:lvlText w:val="(%1)"/>
      <w:numFmt w:val="lowerLetter"/>
      <w:start w:val="10"/>
    </w:lvl>
  </w:abstractNum>
  <w:abstractNum w:abstractNumId="50">
    <w:nsid w:val="39386575"/>
    <w:multiLevelType w:val="hybridMultilevel"/>
    <w:lvl w:ilvl="0">
      <w:lvlJc w:val="left"/>
      <w:lvlText w:val="(%1)"/>
      <w:numFmt w:val="lowerLetter"/>
      <w:start w:val="3"/>
    </w:lvl>
    <w:lvl w:ilvl="1">
      <w:lvlJc w:val="left"/>
      <w:lvlText w:val="(%2)"/>
      <w:numFmt w:val="lowerLetter"/>
      <w:start w:val="11"/>
    </w:lvl>
  </w:abstractNum>
  <w:abstractNum w:abstractNumId="51">
    <w:nsid w:val="1CF10FD8"/>
    <w:multiLevelType w:val="hybridMultilevel"/>
    <w:lvl w:ilvl="0">
      <w:lvlJc w:val="left"/>
      <w:lvlText w:val="(%1)"/>
      <w:numFmt w:val="lowerLetter"/>
      <w:start w:val="5"/>
    </w:lvl>
    <w:lvl w:ilvl="1">
      <w:lvlJc w:val="left"/>
      <w:lvlText w:val="(%2)"/>
      <w:numFmt w:val="lowerRoman"/>
      <w:start w:val="8"/>
    </w:lvl>
  </w:abstractNum>
  <w:abstractNum w:abstractNumId="52">
    <w:nsid w:val="180115BE"/>
    <w:multiLevelType w:val="hybridMultilevel"/>
    <w:lvl w:ilvl="0">
      <w:lvlJc w:val="left"/>
      <w:lvlText w:val="(%1)"/>
      <w:numFmt w:val="lowerLetter"/>
      <w:start w:val="7"/>
    </w:lvl>
    <w:lvl w:ilvl="1">
      <w:lvlJc w:val="left"/>
      <w:lvlText w:val="(%2)"/>
      <w:numFmt w:val="lowerLetter"/>
      <w:start w:val="7"/>
    </w:lvl>
  </w:abstractNum>
  <w:abstractNum w:abstractNumId="53">
    <w:nsid w:val="235BA861"/>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2"/>
    </w:lvl>
  </w:abstractNum>
  <w:abstractNum w:abstractNumId="54">
    <w:nsid w:val="47398C8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6">
    <w:nsid w:val="15B5AF5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7">
    <w:nsid w:val="741226BB"/>
    <w:multiLevelType w:val="hybridMultilevel"/>
    <w:lvl w:ilvl="0">
      <w:lvlJc w:val="left"/>
      <w:lvlText w:val="%1."/>
      <w:numFmt w:val="decimal"/>
      <w:start w:val="8"/>
    </w:lvl>
  </w:abstractNum>
  <w:abstractNum w:abstractNumId="58">
    <w:nsid w:val="D34B6A8"/>
    <w:multiLevelType w:val="hybridMultilevel"/>
    <w:lvl w:ilvl="0">
      <w:lvlJc w:val="left"/>
      <w:lvlText w:val="1"/>
      <w:numFmt w:val="bullet"/>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119" Type="http://schemas.openxmlformats.org/officeDocument/2006/relationships/image" Target="media/image78.png"/><Relationship Id="rId133" Type="http://schemas.openxmlformats.org/officeDocument/2006/relationships/image" Target="media/image79.png"/><Relationship Id="rId134" Type="http://schemas.openxmlformats.org/officeDocument/2006/relationships/image" Target="media/image80.png"/><Relationship Id="rId135" Type="http://schemas.openxmlformats.org/officeDocument/2006/relationships/image" Target="media/image81.png"/><Relationship Id="rId34" Type="http://schemas.openxmlformats.org/officeDocument/2006/relationships/hyperlink" Target="http://www.sec.gov/Archives/edgar/data/72333/000007233322000060/jwn-20220129.htm" TargetMode="External"/><Relationship Id="rId75" Type="http://schemas.openxmlformats.org/officeDocument/2006/relationships/hyperlink" Target="http://www.sec.gov/Archives/edgar/data/72333/000121390022057166/ea165964ex4-1_nordstrom.htm" TargetMode="External"/><Relationship Id="rId83" Type="http://schemas.openxmlformats.org/officeDocument/2006/relationships/hyperlink" Target="http://www.sec.gov/Archives/edgar/data/72333/000121390022064437/ea167218-8k_nordstrom.htm" TargetMode="External"/><Relationship Id="rId88" Type="http://schemas.openxmlformats.org/officeDocument/2006/relationships/hyperlink" Target="http://www.sec.gov/Archives/edgar/data/72333/000007233305000134/ni053105ex31.txt" TargetMode="External"/><Relationship Id="rId89" Type="http://schemas.openxmlformats.org/officeDocument/2006/relationships/hyperlink" Target="http://www.sec.gov/Archives/edgar/data/72333/000007233322000002/jwn-02122022xex31.htm" TargetMode="External"/><Relationship Id="rId90" Type="http://schemas.openxmlformats.org/officeDocument/2006/relationships/hyperlink" Target="http://www.sec.gov/Archives/edgar/data/72333/000089102001500082/v71889ors-3.txt" TargetMode="External"/><Relationship Id="rId91" Type="http://schemas.openxmlformats.org/officeDocument/2006/relationships/hyperlink" Target="http://www.sec.gov/Archives/edgar/data/72333/0001047469-98-009311.txt" TargetMode="External"/><Relationship Id="rId92" Type="http://schemas.openxmlformats.org/officeDocument/2006/relationships/hyperlink" Target="http://www.sec.gov/Archives/edgar/data/72333/000119312514163621/d714242dex41.htm" TargetMode="External"/><Relationship Id="rId93" Type="http://schemas.openxmlformats.org/officeDocument/2006/relationships/hyperlink" Target="http://www.sec.gov/Archives/edgar/data/72333/000119312514121699/d698951dex42.htm" TargetMode="External"/><Relationship Id="rId94" Type="http://schemas.openxmlformats.org/officeDocument/2006/relationships/hyperlink" Target="http://www.sec.gov/Archives/edgar/data/72333/000119312514121699/d698951dex43.htm" TargetMode="External"/><Relationship Id="rId95" Type="http://schemas.openxmlformats.org/officeDocument/2006/relationships/hyperlink" Target="http://www.sec.gov/Archives/edgar/data/72333/000119312514121699/d698951dex44.htm" TargetMode="External"/><Relationship Id="rId96" Type="http://schemas.openxmlformats.org/officeDocument/2006/relationships/hyperlink" Target="http://www.sec.gov/Archives/edgar/data/72333/000119312517076885/d356517dex41.htm" TargetMode="External"/><Relationship Id="rId97" Type="http://schemas.openxmlformats.org/officeDocument/2006/relationships/hyperlink" Target="http://www.sec.gov/Archives/edgar/data/72333/000119312517076885/d356517dex42.htm" TargetMode="External"/><Relationship Id="rId98" Type="http://schemas.openxmlformats.org/officeDocument/2006/relationships/hyperlink" Target="http://www.sec.gov/Archives/edgar/data/72333/000119312519285877/d830522dex41.htm" TargetMode="External"/><Relationship Id="rId99" Type="http://schemas.openxmlformats.org/officeDocument/2006/relationships/hyperlink" Target="http://www.sec.gov/Archives/edgar/data/72333/000007233321000212/jwn-20210903ex42.htm" TargetMode="External"/><Relationship Id="rId100" Type="http://schemas.openxmlformats.org/officeDocument/2006/relationships/hyperlink" Target="http://www.sec.gov/Archives/edgar/data/72333/000007233321000212/jwn-20210903ex43.htm" TargetMode="External"/><Relationship Id="rId101" Type="http://schemas.openxmlformats.org/officeDocument/2006/relationships/hyperlink" Target="http://www.sec.gov/Archives/edgar/data/72333/000119312514323853/d778746dex41.htm" TargetMode="External"/><Relationship Id="rId102" Type="http://schemas.openxmlformats.org/officeDocument/2006/relationships/hyperlink" Target="http://www.sec.gov/Archives/edgar/data/72333/000007233320000097/jwn2020-def14a.htm" TargetMode="External"/><Relationship Id="rId103" Type="http://schemas.openxmlformats.org/officeDocument/2006/relationships/hyperlink" Target="http://www.sec.gov/Archives/edgar/data/72333/000007233322000181/jwn-q22022xex102.htm" TargetMode="External"/><Relationship Id="rId104" Type="http://schemas.openxmlformats.org/officeDocument/2006/relationships/hyperlink" Target="http://www.sec.gov/Archives/edgar/data/72333/000119312512470833/d441142dex101.htm" TargetMode="External"/><Relationship Id="rId105" Type="http://schemas.openxmlformats.org/officeDocument/2006/relationships/hyperlink" Target="http://www.sec.gov/Archives/edgar/data/72333/000119312514082506/d687665dex101.htm" TargetMode="External"/><Relationship Id="rId106" Type="http://schemas.openxmlformats.org/officeDocument/2006/relationships/hyperlink" Target="http://www.sec.gov/Archives/edgar/data/72333/000119312515054192/d875189dex101.htm" TargetMode="External"/><Relationship Id="rId107" Type="http://schemas.openxmlformats.org/officeDocument/2006/relationships/hyperlink" Target="http://www.sec.gov/Archives/edgar/data/72333/000119312516488320/d152147dex101.htm" TargetMode="External"/><Relationship Id="rId108" Type="http://schemas.openxmlformats.org/officeDocument/2006/relationships/hyperlink" Target="http://www.sec.gov/Archives/edgar/data/72333/000007233316000371/jwn-q22016xex102.htm" TargetMode="External"/><Relationship Id="rId109" Type="http://schemas.openxmlformats.org/officeDocument/2006/relationships/hyperlink" Target="http://www.sec.gov/Archives/edgar/data/72333/000119312517054213/d342375dex101.htm" TargetMode="External"/><Relationship Id="rId110" Type="http://schemas.openxmlformats.org/officeDocument/2006/relationships/hyperlink" Target="http://www.sec.gov/Archives/edgar/data/72333/000007233319000026/jwn-03042019ex101.htm" TargetMode="External"/><Relationship Id="rId111" Type="http://schemas.openxmlformats.org/officeDocument/2006/relationships/hyperlink" Target="http://www.sec.gov/Archives/edgar/data/72333/000007233319000026/jwn-03042019ex102.htm" TargetMode="External"/><Relationship Id="rId112" Type="http://schemas.openxmlformats.org/officeDocument/2006/relationships/hyperlink" Target="http://www.sec.gov/Archives/edgar/data/72333/000007233320000024/jwn-03032020xex101.htm" TargetMode="External"/><Relationship Id="rId113" Type="http://schemas.openxmlformats.org/officeDocument/2006/relationships/hyperlink" Target="http://www.sec.gov/Archives/edgar/data/72333/000007233320000142/jwn-q12020xex105.htm" TargetMode="External"/><Relationship Id="rId114" Type="http://schemas.openxmlformats.org/officeDocument/2006/relationships/hyperlink" Target="http://www.sec.gov/Archives/edgar/data/72333/000007233323000015/jwn-03062023xex101.htm" TargetMode="External"/><Relationship Id="rId115" Type="http://schemas.openxmlformats.org/officeDocument/2006/relationships/hyperlink" Target="http://www.sec.gov/Archives/edgar/data/72333/000119312510079583/ddef14a.htm" TargetMode="External"/><Relationship Id="rId116" Type="http://schemas.openxmlformats.org/officeDocument/2006/relationships/hyperlink" Target="http://www.sec.gov/Archives/edgar/data/72333/000130817913000145/lnordstrom2013_def14a.htm" TargetMode="External"/><Relationship Id="rId117" Type="http://schemas.openxmlformats.org/officeDocument/2006/relationships/hyperlink" Target="http://www.sec.gov/Archives/edgar/data/72333/000119312514082506/d687665dex104.htm" TargetMode="External"/><Relationship Id="rId118" Type="http://schemas.openxmlformats.org/officeDocument/2006/relationships/hyperlink" Target="http://www.sec.gov/Archives/edgar/data/72333/000130817917000102/ljwn2017_def14a.htm" TargetMode="External"/><Relationship Id="rId120" Type="http://schemas.openxmlformats.org/officeDocument/2006/relationships/hyperlink" Target="http://www.sec.gov/Archives/edgar/data/72333/000007233320000078/jwn-212020x10kex1023.htm" TargetMode="External"/><Relationship Id="rId121" Type="http://schemas.openxmlformats.org/officeDocument/2006/relationships/hyperlink" Target="http://www.sec.gov/Archives/edgar/data/72333/000007233322000004/jwn-02282022xex102.htm" TargetMode="External"/><Relationship Id="rId122" Type="http://schemas.openxmlformats.org/officeDocument/2006/relationships/hyperlink" Target="http://www.sec.gov/Archives/edgar/data/72333/000007233323000015/jwn-03062023xex102.htm" TargetMode="External"/><Relationship Id="rId123" Type="http://schemas.openxmlformats.org/officeDocument/2006/relationships/hyperlink" Target="http://www.sec.gov/Archives/edgar/data/72333/000007233320000195/jwn-q22020xex101.htm" TargetMode="External"/><Relationship Id="rId124" Type="http://schemas.openxmlformats.org/officeDocument/2006/relationships/hyperlink" Target="http://www.sec.gov/Archives/edgar/data/72333/000007233318000049/jwn-232018x10kex1048.htm" TargetMode="External"/><Relationship Id="rId125" Type="http://schemas.openxmlformats.org/officeDocument/2006/relationships/hyperlink" Target="http://www.sec.gov/Archives/edgar/data/72333/000119312511071211/dex1078.htm" TargetMode="External"/><Relationship Id="rId126" Type="http://schemas.openxmlformats.org/officeDocument/2006/relationships/hyperlink" Target="http://www.sec.gov/Archives/edgar/data/72333/000007233319000026/jwn-03042019ex103.htm" TargetMode="External"/><Relationship Id="rId127" Type="http://schemas.openxmlformats.org/officeDocument/2006/relationships/hyperlink" Target="http://www.sec.gov/Archives/edgar/data/72333/000007233320000024/jwn-03032020xex102.htm" TargetMode="External"/><Relationship Id="rId128" Type="http://schemas.openxmlformats.org/officeDocument/2006/relationships/hyperlink" Target="http://www.sec.gov/Archives/edgar/data/72333/000119312518075296/d638354dex102.htm" TargetMode="External"/><Relationship Id="rId129" Type="http://schemas.openxmlformats.org/officeDocument/2006/relationships/hyperlink" Target="http://www.sec.gov/Archives/edgar/data/72333/000007233322000124/jwn-05202022xex101.htm" TargetMode="External"/><Relationship Id="rId130" Type="http://schemas.openxmlformats.org/officeDocument/2006/relationships/hyperlink" Target="http://www.sec.gov/Archives/edgar/data/72333/000007233322000156/jwn-q12022xex102.htm" TargetMode="External"/><Relationship Id="rId131" Type="http://schemas.openxmlformats.org/officeDocument/2006/relationships/hyperlink" Target="http://www.sec.gov/Archives/edgar/data/72333/000007233315000182/jwn-q32015xex101.htm" TargetMode="External"/><Relationship Id="rId132" Type="http://schemas.openxmlformats.org/officeDocument/2006/relationships/hyperlink" Target="http://www.sec.gov/Archives/edgar/data/72333/000007233322000207/jwn-q32022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2023-03-10T17:31:25Z</dcterms:created>
  <dcterms:modified xsi:type="dcterms:W3CDTF">2023-03-10T17:31:25Z</dcterms:modified>
</cp:coreProperties>
</file>